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 The inserted list matches the one drafted at change 6 in the redlines, so the two documents propose the same amendment. They did not at first: this document named only 287 and 289 while the redline named six additions, and the mismatch was found in review.</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Unlawful sexual intercourse with a minor (261.5 PC); d. Oral copulation (287 PC, formerly 288a, renumbered by SB 1494 effective 01/01/2019); e. Continuous sexual abuse of a child (288.5 PC); f. Sexual penetration (289 PC); g. Sexual penetration by a person confined in a state hospital or custodial facility (289.6 PC); h.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Confirm them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2026-10-30T17:34:34.750Z</dcterms:created>
  <dcterms:modified xsi:type="dcterms:W3CDTF">2026-10-30T17:34:34.750Z</dcterms:modified>
</cp:coreProperties>
</file>

<file path=docProps/custom.xml><?xml version="1.0" encoding="utf-8"?>
<Properties xmlns="http://schemas.openxmlformats.org/officeDocument/2006/custom-properties" xmlns:vt="http://schemas.openxmlformats.org/officeDocument/2006/docPropsVTypes"/>
</file>