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800"/>
        <w:jc w:val="center"/>
      </w:pPr>
      <w:r>
        <w:rPr>
          <w:b/>
          <w:bCs/>
          <w:i w:val="false"/>
          <w:iCs w:val="false"/>
          <w:color w:val="1A1A1A"/>
          <w:sz w:val="48"/>
          <w:szCs w:val="48"/>
        </w:rPr>
        <w:t xml:space="preserve">PREA Compliance: Where We Stand</w:t>
      </w:r>
    </w:p>
    <w:p>
      <w:pPr>
        <w:spacing w:after="360"/>
        <w:jc w:val="center"/>
      </w:pPr>
      <w:r>
        <w:rPr>
          <w:b w:val="false"/>
          <w:bCs w:val="false"/>
          <w:i w:val="false"/>
          <w:iCs w:val="false"/>
          <w:color w:val="595959"/>
          <w:sz w:val="32"/>
          <w:szCs w:val="32"/>
        </w:rPr>
        <w:t xml:space="preserve">Management briefing</w:t>
      </w:r>
    </w:p>
    <w:p>
      <w:pPr>
        <w:spacing w:after="40"/>
        <w:jc w:val="center"/>
      </w:pPr>
      <w:r>
        <w:rPr>
          <w:b w:val="false"/>
          <w:bCs w:val="false"/>
          <w:i w:val="false"/>
          <w:iCs w:val="false"/>
          <w:color w:val="1A1A1A"/>
          <w:sz w:val="26"/>
          <w:szCs w:val="26"/>
        </w:rPr>
        <w:t xml:space="preserve">Sacramento County Probation Department</w:t>
      </w:r>
    </w:p>
    <w:p>
      <w:pPr>
        <w:spacing w:after="360"/>
        <w:jc w:val="center"/>
      </w:pPr>
      <w:r>
        <w:rPr>
          <w:b w:val="false"/>
          <w:bCs w:val="false"/>
          <w:i w:val="false"/>
          <w:iCs w:val="false"/>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WORKING DRAFT. Not legal advice. Route to County Counsel before circulating outside the department.</w:t>
            </w:r>
          </w:p>
        </w:tc>
      </w:tr>
    </w:tbl>
    <w:p>
      <w:pPr>
        <w:spacing w:before="320"/>
        <w:jc w:val="center"/>
      </w:pPr>
      <w:r>
        <w:rPr>
          <w:b w:val="false"/>
          <w:bCs w:val="false"/>
          <w:i w:val="false"/>
          <w:iCs w:val="false"/>
          <w:color w:val="595959"/>
          <w:sz w:val="24"/>
          <w:szCs w:val="24"/>
        </w:rPr>
        <w:t xml:space="preserve">Drawn from gap register Revision 11, 91 requirements assessed against 17 departmental documents.</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The short version</w:t>
      </w:r>
    </w:p>
    <w:p>
      <w:pPr>
        <w:spacing w:after="140" w:line="276"/>
      </w:pPr>
      <w:r>
        <w:rPr>
          <w:b w:val="false"/>
          <w:bCs w:val="false"/>
          <w:i w:val="false"/>
          <w:iCs w:val="false"/>
          <w:color w:val="1A1A1A"/>
          <w:sz w:val="24"/>
          <w:szCs w:val="24"/>
        </w:rPr>
        <w:t xml:space="preserve">Five things. Then the detail behind each one.</w:t>
      </w:r>
    </w:p>
    <w:p>
      <w:pPr>
        <w:spacing w:after="130" w:line="276"/>
      </w:pPr>
      <w:r>
        <w:rPr>
          <w:b/>
          <w:bCs/>
          <w:i w:val="false"/>
          <w:iCs w:val="false"/>
          <w:color w:val="1A1A1A"/>
          <w:sz w:val="24"/>
          <w:szCs w:val="24"/>
        </w:rPr>
        <w:t xml:space="preserve">1.  </w:t>
      </w:r>
      <w:r>
        <w:rPr>
          <w:b w:val="false"/>
          <w:bCs w:val="false"/>
          <w:i w:val="false"/>
          <w:iCs w:val="false"/>
          <w:color w:val="1A1A1A"/>
          <w:sz w:val="24"/>
          <w:szCs w:val="24"/>
        </w:rPr>
        <w:t xml:space="preserve"/>
      </w:r>
      <w:r>
        <w:rPr>
          <w:b/>
          <w:bCs/>
          <w:i w:val="false"/>
          <w:iCs w:val="false"/>
          <w:color w:val="1A1A1A"/>
          <w:sz w:val="24"/>
          <w:szCs w:val="24"/>
        </w:rPr>
        <w:t xml:space="preserve">PREA applies to us.</w:t>
      </w:r>
      <w:r>
        <w:rPr>
          <w:b w:val="false"/>
          <w:bCs w:val="false"/>
          <w:i w:val="false"/>
          <w:iCs w:val="false"/>
          <w:color w:val="1A1A1A"/>
          <w:sz w:val="24"/>
          <w:szCs w:val="24"/>
        </w:rPr>
        <w:t xml:space="preserve"> It covers county juvenile facilities. But there is no federal fine for a county and no one can sue us under PREA itself. So the standards are not the risk. They are the yardstick somebody else measures us with.</w:t>
      </w:r>
    </w:p>
    <w:p>
      <w:pPr>
        <w:spacing w:after="130" w:line="276"/>
      </w:pPr>
      <w:r>
        <w:rPr>
          <w:b/>
          <w:bCs/>
          <w:i w:val="false"/>
          <w:iCs w:val="false"/>
          <w:color w:val="1A1A1A"/>
          <w:sz w:val="24"/>
          <w:szCs w:val="24"/>
        </w:rPr>
        <w:t xml:space="preserve">2.  </w:t>
      </w:r>
      <w:r>
        <w:rPr>
          <w:b w:val="false"/>
          <w:bCs w:val="false"/>
          <w:i w:val="false"/>
          <w:iCs w:val="false"/>
          <w:color w:val="1A1A1A"/>
          <w:sz w:val="24"/>
          <w:szCs w:val="24"/>
        </w:rPr>
        <w:t xml:space="preserve"/>
      </w:r>
      <w:r>
        <w:rPr>
          <w:b/>
          <w:bCs/>
          <w:i w:val="false"/>
          <w:iCs w:val="false"/>
          <w:color w:val="1A1A1A"/>
          <w:sz w:val="24"/>
          <w:szCs w:val="24"/>
        </w:rPr>
        <w:t xml:space="preserve">The risk is state law and getting sued.</w:t>
      </w:r>
      <w:r>
        <w:rPr>
          <w:b w:val="false"/>
          <w:bCs w:val="false"/>
          <w:i w:val="false"/>
          <w:iCs w:val="false"/>
          <w:color w:val="1A1A1A"/>
          <w:sz w:val="24"/>
          <w:szCs w:val="24"/>
        </w:rPr>
        <w:t xml:space="preserve"> Title 15 writes PREA content into about ten sections, and BSCC inspects us against it every two years. And a 2024 law removed the deadline for suing over childhood sexual assault. A claim from a resident in our care today never expires.</w:t>
      </w:r>
    </w:p>
    <w:p>
      <w:pPr>
        <w:spacing w:after="130" w:line="276"/>
      </w:pPr>
      <w:r>
        <w:rPr>
          <w:b/>
          <w:bCs/>
          <w:i w:val="false"/>
          <w:iCs w:val="false"/>
          <w:color w:val="1A1A1A"/>
          <w:sz w:val="24"/>
          <w:szCs w:val="24"/>
        </w:rPr>
        <w:t xml:space="preserve">3.  </w:t>
      </w:r>
      <w:r>
        <w:rPr>
          <w:b w:val="false"/>
          <w:bCs w:val="false"/>
          <w:i w:val="false"/>
          <w:iCs w:val="false"/>
          <w:color w:val="1A1A1A"/>
          <w:sz w:val="24"/>
          <w:szCs w:val="24"/>
        </w:rPr>
        <w:t xml:space="preserve"/>
      </w:r>
      <w:r>
        <w:rPr>
          <w:b/>
          <w:bCs/>
          <w:i w:val="false"/>
          <w:iCs w:val="false"/>
          <w:color w:val="1A1A1A"/>
          <w:sz w:val="24"/>
          <w:szCs w:val="24"/>
        </w:rPr>
        <w:t xml:space="preserve">We have the policies. The problem is what some of them say.</w:t>
      </w:r>
      <w:r>
        <w:rPr>
          <w:b w:val="false"/>
          <w:bCs w:val="false"/>
          <w:i w:val="false"/>
          <w:iCs w:val="false"/>
          <w:color w:val="1A1A1A"/>
          <w:sz w:val="24"/>
          <w:szCs w:val="24"/>
        </w:rPr>
        <w:t xml:space="preserve"> We checked 91 requirements against 17 of our policies. Thirteen are not missing pieces. They are places where our own policy tells staff to do something the law does not allow, or tells them the opposite of what another one of our policies says. Those are the expensive ones, because a written wrong rule is evidence. Most are fixable by amending a paragraph.</w:t>
      </w:r>
    </w:p>
    <w:p>
      <w:pPr>
        <w:spacing w:after="130" w:line="276"/>
      </w:pPr>
      <w:r>
        <w:rPr>
          <w:b/>
          <w:bCs/>
          <w:i w:val="false"/>
          <w:iCs w:val="false"/>
          <w:color w:val="1A1A1A"/>
          <w:sz w:val="24"/>
          <w:szCs w:val="24"/>
        </w:rPr>
        <w:t xml:space="preserve">4.  </w:t>
      </w:r>
      <w:r>
        <w:rPr>
          <w:b w:val="false"/>
          <w:bCs w:val="false"/>
          <w:i w:val="false"/>
          <w:iCs w:val="false"/>
          <w:color w:val="1A1A1A"/>
          <w:sz w:val="24"/>
          <w:szCs w:val="24"/>
        </w:rPr>
        <w:t xml:space="preserve"/>
      </w:r>
      <w:r>
        <w:rPr>
          <w:b/>
          <w:bCs/>
          <w:i w:val="false"/>
          <w:iCs w:val="false"/>
          <w:color w:val="1A1A1A"/>
          <w:sz w:val="24"/>
          <w:szCs w:val="24"/>
        </w:rPr>
        <w:t xml:space="preserve">Three of the thirteen put individual staff at risk, not just the County.</w:t>
      </w:r>
      <w:r>
        <w:rPr>
          <w:b w:val="false"/>
          <w:bCs w:val="false"/>
          <w:i w:val="false"/>
          <w:iCs w:val="false"/>
          <w:color w:val="1A1A1A"/>
          <w:sz w:val="24"/>
          <w:szCs w:val="24"/>
        </w:rPr>
        <w:t xml:space="preserve"> Our child abuse reporting deadline is wrong in two documents. One order tells supervisors to question a youth without mentioning a law that took effect in 2021. Both can be fixed this quarter.</w:t>
      </w:r>
    </w:p>
    <w:p>
      <w:pPr>
        <w:spacing w:after="130" w:line="276"/>
      </w:pPr>
      <w:r>
        <w:rPr>
          <w:b/>
          <w:bCs/>
          <w:i w:val="false"/>
          <w:iCs w:val="false"/>
          <w:color w:val="1A1A1A"/>
          <w:sz w:val="24"/>
          <w:szCs w:val="24"/>
        </w:rPr>
        <w:t xml:space="preserve">5.  </w:t>
      </w:r>
      <w:r>
        <w:rPr>
          <w:b w:val="false"/>
          <w:bCs w:val="false"/>
          <w:i w:val="false"/>
          <w:iCs w:val="false"/>
          <w:color w:val="1A1A1A"/>
          <w:sz w:val="24"/>
          <w:szCs w:val="24"/>
        </w:rPr>
        <w:t xml:space="preserve"/>
      </w:r>
      <w:r>
        <w:rPr>
          <w:b/>
          <w:bCs/>
          <w:i w:val="false"/>
          <w:iCs w:val="false"/>
          <w:color w:val="1A1A1A"/>
          <w:sz w:val="24"/>
          <w:szCs w:val="24"/>
        </w:rPr>
        <w:t xml:space="preserve">Seven of the fifteen fixes are already written and ready to review.</w:t>
      </w:r>
      <w:r>
        <w:rPr>
          <w:b w:val="false"/>
          <w:bCs w:val="false"/>
          <w:i w:val="false"/>
          <w:iCs w:val="false"/>
          <w:color w:val="1A1A1A"/>
          <w:sz w:val="24"/>
          <w:szCs w:val="24"/>
        </w:rPr>
        <w:t xml:space="preserve"> The other eight need a decision from this room, not more analysis. That is the ask.</w:t>
      </w:r>
    </w:p>
    <w:p>
      <w:r>
        <w:br w:type="page"/>
      </w:r>
    </w:p>
    <w:p>
      <w:pPr>
        <w:pStyle w:val="Heading1"/>
      </w:pPr>
      <w:r>
        <w:t xml:space="preserve">Does PREA actually bind us</w:t>
      </w:r>
    </w:p>
    <w:p>
      <w:pPr>
        <w:spacing w:after="140" w:line="276"/>
      </w:pPr>
      <w:r>
        <w:rPr>
          <w:b w:val="false"/>
          <w:bCs w:val="false"/>
          <w:i w:val="false"/>
          <w:iCs w:val="false"/>
          <w:color w:val="1A1A1A"/>
          <w:sz w:val="24"/>
          <w:szCs w:val="24"/>
        </w:rPr>
        <w:t xml:space="preserve">This gets asked first every time, so it is settled here. The answer has two halves and the second one is the one that matters.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Yes, as a standard.</w:t>
      </w:r>
      <w:r>
        <w:rPr>
          <w:b w:val="false"/>
          <w:bCs w:val="false"/>
          <w:i w:val="false"/>
          <w:iCs w:val="false"/>
          <w:color w:val="1A1A1A"/>
          <w:sz w:val="24"/>
          <w:szCs w:val="24"/>
        </w:rPr>
        <w:t xml:space="preserve"> PREA covers local government confinement facilities, 34 U.S.C. 30309(7). Agency includes local units, 28 CFR 115.5. Subpart D covers juvenile facilities. DOJ guidance states the standards apply equally to locally operated facilities.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No, as a direct federal penalty.</w:t>
      </w:r>
      <w:r>
        <w:rPr>
          <w:b w:val="false"/>
          <w:bCs w:val="false"/>
          <w:i w:val="false"/>
          <w:iCs w:val="false"/>
          <w:color w:val="1A1A1A"/>
          <w:sz w:val="24"/>
          <w:szCs w:val="24"/>
        </w:rPr>
        <w:t xml:space="preserve"> The five percent grant penalty, 34 U.S.C. 30307(c)(2), runs through the governor's certification, which 28 CFR 115.501(b) limits to state executive branch facilities. The Attorney General's own overview states it does not encompass county facilities. There is no private right of action under PREA.</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And that is exactly why we are exposed.</w:t>
      </w:r>
      <w:r>
        <w:rPr>
          <w:b w:val="false"/>
          <w:bCs w:val="false"/>
          <w:i w:val="false"/>
          <w:iCs w:val="false"/>
          <w:color w:val="1A1A1A"/>
          <w:sz w:val="24"/>
          <w:szCs w:val="24"/>
        </w:rPr>
        <w:t xml:space="preserve"> DJJ closed 06/30/2023, so no California juvenile facility sits inside any governor's certification. Counties are persons under 42 U.S.C. 1983, with no Eleventh Amendment immunity and no qualified immunity for the entity. Being county run is what creates the damages exposure rather than removing it.</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California has not adopted a PREA audit requirement for juvenile facilities.</w:t>
      </w:r>
      <w:r>
        <w:rPr>
          <w:b w:val="false"/>
          <w:bCs w:val="false"/>
          <w:i w:val="false"/>
          <w:iCs w:val="false"/>
          <w:color w:val="1A1A1A"/>
          <w:sz w:val="24"/>
          <w:szCs w:val="24"/>
        </w:rPr>
        <w:t xml:space="preserve"> Both editions of Title 15 read for this project contain no PREA reference and no facility audit requirement. So nobody is coming to audit us. The exposure arrives as a BSCC inspection finding or as a lawsuit, not as an audit report.</w:t>
      </w:r>
    </w:p>
    <w:p>
      <w:r>
        <w:br w:type="page"/>
      </w:r>
    </w:p>
    <w:p>
      <w:pPr>
        <w:pStyle w:val="Heading1"/>
      </w:pPr>
      <w:r>
        <w:t xml:space="preserve">Where we stand, by the numbers</w:t>
      </w:r>
    </w:p>
    <w:p>
      <w:pPr>
        <w:spacing w:after="140" w:line="276"/>
      </w:pPr>
      <w:r>
        <w:rPr>
          <w:b w:val="false"/>
          <w:bCs w:val="false"/>
          <w:i w:val="false"/>
          <w:iCs w:val="false"/>
          <w:color w:val="1A1A1A"/>
          <w:sz w:val="24"/>
          <w:szCs w:val="24"/>
        </w:rPr>
        <w:t xml:space="preserve">91 requirements from 28 CFR Part 115 Subpart D and Title 15, assessed against the 17 departmental documents produced to this review. The counts below are read out of the register at build time, so this page cannot drift from it.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900"/>
        <w:gridCol w:w="1240"/>
        <w:gridCol w:w="800"/>
        <w:gridCol w:w="2900"/>
        <w:gridCol w:w="2240"/>
      </w:tblGrid>
      <w:tr>
        <w:trPr>
          <w:tblHeader/>
        </w:trPr>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Status</w:t>
            </w:r>
          </w:p>
        </w:tc>
        <w:tc>
          <w:tcPr>
            <w:tcW w:type="dxa" w:w="124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Rows</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Priority</w:t>
            </w:r>
          </w:p>
        </w:tc>
        <w:tc>
          <w:tcPr>
            <w:tcW w:type="dxa" w:w="224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Rows</w:t>
            </w:r>
          </w:p>
        </w:tc>
      </w:tr>
      <w:tr>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Conflict</w:t>
            </w:r>
          </w:p>
        </w:tc>
        <w:tc>
          <w:tcPr>
            <w:tcW w:type="dxa" w:w="124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13</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Critical</w:t>
            </w:r>
          </w:p>
        </w:tc>
        <w:tc>
          <w:tcPr>
            <w:tcW w:type="dxa" w:w="224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22</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Addressed</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21</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High</w:t>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39</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Partial</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41</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Medium</w:t>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Addressed</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Low</w:t>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Evidenced</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
            </w:r>
          </w:p>
        </w:tc>
      </w:tr>
    </w:tbl>
    <w:p>
      <w:pPr>
        <w:spacing w:after="14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8"/>
            </w:pPr>
            <w:r>
              <w:rPr>
                <w:b w:val="false"/>
                <w:bCs w:val="false"/>
                <w:i w:val="false"/>
                <w:iCs w:val="false"/>
                <w:color w:val="1A1A1A"/>
                <w:sz w:val="24"/>
                <w:szCs w:val="24"/>
              </w:rPr>
              <w:t xml:space="preserve"/>
            </w:r>
            <w:r>
              <w:rPr>
                <w:b/>
                <w:bCs/>
                <w:i w:val="false"/>
                <w:iCs w:val="false"/>
                <w:color w:val="1A1A1A"/>
                <w:sz w:val="24"/>
                <w:szCs w:val="24"/>
              </w:rPr>
              <w:t xml:space="preserve">Read the Conflict row first.</w:t>
            </w:r>
            <w:r>
              <w:rPr>
                <w:b w:val="false"/>
                <w:bCs w:val="false"/>
                <w:i w:val="false"/>
                <w:iCs w:val="false"/>
                <w:color w:val="1A1A1A"/>
                <w:sz w:val="24"/>
                <w:szCs w:val="24"/>
              </w:rPr>
              <w:t xml:space="preserve"> Not Addressed means we have not written it down yet. Conflict means we have written down the wrong rule. The second is worse: it is harder to defend, it is already in staff hands, and it is cheaper to fix. Not Evidenced means the document is referenced in another policy but has not been produced to this review, so no finding is made either way.</w:t>
            </w:r>
          </w:p>
        </w:tc>
      </w:tr>
    </w:tbl>
    <w:p>
      <w:r>
        <w:br w:type="page"/>
      </w:r>
    </w:p>
    <w:p>
      <w:pPr>
        <w:pStyle w:val="Heading1"/>
      </w:pPr>
      <w:r>
        <w:t xml:space="preserve">Where the real exposure is</w:t>
      </w:r>
    </w:p>
    <w:p>
      <w:pPr>
        <w:spacing w:after="140" w:line="276"/>
      </w:pPr>
      <w:r>
        <w:rPr>
          <w:b w:val="false"/>
          <w:bCs w:val="false"/>
          <w:i w:val="false"/>
          <w:iCs w:val="false"/>
          <w:color w:val="1A1A1A"/>
          <w:sz w:val="24"/>
          <w:szCs w:val="24"/>
        </w:rPr>
        <w:t xml:space="preserve">Not 91 items. These seven. Each one is in the register with the policy language behind it. Each reads the same way: what our policy says, what the law says, what it costs us, the fix, and what we need from you.</w:t>
      </w:r>
    </w:p>
    <w:p>
      <w:pPr>
        <w:pStyle w:val="Heading2"/>
        <w:spacing w:after="60" w:before="260"/>
      </w:pPr>
      <w:r>
        <w:rPr>
          <w:b/>
          <w:bCs/>
          <w:i w:val="false"/>
          <w:iCs w:val="false"/>
          <w:color w:val="1A1A1A"/>
          <w:sz w:val="30"/>
          <w:szCs w:val="30"/>
        </w:rPr>
        <w:t xml:space="preserve">1.  </w:t>
      </w:r>
      <w:r>
        <w:rPr>
          <w:b/>
          <w:bCs/>
          <w:i w:val="false"/>
          <w:iCs w:val="false"/>
          <w:color w:val="1A1A1A"/>
          <w:sz w:val="30"/>
          <w:szCs w:val="30"/>
        </w:rPr>
        <w:t xml:space="preserve">Automatic single room housing for LGBTQI, transgender and intersex youth</w:t>
      </w:r>
    </w:p>
    <w:p>
      <w:pPr>
        <w:spacing w:after="160"/>
      </w:pPr>
      <w:r>
        <w:rPr>
          <w:b w:val="false"/>
          <w:bCs w:val="false"/>
          <w:i/>
          <w:iCs/>
          <w:color w:val="595959"/>
          <w:sz w:val="24"/>
          <w:szCs w:val="24"/>
        </w:rPr>
        <w:t xml:space="preserve">Register rows 36, 37</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1352 II.M puts every LGBTQI youth in classification S-8. III.I.1 then says every S-8 youth gets a single room at all times. OO 1352.5 III.I does the same for every transgender and intersex youth.</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15 CCR 1352(e) says you cannot pull a youth out of general population, or put them in a single room, just because of who they are. It spells out the lawful alternative: decide case by case, or give a single room when the youth asks for one. 115.342(c) says the same. 15 CCR 1324(k) separately says our policy manual itself cannot contain a rule like this.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This is the easiest finding anyone could make against us, for three reasons. </w:t>
            </w:r>
            <w:r>
              <w:rPr>
                <w:b/>
                <w:bCs/>
                <w:i w:val="false"/>
                <w:iCs w:val="false"/>
                <w:color w:val="1A1A1A"/>
                <w:sz w:val="24"/>
                <w:szCs w:val="24"/>
              </w:rPr>
              <w:t xml:space="preserve">The dates.</w:t>
            </w:r>
            <w:r>
              <w:rPr>
                <w:b w:val="false"/>
                <w:bCs w:val="false"/>
                <w:i w:val="false"/>
                <w:iCs w:val="false"/>
                <w:color w:val="1A1A1A"/>
                <w:sz w:val="24"/>
                <w:szCs w:val="24"/>
              </w:rPr>
              <w:t xml:space="preserve"> The state rule is not new. It has been in force since April 2014. We created S-8 in December 2019 and kept it on a February 2020 revision. That is five and a half years after the rule existed. </w:t>
            </w:r>
            <w:r>
              <w:rPr>
                <w:b/>
                <w:bCs/>
                <w:i w:val="false"/>
                <w:iCs w:val="false"/>
                <w:color w:val="1A1A1A"/>
                <w:sz w:val="24"/>
                <w:szCs w:val="24"/>
              </w:rPr>
              <w:t xml:space="preserve">Our own order convicts us.</w:t>
            </w:r>
            <w:r>
              <w:rPr>
                <w:b w:val="false"/>
                <w:bCs w:val="false"/>
                <w:i w:val="false"/>
                <w:iCs w:val="false"/>
                <w:color w:val="1A1A1A"/>
                <w:sz w:val="24"/>
                <w:szCs w:val="24"/>
              </w:rPr>
              <w:t xml:space="preserve"> The single room sentence for S-8 and the single room sentence for S-4 High are word for word identical. They are the only two in the whole order. S-4 High is the category for youth with documented sex offences. So we give LGBTQI youth the exact housing restriction we reserve for adjudicated sex offenders, and we give it to nobody else. </w:t>
            </w:r>
            <w:r>
              <w:rPr>
                <w:b/>
                <w:bCs/>
                <w:i w:val="false"/>
                <w:iCs w:val="false"/>
                <w:color w:val="1A1A1A"/>
                <w:sz w:val="24"/>
                <w:szCs w:val="24"/>
              </w:rPr>
              <w:t xml:space="preserve">The order argues with itself.</w:t>
            </w:r>
            <w:r>
              <w:rPr>
                <w:b w:val="false"/>
                <w:bCs w:val="false"/>
                <w:i w:val="false"/>
                <w:iCs w:val="false"/>
                <w:color w:val="1A1A1A"/>
                <w:sz w:val="24"/>
                <w:szCs w:val="24"/>
              </w:rPr>
              <w:t xml:space="preserve"> II.M.1.a says go look at the transgender policy for housing. III.I.1 then decides housing anyway.</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Changes 1 and 2, already written. Strike the automatic single room rule and replace it with the state rule word for word, including its own exception for a youth who asks for a single room. Make single occupancy something you decide and document, not something a label triggers. A fourth paragraph stops this coming back under a different letter.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Nothing. This one is ready to move.</w:t>
            </w:r>
          </w:p>
        </w:tc>
      </w:tr>
    </w:tbl>
    <w:p>
      <w:r>
        <w:br w:type="page"/>
      </w:r>
    </w:p>
    <w:p>
      <w:pPr>
        <w:pStyle w:val="Heading2"/>
        <w:spacing w:after="60" w:before="0"/>
      </w:pPr>
      <w:r>
        <w:rPr>
          <w:b/>
          <w:bCs/>
          <w:i w:val="false"/>
          <w:iCs w:val="false"/>
          <w:color w:val="1A1A1A"/>
          <w:sz w:val="30"/>
          <w:szCs w:val="30"/>
        </w:rPr>
        <w:t xml:space="preserve">2.  </w:t>
      </w:r>
      <w:r>
        <w:rPr>
          <w:b/>
          <w:bCs/>
          <w:i w:val="false"/>
          <w:iCs w:val="false"/>
          <w:color w:val="1A1A1A"/>
          <w:sz w:val="30"/>
          <w:szCs w:val="30"/>
        </w:rPr>
        <w:t xml:space="preserve">The child abuse reporting timeline is wrong, in two documents</w:t>
      </w:r>
    </w:p>
    <w:p>
      <w:pPr>
        <w:spacing w:after="160"/>
      </w:pPr>
      <w:r>
        <w:rPr>
          <w:b w:val="false"/>
          <w:bCs w:val="false"/>
          <w:i/>
          <w:iCs/>
          <w:color w:val="595959"/>
          <w:sz w:val="24"/>
          <w:szCs w:val="24"/>
        </w:rPr>
        <w:t xml:space="preserve">Register row 48</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PREA Policy V.A.4 and OO 1453 I.A.9 both say we call Child Protective Services within 24 hours. OO 1453 repeated it on a December 2019 revision.</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Penal Code 11166(a) says telephone immediately, or as soon as you practically can. The written report on form SS 8572 goes in within 36 hours.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w:t>
            </w:r>
            <w:r>
              <w:rPr>
                <w:b/>
                <w:bCs/>
                <w:i w:val="false"/>
                <w:iCs w:val="false"/>
                <w:color w:val="1A1A1A"/>
                <w:sz w:val="24"/>
                <w:szCs w:val="24"/>
              </w:rPr>
              <w:t xml:space="preserve">This one can get a staff member prosecuted, not just sued.</w:t>
            </w:r>
            <w:r>
              <w:rPr>
                <w:b w:val="false"/>
                <w:bCs w:val="false"/>
                <w:i w:val="false"/>
                <w:iCs w:val="false"/>
                <w:color w:val="1A1A1A"/>
                <w:sz w:val="24"/>
                <w:szCs w:val="24"/>
              </w:rPr>
              <w:t xml:space="preserve"> The duty belongs to the person who formed the suspicion. No supervisor can get in the way of it. There are criminal penalties for not reporting. So a staff member who follows our written policy exactly is the one exposed. And our Code of Conduct states the rule correctly, so we cannot argue nobody here knew.</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3, written and staged. Fix both documents now. Replace both with a pointer to one new department wide General Order once it issues. Reading OO 1453 in full also showed the order only ever talks about sexual assault, so the new wording is keyed to the reporting trigger in the law instead. That fixes the deadline and the scope together.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Find out whether the county has named Probation as an agency that receives these reports. One paragraph of the draft depends on it and nobody has confirmed it.</w:t>
            </w:r>
          </w:p>
        </w:tc>
      </w:tr>
    </w:tbl>
    <w:p>
      <w:r>
        <w:br w:type="page"/>
      </w:r>
    </w:p>
    <w:p>
      <w:pPr>
        <w:pStyle w:val="Heading2"/>
        <w:spacing w:after="60" w:before="0"/>
      </w:pPr>
      <w:r>
        <w:rPr>
          <w:b/>
          <w:bCs/>
          <w:i w:val="false"/>
          <w:iCs w:val="false"/>
          <w:color w:val="1A1A1A"/>
          <w:sz w:val="30"/>
          <w:szCs w:val="30"/>
        </w:rPr>
        <w:t xml:space="preserve">3.  </w:t>
      </w:r>
      <w:r>
        <w:rPr>
          <w:b/>
          <w:bCs/>
          <w:i w:val="false"/>
          <w:iCs w:val="false"/>
          <w:color w:val="1A1A1A"/>
          <w:sz w:val="30"/>
          <w:szCs w:val="30"/>
        </w:rPr>
        <w:t xml:space="preserve">The interrogation instruction omits a statute that took effect in 2021</w:t>
      </w:r>
    </w:p>
    <w:p>
      <w:pPr>
        <w:spacing w:after="160"/>
      </w:pPr>
      <w:r>
        <w:rPr>
          <w:b w:val="false"/>
          <w:bCs w:val="false"/>
          <w:i/>
          <w:iCs/>
          <w:color w:val="595959"/>
          <w:sz w:val="24"/>
          <w:szCs w:val="24"/>
        </w:rPr>
        <w:t xml:space="preserve">Register row 91</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1453 I.A.6: the duty supervisor takes an initial statement from the victim and the suspect, and reads the suspect a Miranda warning before any questioning.</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WIC 625.6, in force since January 2021, says a youth 17 or younger has to talk to a lawyer before a custodial interrogation and before giving up Miranda rights. The youth cannot waive that conversation. WIC 625.7, in force since July 2024, separately bars deception and psychologically manipulative questioning of a youth 17 or younger.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w:t>
            </w:r>
            <w:r>
              <w:rPr>
                <w:b/>
                <w:bCs/>
                <w:i w:val="false"/>
                <w:iCs w:val="false"/>
                <w:color w:val="1A1A1A"/>
                <w:sz w:val="24"/>
                <w:szCs w:val="24"/>
              </w:rPr>
              <w:t xml:space="preserve">Our order says nothing about either law.</w:t>
            </w:r>
            <w:r>
              <w:rPr>
                <w:b w:val="false"/>
                <w:bCs w:val="false"/>
                <w:i w:val="false"/>
                <w:iCs w:val="false"/>
                <w:color w:val="1A1A1A"/>
                <w:sz w:val="24"/>
                <w:szCs w:val="24"/>
              </w:rPr>
              <w:t xml:space="preserve"> It was last revised in December 2019, before both. The practical cost is that a statement taken under our own order can sink the case it was meant to build, and a judge can weigh a deliberate violation against the supervisor's credibility as a witness. </w:t>
            </w:r>
            <w:r>
              <w:rPr>
                <w:b/>
                <w:bCs/>
                <w:i w:val="false"/>
                <w:iCs w:val="false"/>
                <w:color w:val="1A1A1A"/>
                <w:sz w:val="24"/>
                <w:szCs w:val="24"/>
              </w:rPr>
              <w:t xml:space="preserve">One important qualifier, and it may matter a lot.</w:t>
            </w:r>
            <w:r>
              <w:rPr>
                <w:b w:val="false"/>
                <w:bCs w:val="false"/>
                <w:i w:val="false"/>
                <w:iCs w:val="false"/>
                <w:color w:val="1A1A1A"/>
                <w:sz w:val="24"/>
                <w:szCs w:val="24"/>
              </w:rPr>
              <w:t xml:space="preserve"> WIC 625.6(d) says the rule does not apply to a probation officer doing normal duties under three specific sections of the code. Those sections are about booking a youth in and deciding whether to hold them, not about questioning a youth over a new offence inside the facility. We think the exemption does not cover this. But we have found no court decision either way, and County Counsel should answer it before we rely on anything here.</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8, drafted today, and you have it as a tracked changes copy of the order. It splits the victim statement from the suspect statement, adds the lawyer consultation, writes the emergency exception narrowly and requires it to be documented, adds the ban on deception, and says plainly where a supervisor stops and an investigator starts.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Send WIC 625.6(d) to County Counsel. That one answer decides whether this is a violation we are carrying or a good practice we should adopt anyway.</w:t>
            </w:r>
          </w:p>
        </w:tc>
      </w:tr>
    </w:tbl>
    <w:p>
      <w:r>
        <w:br w:type="page"/>
      </w:r>
    </w:p>
    <w:p>
      <w:pPr>
        <w:pStyle w:val="Heading2"/>
        <w:spacing w:after="60" w:before="0"/>
      </w:pPr>
      <w:r>
        <w:rPr>
          <w:b/>
          <w:bCs/>
          <w:i w:val="false"/>
          <w:iCs w:val="false"/>
          <w:color w:val="1A1A1A"/>
          <w:sz w:val="30"/>
          <w:szCs w:val="30"/>
        </w:rPr>
        <w:t xml:space="preserve">4.  </w:t>
      </w:r>
      <w:r>
        <w:rPr>
          <w:b/>
          <w:bCs/>
          <w:i w:val="false"/>
          <w:iCs w:val="false"/>
          <w:color w:val="1A1A1A"/>
          <w:sz w:val="30"/>
          <w:szCs w:val="30"/>
        </w:rPr>
        <w:t xml:space="preserve">We have no PREA Coordinator, and one of our own orders routes work to one</w:t>
      </w:r>
    </w:p>
    <w:p>
      <w:pPr>
        <w:spacing w:after="160"/>
      </w:pPr>
      <w:r>
        <w:rPr>
          <w:b w:val="false"/>
          <w:bCs w:val="false"/>
          <w:i/>
          <w:iCs/>
          <w:color w:val="595959"/>
          <w:sz w:val="24"/>
          <w:szCs w:val="24"/>
        </w:rPr>
        <w:t xml:space="preserve">Register rows 2, 3</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1453 I.A.15 says the incident review report goes to the PREA Coordinator. We do not have one.</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115.311(b) requires an agency wide PREA Coordinator with real authority and real time for the job. 115.311(c) requires a compliance manager at each facility if we run more than one.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Two problems, and the second is the bad one. The report has nowhere to go, so our incident review process ends at an empty chair. And the order is a </w:t>
            </w:r>
            <w:r>
              <w:rPr>
                <w:b/>
                <w:bCs/>
                <w:i w:val="false"/>
                <w:iCs w:val="false"/>
                <w:color w:val="1A1A1A"/>
                <w:sz w:val="24"/>
                <w:szCs w:val="24"/>
              </w:rPr>
              <w:t xml:space="preserve">signed departmental document, dated December 2019, saying we need the role.</w:t>
            </w:r>
            <w:r>
              <w:rPr>
                <w:b w:val="false"/>
                <w:bCs w:val="false"/>
                <w:i w:val="false"/>
                <w:iCs w:val="false"/>
                <w:color w:val="1A1A1A"/>
                <w:sz w:val="24"/>
                <w:szCs w:val="24"/>
              </w:rPr>
              <w:t xml:space="preserve"> That is much harder to answer than simply never having mentioned it.</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8 in the master report. This is naming somebody and giving them the hours. It is not a drafting job.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Name a PREA Coordinator and a facility compliance manager. Nothing else is blocking this.</w:t>
            </w:r>
          </w:p>
        </w:tc>
      </w:tr>
    </w:tbl>
    <w:p>
      <w:r>
        <w:br w:type="page"/>
      </w:r>
    </w:p>
    <w:p>
      <w:pPr>
        <w:pStyle w:val="Heading2"/>
        <w:spacing w:after="60" w:before="0"/>
      </w:pPr>
      <w:r>
        <w:rPr>
          <w:b/>
          <w:bCs/>
          <w:i w:val="false"/>
          <w:iCs w:val="false"/>
          <w:color w:val="1A1A1A"/>
          <w:sz w:val="30"/>
          <w:szCs w:val="30"/>
        </w:rPr>
        <w:t xml:space="preserve">5.  </w:t>
      </w:r>
      <w:r>
        <w:rPr>
          <w:b/>
          <w:bCs/>
          <w:i w:val="false"/>
          <w:iCs w:val="false"/>
          <w:color w:val="1A1A1A"/>
          <w:sz w:val="30"/>
          <w:szCs w:val="30"/>
        </w:rPr>
        <w:t xml:space="preserve">Nothing is written for the band of conduct that generates most incidents</w:t>
      </w:r>
    </w:p>
    <w:p>
      <w:pPr>
        <w:spacing w:after="160"/>
      </w:pPr>
      <w:r>
        <w:rPr>
          <w:b w:val="false"/>
          <w:bCs w:val="false"/>
          <w:i/>
          <w:iCs/>
          <w:color w:val="595959"/>
          <w:sz w:val="24"/>
          <w:szCs w:val="24"/>
        </w:rPr>
        <w:t xml:space="preserve">Register rows 47, 54, 69</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1453 is titled Sexual Assault. Every duty in it is keyed to those words: the staff reporting duty, the CPS call, the incident review.</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115.361(a) requires staff to report sexual abuse </w:t>
      </w:r>
      <w:r>
        <w:rPr>
          <w:b/>
          <w:bCs/>
          <w:i w:val="false"/>
          <w:iCs w:val="false"/>
          <w:color w:val="1A1A1A"/>
          <w:sz w:val="24"/>
          <w:szCs w:val="24"/>
        </w:rPr>
        <w:t xml:space="preserve">or sexual harassment</w:t>
      </w:r>
      <w:r>
        <w:rPr>
          <w:b w:val="false"/>
          <w:bCs w:val="false"/>
          <w:i w:val="false"/>
          <w:iCs w:val="false"/>
          <w:color w:val="1A1A1A"/>
          <w:sz w:val="24"/>
          <w:szCs w:val="24"/>
        </w:rPr>
        <w:t xml:space="preserve">. 115.6 defines harassment to include repeated unwelcome comments of a sexual nature. Title 15 goes further than the federal rule in two ways: it counts coercion by manipulation, and it reaches residents watching other residents.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Across three pages and fifteen items, nothing in OO 1453 reaches harassment, indecent exposure, or touching that is not called assault. So we have a solid response plan for the worst band and nothing written for the band that produces most of the incidents. </w:t>
            </w:r>
            <w:r>
              <w:rPr>
                <w:b/>
                <w:bCs/>
                <w:i w:val="false"/>
                <w:iCs w:val="false"/>
                <w:color w:val="1A1A1A"/>
                <w:sz w:val="24"/>
                <w:szCs w:val="24"/>
              </w:rPr>
              <w:t xml:space="preserve">That is where supervisors are making it up as they go</w:t>
            </w:r>
            <w:r>
              <w:rPr>
                <w:b w:val="false"/>
                <w:bCs w:val="false"/>
                <w:i w:val="false"/>
                <w:iCs w:val="false"/>
                <w:color w:val="1A1A1A"/>
                <w:sz w:val="24"/>
                <w:szCs w:val="24"/>
              </w:rPr>
              <w:t xml:space="preserve">, and improvising is what later reads as not caring. It is also the band where, if both residents are 18 or over, there is no outside reporting duty at all. The only control is the one we write.</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12, broaden OO 1453, plus change 10 on grievances. The supervisor tier chart and the classification card already do this job day to day and can carry it while the order is amended.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Decide who investigates youth on youth cases in this band. It is not written down anywhere, and it is the one answer the supervisor materials cannot supply for themselves.</w:t>
            </w:r>
          </w:p>
        </w:tc>
      </w:tr>
    </w:tbl>
    <w:p>
      <w:r>
        <w:br w:type="page"/>
      </w:r>
    </w:p>
    <w:p>
      <w:pPr>
        <w:pStyle w:val="Heading2"/>
        <w:spacing w:after="60" w:before="0"/>
      </w:pPr>
      <w:r>
        <w:rPr>
          <w:b/>
          <w:bCs/>
          <w:i w:val="false"/>
          <w:iCs w:val="false"/>
          <w:color w:val="1A1A1A"/>
          <w:sz w:val="30"/>
          <w:szCs w:val="30"/>
        </w:rPr>
        <w:t xml:space="preserve">6.  </w:t>
      </w:r>
      <w:r>
        <w:rPr>
          <w:b/>
          <w:bCs/>
          <w:i w:val="false"/>
          <w:iCs w:val="false"/>
          <w:color w:val="1A1A1A"/>
          <w:sz w:val="30"/>
          <w:szCs w:val="30"/>
        </w:rPr>
        <w:t xml:space="preserve">Three retention rules govern the same records, against a claim with no deadline</w:t>
      </w:r>
    </w:p>
    <w:p>
      <w:pPr>
        <w:spacing w:after="160"/>
      </w:pPr>
      <w:r>
        <w:rPr>
          <w:b w:val="false"/>
          <w:bCs w:val="false"/>
          <w:i/>
          <w:iCs/>
          <w:color w:val="595959"/>
          <w:sz w:val="24"/>
          <w:szCs w:val="24"/>
        </w:rPr>
        <w:t xml:space="preserve">Register row 59</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Internal Affairs XI.C.1 keeps complaint and investigation records five years. PREA Policy XVIII.B keeps sexual abuse case records ten years.</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115.371(j) says keep them as long as the alleged abuser is here, plus five years.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Any one of the three can be read as permission to destroy a record the other two require us to keep. Put that against the 2024 law: for childhood sexual assault on or after January 1 2024, there is no deadline to sue, ever. A claim from a resident today has no expiry. The law also allows treble damages where there has been a cover up, and destroying records on our own written schedule is exactly the fact pattern that argument is built from.</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7, written. One schedule, reconciled. Paragraph 3 is a hold on destruction for anything on or after January 1 2024, because no fixed number of years can cover a claim with no deadline.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County Counsel sets the schedule. A policy revision cannot do it.</w:t>
            </w:r>
          </w:p>
        </w:tc>
      </w:tr>
    </w:tbl>
    <w:p>
      <w:r>
        <w:br w:type="page"/>
      </w:r>
    </w:p>
    <w:p>
      <w:pPr>
        <w:pStyle w:val="Heading2"/>
        <w:spacing w:after="60" w:before="0"/>
      </w:pPr>
      <w:r>
        <w:rPr>
          <w:b/>
          <w:bCs/>
          <w:i w:val="false"/>
          <w:iCs w:val="false"/>
          <w:color w:val="1A1A1A"/>
          <w:sz w:val="30"/>
          <w:szCs w:val="30"/>
        </w:rPr>
        <w:t xml:space="preserve">7.  </w:t>
      </w:r>
      <w:r>
        <w:rPr>
          <w:b/>
          <w:bCs/>
          <w:i w:val="false"/>
          <w:iCs w:val="false"/>
          <w:color w:val="1A1A1A"/>
          <w:sz w:val="30"/>
          <w:szCs w:val="30"/>
        </w:rPr>
        <w:t xml:space="preserve">The governing PREA policy has not been revised since 2013</w:t>
      </w:r>
    </w:p>
    <w:p>
      <w:pPr>
        <w:spacing w:after="160"/>
      </w:pPr>
      <w:r>
        <w:rPr>
          <w:b w:val="false"/>
          <w:bCs w:val="false"/>
          <w:i/>
          <w:iCs/>
          <w:color w:val="595959"/>
          <w:sz w:val="24"/>
          <w:szCs w:val="24"/>
        </w:rPr>
        <w:t xml:space="preserve">Register row 74</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Our PREA Policy says effective and revised April 25, 2013. The Internal Affairs policy dates to 2011. The intake document has no date at all and still refers to CYA.</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15 CCR 1324 says the policy manual gets an administrative review at least every two years, and gets updated when it needs it.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This is the finding that needs no argument. The policy predates the January 2019 Title 15 rewrite that added four sections we now have to comply with. It predates the room confinement law. It predates a Penal Code section being renumbered. </w:t>
            </w:r>
            <w:r>
              <w:rPr>
                <w:b/>
                <w:bCs/>
                <w:i w:val="false"/>
                <w:iCs w:val="false"/>
                <w:color w:val="1A1A1A"/>
                <w:sz w:val="24"/>
                <w:szCs w:val="24"/>
              </w:rPr>
              <w:t xml:space="preserve">On a BSCC inspection this is proved by reading the cover page.</w:t>
            </w:r>
            <w:r>
              <w:rPr>
                <w:b w:val="false"/>
                <w:bCs w:val="false"/>
                <w:i w:val="false"/>
                <w:iCs w:val="false"/>
                <w:color w:val="1A1A1A"/>
                <w:sz w:val="24"/>
                <w:szCs w:val="24"/>
              </w:rPr>
              <w:t xml:space="preserve"> And the policy carries three of the thirteen conflicts by itself, so the review is not a formality.</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3 fixes the reporting standard. Beyond that the policy is worth rewriting in the order an auditor scores it, rather than patching it item by item.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Approve the rewrite instead of another round of amendments, and put the two year review on a calendar so we do not end up here again.</w:t>
            </w:r>
          </w:p>
        </w:tc>
      </w:tr>
    </w:tbl>
    <w:p>
      <w:r>
        <w:br w:type="page"/>
      </w:r>
    </w:p>
    <w:p>
      <w:pPr>
        <w:pStyle w:val="Heading1"/>
      </w:pPr>
      <w:r>
        <w:t xml:space="preserve">One thing we cannot yet call either way</w:t>
      </w:r>
    </w:p>
    <w:p>
      <w:pPr>
        <w:spacing w:after="140" w:line="276"/>
      </w:pPr>
      <w:r>
        <w:rPr>
          <w:b w:val="false"/>
          <w:bCs w:val="false"/>
          <w:i w:val="false"/>
          <w:iCs w:val="false"/>
          <w:color w:val="1A1A1A"/>
          <w:sz w:val="24"/>
          <w:szCs w:val="24"/>
        </w:rPr>
        <w:t xml:space="preserve">Worth stating plainly, because it is the largest single unknown in the register and it is not a finding yet.</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Staffing ratios.</w:t>
      </w:r>
      <w:r>
        <w:rPr>
          <w:b w:val="false"/>
          <w:bCs w:val="false"/>
          <w:i w:val="false"/>
          <w:iCs w:val="false"/>
          <w:color w:val="1A1A1A"/>
          <w:sz w:val="24"/>
          <w:szCs w:val="24"/>
        </w:rPr>
        <w:t xml:space="preserve"> OO 1321 states 1:10 waking and 1:30 sleeping. 115.313(c) has required 1:8 and 1:16 since 10/01/2017. 15 CCR 1321(h)(1) sets the state floor at 1:10 and 1:30, and 15 CCR 1301 permits exceeding it.</w:t>
      </w:r>
    </w:p>
    <w:p>
      <w:pPr>
        <w:pStyle w:val="ListParagraph"/>
        <w:numPr>
          <w:ilvl w:val="0"/>
          <w:numId w:val="1"/>
        </w:numPr>
        <w:spacing w:after="110" w:line="272"/>
      </w:pPr>
      <w:r>
        <w:rPr>
          <w:b w:val="false"/>
          <w:bCs w:val="false"/>
          <w:i w:val="false"/>
          <w:iCs w:val="false"/>
          <w:color w:val="1A1A1A"/>
          <w:sz w:val="24"/>
          <w:szCs w:val="24"/>
        </w:rPr>
        <w:t xml:space="preserve">So the written ratio is lawful under state law and below the federal standard. </w:t>
      </w:r>
      <w:r>
        <w:rPr>
          <w:b/>
          <w:bCs/>
          <w:i w:val="false"/>
          <w:iCs w:val="false"/>
          <w:color w:val="1A1A1A"/>
          <w:sz w:val="24"/>
          <w:szCs w:val="24"/>
        </w:rPr>
        <w:t xml:space="preserve">Whether there is an actual gap depends on rosters, which have not been produced.</w:t>
      </w:r>
      <w:r>
        <w:rPr>
          <w:b w:val="false"/>
          <w:bCs w:val="false"/>
          <w:i w:val="false"/>
          <w:iCs w:val="false"/>
          <w:color w:val="1A1A1A"/>
          <w:sz w:val="24"/>
          <w:szCs w:val="24"/>
        </w:rPr>
        <w:t xml:space="preserve"> We may well be staffing above the written figure already, in which case the finding is a documentation problem rather than a staffing one. That is a materially different conversation and it is cheap to settle.</w:t>
      </w:r>
    </w:p>
    <w:p>
      <w:pPr>
        <w:pStyle w:val="ListParagraph"/>
        <w:numPr>
          <w:ilvl w:val="0"/>
          <w:numId w:val="1"/>
        </w:numPr>
        <w:spacing w:after="110" w:line="272"/>
      </w:pPr>
      <w:r>
        <w:rPr>
          <w:b w:val="false"/>
          <w:bCs w:val="false"/>
          <w:i w:val="false"/>
          <w:iCs w:val="false"/>
          <w:color w:val="1A1A1A"/>
          <w:sz w:val="24"/>
          <w:szCs w:val="24"/>
        </w:rPr>
        <w:t xml:space="preserve">Recommended change 9 is blocked until rosters and post assignments are produced. 115.313(a) also requires a documented staffing plan, which does not appear in the documents reviewed regardless of what the rosters show.</w:t>
      </w:r>
    </w:p>
    <w:p>
      <w:r>
        <w:br w:type="page"/>
      </w:r>
    </w:p>
    <w:p>
      <w:pPr>
        <w:pStyle w:val="Heading1"/>
      </w:pPr>
      <w:r>
        <w:t xml:space="preserve">How the liability actually runs</w:t>
      </w:r>
    </w:p>
    <w:p>
      <w:pPr>
        <w:spacing w:after="140" w:line="276"/>
      </w:pPr>
      <w:r>
        <w:rPr>
          <w:b w:val="false"/>
          <w:bCs w:val="false"/>
          <w:i w:val="false"/>
          <w:iCs w:val="false"/>
          <w:color w:val="1A1A1A"/>
          <w:sz w:val="24"/>
          <w:szCs w:val="24"/>
        </w:rPr>
        <w:t xml:space="preserve">Nine theories are set out in the exposure assessment. Four of them carry the weight, and none of them is a PREA claim.</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Section 1983, with Monell.</w:t>
      </w:r>
      <w:r>
        <w:rPr>
          <w:b w:val="false"/>
          <w:bCs w:val="false"/>
          <w:i w:val="false"/>
          <w:iCs w:val="false"/>
          <w:color w:val="1A1A1A"/>
          <w:sz w:val="24"/>
          <w:szCs w:val="24"/>
        </w:rPr>
        <w:t xml:space="preserve"> Counties are persons under 42 U.S.C. 1983, with no Eleventh Amendment immunity and no qualified immunity for the entity, Owen v. City of Independence, 445 U.S. 622. A written policy is the clearest form of the official policy Monell, 436 U.S. 658, requires. </w:t>
      </w:r>
      <w:r>
        <w:rPr>
          <w:b/>
          <w:bCs/>
          <w:i w:val="false"/>
          <w:iCs w:val="false"/>
          <w:color w:val="1A1A1A"/>
          <w:sz w:val="24"/>
          <w:szCs w:val="24"/>
        </w:rPr>
        <w:t xml:space="preserve">A conflict row is therefore not just a compliance defect. It is the element of the claim.</w:t>
      </w:r>
      <w:r>
        <w:rPr>
          <w:b w:val="false"/>
          <w:bCs w:val="false"/>
          <w:i w:val="false"/>
          <w:iCs w:val="false"/>
          <w:color w:val="1A1A1A"/>
          <w:sz w:val="24"/>
          <w:szCs w:val="24"/>
        </w:rPr>
        <w:t xml:space="preserve"/>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Failure to protect, on an objective standard.</w:t>
      </w:r>
      <w:r>
        <w:rPr>
          <w:b w:val="false"/>
          <w:bCs w:val="false"/>
          <w:i w:val="false"/>
          <w:iCs w:val="false"/>
          <w:color w:val="1A1A1A"/>
          <w:sz w:val="24"/>
          <w:szCs w:val="24"/>
        </w:rPr>
        <w:t xml:space="preserve"> Castro v. County of Los Angeles, 833 F.3d 1060 (9th Cir. 2016) (en banc) sets an objective standard for a pretrial detainee failure to protect claim, which is more readily met than the subjective test under Farmer v. Brennan, 511 U.S. 825. Kingsley v. Hendrickson, 576 U.S. 389 runs the same direction.</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Mandatory duty liability, Government Code 815.6.</w:t>
      </w:r>
      <w:r>
        <w:rPr>
          <w:b w:val="false"/>
          <w:bCs w:val="false"/>
          <w:i w:val="false"/>
          <w:iCs w:val="false"/>
          <w:color w:val="1A1A1A"/>
          <w:sz w:val="24"/>
          <w:szCs w:val="24"/>
        </w:rPr>
        <w:t xml:space="preserve"> Liability attaches where an enactment imposes a mandatory duty, and enactment includes a regulation under Government Code 810.6. </w:t>
      </w:r>
      <w:r>
        <w:rPr>
          <w:b/>
          <w:bCs/>
          <w:i w:val="false"/>
          <w:iCs w:val="false"/>
          <w:color w:val="1A1A1A"/>
          <w:sz w:val="24"/>
          <w:szCs w:val="24"/>
        </w:rPr>
        <w:t xml:space="preserve">Title 15 is a regulation.</w:t>
      </w:r>
      <w:r>
        <w:rPr>
          <w:b w:val="false"/>
          <w:bCs w:val="false"/>
          <w:i w:val="false"/>
          <w:iCs w:val="false"/>
          <w:color w:val="1A1A1A"/>
          <w:sz w:val="24"/>
          <w:szCs w:val="24"/>
        </w:rPr>
        <w:t xml:space="preserve"> That is the route by which a BSCC standard becomes a damages claim rather than an inspection finding. Government Code 818.2 is the County's defense and it does not cover everything.</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No deadline, and no claim filing requirement.</w:t>
      </w:r>
      <w:r>
        <w:rPr>
          <w:b w:val="false"/>
          <w:bCs w:val="false"/>
          <w:i w:val="false"/>
          <w:iCs w:val="false"/>
          <w:color w:val="1A1A1A"/>
          <w:sz w:val="24"/>
          <w:szCs w:val="24"/>
        </w:rPr>
        <w:t xml:space="preserve"> AB 452 eliminated the limitations period for childhood sexual assault occurring on or after 01/01/2024, CCP 340.1. For earlier incidents CCP 352 tolls during minority. Government Code 905(m) exempts these claims from the Government Claims Act presentation requirement, so the usual six month notice is not a filter. CCP 340.1 provides treble damages where there is a cover up.</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And the state side, which arrives sooner.</w:t>
      </w:r>
      <w:r>
        <w:rPr>
          <w:b w:val="false"/>
          <w:bCs w:val="false"/>
          <w:i w:val="false"/>
          <w:iCs w:val="false"/>
          <w:color w:val="1A1A1A"/>
          <w:sz w:val="24"/>
          <w:szCs w:val="24"/>
        </w:rPr>
        <w:t xml:space="preserve"> WIC 209 requires a BSCC inspection every two years. Title 15 embeds PREA content at 1324(n), 1350.5, 1352(e) and (f), 1352.5, 1353(c), 1360(g), 1361(h), 1452 and 1453. Several of the thirteen conflicts are findable on the face of the policy manual without any incident at all.</w:t>
      </w:r>
    </w:p>
    <w:p>
      <w:r>
        <w:br w:type="page"/>
      </w:r>
    </w:p>
    <w:p>
      <w:pPr>
        <w:pStyle w:val="Heading1"/>
      </w:pPr>
      <w:r>
        <w:t xml:space="preserve">What the department is already doing right</w:t>
      </w:r>
    </w:p>
    <w:p>
      <w:pPr>
        <w:spacing w:after="140" w:line="276"/>
      </w:pPr>
      <w:r>
        <w:rPr>
          <w:b w:val="false"/>
          <w:bCs w:val="false"/>
          <w:i w:val="false"/>
          <w:iCs w:val="false"/>
          <w:color w:val="1A1A1A"/>
          <w:sz w:val="24"/>
          <w:szCs w:val="24"/>
        </w:rPr>
        <w:t xml:space="preserve">This matters for two reasons. It is true, and a brief that only lists failures gets discounted. Several of these are stronger than the standard requires.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6EFE6" w:color="auto" w:val="clear"/>
            <w:tcMar>
              <w:top w:type="dxa" w:w="60"/>
              <w:left w:type="dxa" w:w="100"/>
              <w:bottom w:type="dxa" w:w="60"/>
              <w:right w:type="dxa" w:w="100"/>
            </w:tcMar>
          </w:tcPr>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OO 1352.5 on transgender and intersex youth is comprehensive</w:t>
            </w:r>
            <w:r>
              <w:rPr>
                <w:b w:val="false"/>
                <w:bCs w:val="false"/>
                <w:i w:val="false"/>
                <w:iCs w:val="false"/>
                <w:color w:val="1A1A1A"/>
                <w:sz w:val="24"/>
                <w:szCs w:val="24"/>
              </w:rPr>
              <w:t xml:space="preserve">, and its monthly reassessment exceeds the twice yearly federal minimum. The categorical housing provision is the defect; the rest of the order is not.</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OO 1354.5 on room confinement is the newest policy in the set by nearly three years and it shows.</w:t>
            </w:r>
            <w:r>
              <w:rPr>
                <w:b w:val="false"/>
                <w:bCs w:val="false"/>
                <w:i w:val="false"/>
                <w:iCs w:val="false"/>
                <w:color w:val="1A1A1A"/>
                <w:sz w:val="24"/>
                <w:szCs w:val="24"/>
              </w:rPr>
              <w:t xml:space="preserve"> It supplies the four hour review cycle, documented supervisor and manager authorization, and the prohibition on punitive confinement. Earlier revisions of this review scored the WIC 208.3 interaction as unaddressed and that was wrong.</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Isolation is not available as a disciplinary sanction here.</w:t>
            </w:r>
            <w:r>
              <w:rPr>
                <w:b w:val="false"/>
                <w:bCs w:val="false"/>
                <w:i w:val="false"/>
                <w:iCs w:val="false"/>
                <w:color w:val="1A1A1A"/>
                <w:sz w:val="24"/>
                <w:szCs w:val="24"/>
              </w:rPr>
              <w:t xml:space="preserve"> OO 1390/1391 III omits it from the consequences list and OO 1354.5 I.C.1 prohibits confinement for punishment. The department has excluded it outright, which is a stronger position than complying with the isolation safeguards would be. This is worth saying out loud rather than leaving to inference.</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OO 1453 is a coordinated response plan in all but name</w:t>
            </w:r>
            <w:r>
              <w:rPr>
                <w:b w:val="false"/>
                <w:bCs w:val="false"/>
                <w:i w:val="false"/>
                <w:iCs w:val="false"/>
                <w:color w:val="1A1A1A"/>
                <w:sz w:val="24"/>
                <w:szCs w:val="24"/>
              </w:rPr>
              <w:t xml:space="preserve"> for the serious band: first response, notification, evidence preservation, the forensic exam, the advocate right, the incident review. Earlier revisions scored 115.364 and 115.365 as gaps and that was wrong too. The problem with the order is scope, not quality.</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The register's own citations to departmental orders have held up.</w:t>
            </w:r>
            <w:r>
              <w:rPr>
                <w:b w:val="false"/>
                <w:bCs w:val="false"/>
                <w:i w:val="false"/>
                <w:iCs w:val="false"/>
                <w:color w:val="1A1A1A"/>
                <w:sz w:val="24"/>
                <w:szCs w:val="24"/>
              </w:rPr>
              <w:t xml:space="preserve"> Each time an order has been produced and read in full, OO 1352 and then OO 1453, every section number the earlier review recorded was confirmed verbatim. That is worth knowing about the reliability of the rest of it.</w:t>
            </w:r>
          </w:p>
        </w:tc>
      </w:tr>
    </w:tbl>
    <w:p>
      <w:r>
        <w:br w:type="page"/>
      </w:r>
    </w:p>
    <w:p>
      <w:pPr>
        <w:pStyle w:val="Heading1"/>
      </w:pPr>
      <w:r>
        <w:t xml:space="preserve">What it takes to fix, in three waves</w:t>
      </w:r>
    </w:p>
    <w:p>
      <w:pPr>
        <w:spacing w:after="140" w:line="276"/>
      </w:pPr>
      <w:r>
        <w:rPr>
          <w:b w:val="false"/>
          <w:bCs w:val="false"/>
          <w:i w:val="false"/>
          <w:iCs w:val="false"/>
          <w:color w:val="1A1A1A"/>
          <w:sz w:val="24"/>
          <w:szCs w:val="24"/>
        </w:rPr>
        <w:t xml:space="preserve">Fifteen recommended changes. They are not equivalent, and sequencing them wrongly wastes a revision cycle.</w:t>
      </w:r>
    </w:p>
    <w:p>
      <w:pPr>
        <w:pStyle w:val="Heading2"/>
      </w:pPr>
      <w:r>
        <w:t xml:space="preserve">Wave 1. Amend now. Drafted and ready to review.</w:t>
      </w:r>
    </w:p>
    <w:p>
      <w:pPr>
        <w:spacing w:after="140" w:line="276"/>
      </w:pPr>
      <w:r>
        <w:rPr>
          <w:b w:val="false"/>
          <w:bCs w:val="false"/>
          <w:i w:val="false"/>
          <w:iCs w:val="false"/>
          <w:color w:val="1A1A1A"/>
          <w:sz w:val="24"/>
          <w:szCs w:val="24"/>
        </w:rPr>
        <w:t xml:space="preserve">Changes 1 to 7. Redlines exist for all seven, with the amended text written out and an authority line for each. Three of the orders they amend have not been produced to this review, so for those the struck text is a reconstruction of what the register describes rather than a quotation, and every item says so on its face.</w:t>
      </w:r>
    </w:p>
    <w:p>
      <w:pPr>
        <w:pStyle w:val="ListParagraph"/>
        <w:numPr>
          <w:ilvl w:val="0"/>
          <w:numId w:val="1"/>
        </w:numPr>
        <w:spacing w:after="110" w:line="272"/>
      </w:pPr>
      <w:r>
        <w:rPr>
          <w:b w:val="false"/>
          <w:bCs w:val="false"/>
          <w:i w:val="false"/>
          <w:iCs w:val="false"/>
          <w:color w:val="1A1A1A"/>
          <w:sz w:val="24"/>
          <w:szCs w:val="24"/>
        </w:rPr>
        <w:t xml:space="preserve">1. Rescind the S-8 single room mandate, OO 1352 II.M and III.I</w:t>
      </w:r>
    </w:p>
    <w:p>
      <w:pPr>
        <w:pStyle w:val="ListParagraph"/>
        <w:numPr>
          <w:ilvl w:val="0"/>
          <w:numId w:val="1"/>
        </w:numPr>
        <w:spacing w:after="110" w:line="272"/>
      </w:pPr>
      <w:r>
        <w:rPr>
          <w:b w:val="false"/>
          <w:bCs w:val="false"/>
          <w:i w:val="false"/>
          <w:iCs w:val="false"/>
          <w:color w:val="1A1A1A"/>
          <w:sz w:val="24"/>
          <w:szCs w:val="24"/>
        </w:rPr>
        <w:t xml:space="preserve">2. Convert OO 1352.5 III.I to a presumptive, documented individualized outcome</w:t>
      </w:r>
    </w:p>
    <w:p>
      <w:pPr>
        <w:pStyle w:val="ListParagraph"/>
        <w:numPr>
          <w:ilvl w:val="0"/>
          <w:numId w:val="1"/>
        </w:numPr>
        <w:spacing w:after="110" w:line="272"/>
      </w:pPr>
      <w:r>
        <w:rPr>
          <w:b w:val="false"/>
          <w:bCs w:val="false"/>
          <w:i w:val="false"/>
          <w:iCs w:val="false"/>
          <w:color w:val="1A1A1A"/>
          <w:sz w:val="24"/>
          <w:szCs w:val="24"/>
        </w:rPr>
        <w:t xml:space="preserve">3. Correct the mandated reporting standard, PREA Policy V.A.4 and OO 1453 I.A.9</w:t>
      </w:r>
    </w:p>
    <w:p>
      <w:pPr>
        <w:pStyle w:val="ListParagraph"/>
        <w:numPr>
          <w:ilvl w:val="0"/>
          <w:numId w:val="1"/>
        </w:numPr>
        <w:spacing w:after="110" w:line="272"/>
      </w:pPr>
      <w:r>
        <w:rPr>
          <w:b w:val="false"/>
          <w:bCs w:val="false"/>
          <w:i w:val="false"/>
          <w:iCs w:val="false"/>
          <w:color w:val="1A1A1A"/>
          <w:sz w:val="24"/>
          <w:szCs w:val="24"/>
        </w:rPr>
        <w:t xml:space="preserve">4. Correct cross facility notification from 14 days to 72 hours, PREA Policy V.A.7</w:t>
      </w:r>
    </w:p>
    <w:p>
      <w:pPr>
        <w:pStyle w:val="ListParagraph"/>
        <w:numPr>
          <w:ilvl w:val="0"/>
          <w:numId w:val="1"/>
        </w:numPr>
        <w:spacing w:after="110" w:line="272"/>
      </w:pPr>
      <w:r>
        <w:rPr>
          <w:b w:val="false"/>
          <w:bCs w:val="false"/>
          <w:i w:val="false"/>
          <w:iCs w:val="false"/>
          <w:color w:val="1A1A1A"/>
          <w:sz w:val="24"/>
          <w:szCs w:val="24"/>
        </w:rPr>
        <w:t xml:space="preserve">5. Rewrite the false allegations provision to a bad faith standard, PREA Policy XIV.A</w:t>
      </w:r>
    </w:p>
    <w:p>
      <w:pPr>
        <w:pStyle w:val="ListParagraph"/>
        <w:numPr>
          <w:ilvl w:val="0"/>
          <w:numId w:val="1"/>
        </w:numPr>
        <w:spacing w:after="110" w:line="272"/>
      </w:pPr>
      <w:r>
        <w:rPr>
          <w:b w:val="false"/>
          <w:bCs w:val="false"/>
          <w:i w:val="false"/>
          <w:iCs w:val="false"/>
          <w:color w:val="1A1A1A"/>
          <w:sz w:val="24"/>
          <w:szCs w:val="24"/>
        </w:rPr>
        <w:t xml:space="preserve">6. Delete the S-4 victim to perpetrator inference, split the code, add PC 287 and 289</w:t>
      </w:r>
    </w:p>
    <w:p>
      <w:pPr>
        <w:pStyle w:val="ListParagraph"/>
        <w:numPr>
          <w:ilvl w:val="0"/>
          <w:numId w:val="1"/>
        </w:numPr>
        <w:spacing w:after="110" w:line="272"/>
      </w:pPr>
      <w:r>
        <w:rPr>
          <w:b w:val="false"/>
          <w:bCs w:val="false"/>
          <w:i w:val="false"/>
          <w:iCs w:val="false"/>
          <w:color w:val="1A1A1A"/>
          <w:sz w:val="24"/>
          <w:szCs w:val="24"/>
        </w:rPr>
        <w:t xml:space="preserve">7. Adopt a single reconciled records retention schedule</w:t>
      </w:r>
    </w:p>
    <w:p>
      <w:pPr>
        <w:pStyle w:val="Heading2"/>
      </w:pPr>
      <w:r>
        <w:t xml:space="preserve">Wave 2. Needs a decision from this room, not more analysis.</w:t>
      </w:r>
    </w:p>
    <w:p>
      <w:pPr>
        <w:spacing w:after="140" w:line="276"/>
      </w:pPr>
      <w:r>
        <w:rPr>
          <w:b w:val="false"/>
          <w:bCs w:val="false"/>
          <w:i w:val="false"/>
          <w:iCs w:val="false"/>
          <w:color w:val="1A1A1A"/>
          <w:sz w:val="24"/>
          <w:szCs w:val="24"/>
        </w:rPr>
        <w:t xml:space="preserve">These are blocked on a designation, an allocation, or a document we have asked for and not received. No further review will unblock any of them.</w:t>
      </w:r>
    </w:p>
    <w:p>
      <w:pPr>
        <w:pStyle w:val="ListParagraph"/>
        <w:numPr>
          <w:ilvl w:val="0"/>
          <w:numId w:val="1"/>
        </w:numPr>
        <w:spacing w:after="110" w:line="272"/>
      </w:pPr>
      <w:r>
        <w:rPr>
          <w:b w:val="false"/>
          <w:bCs w:val="false"/>
          <w:i w:val="false"/>
          <w:iCs w:val="false"/>
          <w:color w:val="1A1A1A"/>
          <w:sz w:val="24"/>
          <w:szCs w:val="24"/>
        </w:rPr>
        <w:t xml:space="preserve">8. Designate a PREA Coordinator and a facility compliance manager</w:t>
      </w:r>
    </w:p>
    <w:p>
      <w:pPr>
        <w:pStyle w:val="ListParagraph"/>
        <w:numPr>
          <w:ilvl w:val="0"/>
          <w:numId w:val="1"/>
        </w:numPr>
        <w:spacing w:after="110" w:line="272"/>
      </w:pPr>
      <w:r>
        <w:rPr>
          <w:b w:val="false"/>
          <w:bCs w:val="false"/>
          <w:i w:val="false"/>
          <w:iCs w:val="false"/>
          <w:color w:val="1A1A1A"/>
          <w:sz w:val="24"/>
          <w:szCs w:val="24"/>
        </w:rPr>
        <w:t xml:space="preserve">9. Verify staffing against 1:8 and 1:16 and build the 115.313(a) staffing plan, blocked on rosters</w:t>
      </w:r>
    </w:p>
    <w:p>
      <w:pPr>
        <w:pStyle w:val="ListParagraph"/>
        <w:numPr>
          <w:ilvl w:val="0"/>
          <w:numId w:val="1"/>
        </w:numPr>
        <w:spacing w:after="110" w:line="272"/>
      </w:pPr>
      <w:r>
        <w:rPr>
          <w:b w:val="false"/>
          <w:bCs w:val="false"/>
          <w:i w:val="false"/>
          <w:iCs w:val="false"/>
          <w:color w:val="1A1A1A"/>
          <w:sz w:val="24"/>
          <w:szCs w:val="24"/>
        </w:rPr>
        <w:t xml:space="preserve">15. Reduce hiring, contractor screening and staff reporting to writing, blocked on whether a child abuse registry check occurs</w:t>
      </w:r>
    </w:p>
    <w:p>
      <w:pPr>
        <w:pStyle w:val="ListParagraph"/>
        <w:numPr>
          <w:ilvl w:val="0"/>
          <w:numId w:val="1"/>
        </w:numPr>
        <w:spacing w:after="110" w:line="272"/>
      </w:pPr>
      <w:r>
        <w:rPr>
          <w:b w:val="false"/>
          <w:bCs w:val="false"/>
          <w:i w:val="false"/>
          <w:iCs w:val="false"/>
          <w:color w:val="1A1A1A"/>
          <w:sz w:val="24"/>
          <w:szCs w:val="24"/>
        </w:rPr>
        <w:t xml:space="preserve">Produce OO 1354 on separation. It is the highest value outstanding document: OO 1354.5 defines separation to include protective custody and then regulates only room confinement, so the placement 115.342(b) and 115.368 actually govern is the one with the fewest written safeguards.</w:t>
      </w:r>
    </w:p>
    <w:p>
      <w:r>
        <w:br w:type="page"/>
      </w:r>
    </w:p>
    <w:p>
      <w:pPr>
        <w:pStyle w:val="Heading2"/>
      </w:pPr>
      <w:r>
        <w:t xml:space="preserve">Wave 3. Build. Real work, and it follows waves 1 and 2.</w:t>
      </w:r>
    </w:p>
    <w:p>
      <w:pPr>
        <w:spacing w:after="140" w:line="276"/>
      </w:pPr>
      <w:r>
        <w:rPr>
          <w:b w:val="false"/>
          <w:bCs w:val="false"/>
          <w:i w:val="false"/>
          <w:iCs w:val="false"/>
          <w:color w:val="1A1A1A"/>
          <w:sz w:val="24"/>
          <w:szCs w:val="24"/>
        </w:rPr>
        <w:t xml:space="preserve">Drafting projects rather than amendments. Each needs an owner and a date.</w:t>
      </w:r>
    </w:p>
    <w:p>
      <w:pPr>
        <w:pStyle w:val="ListParagraph"/>
        <w:numPr>
          <w:ilvl w:val="0"/>
          <w:numId w:val="1"/>
        </w:numPr>
        <w:spacing w:after="110" w:line="272"/>
      </w:pPr>
      <w:r>
        <w:rPr>
          <w:b w:val="false"/>
          <w:bCs w:val="false"/>
          <w:i w:val="false"/>
          <w:iCs w:val="false"/>
          <w:color w:val="1A1A1A"/>
          <w:sz w:val="24"/>
          <w:szCs w:val="24"/>
        </w:rPr>
        <w:t xml:space="preserve">10. Rebuild the PREA elements of OO 1361 on grievances: emergency track, external reporting, third party filing, private staff reporting, extension outer bound</w:t>
      </w:r>
    </w:p>
    <w:p>
      <w:pPr>
        <w:pStyle w:val="ListParagraph"/>
        <w:numPr>
          <w:ilvl w:val="0"/>
          <w:numId w:val="1"/>
        </w:numPr>
        <w:spacing w:after="110" w:line="272"/>
      </w:pPr>
      <w:r>
        <w:rPr>
          <w:b w:val="false"/>
          <w:bCs w:val="false"/>
          <w:i w:val="false"/>
          <w:iCs w:val="false"/>
          <w:color w:val="1A1A1A"/>
          <w:sz w:val="24"/>
          <w:szCs w:val="24"/>
        </w:rPr>
        <w:t xml:space="preserve">11. Add the data analysis and corrective action loop, 115.387 and 115.388</w:t>
      </w:r>
    </w:p>
    <w:p>
      <w:pPr>
        <w:pStyle w:val="ListParagraph"/>
        <w:numPr>
          <w:ilvl w:val="0"/>
          <w:numId w:val="1"/>
        </w:numPr>
        <w:spacing w:after="110" w:line="272"/>
      </w:pPr>
      <w:r>
        <w:rPr>
          <w:b w:val="false"/>
          <w:bCs w:val="false"/>
          <w:i w:val="false"/>
          <w:iCs w:val="false"/>
          <w:color w:val="1A1A1A"/>
          <w:sz w:val="24"/>
          <w:szCs w:val="24"/>
        </w:rPr>
        <w:t xml:space="preserve">12. Complete the incident review and broaden OO 1453, 115.364(b), 115.365, 115.386</w:t>
      </w:r>
    </w:p>
    <w:p>
      <w:pPr>
        <w:pStyle w:val="ListParagraph"/>
        <w:numPr>
          <w:ilvl w:val="0"/>
          <w:numId w:val="1"/>
        </w:numPr>
        <w:spacing w:after="110" w:line="272"/>
      </w:pPr>
      <w:r>
        <w:rPr>
          <w:b w:val="false"/>
          <w:bCs w:val="false"/>
          <w:i w:val="false"/>
          <w:iCs w:val="false"/>
          <w:color w:val="1A1A1A"/>
          <w:sz w:val="24"/>
          <w:szCs w:val="24"/>
        </w:rPr>
        <w:t xml:space="preserve">13. Add retaliation monitoring, 115.367</w:t>
      </w:r>
    </w:p>
    <w:p>
      <w:pPr>
        <w:pStyle w:val="ListParagraph"/>
        <w:numPr>
          <w:ilvl w:val="0"/>
          <w:numId w:val="1"/>
        </w:numPr>
        <w:spacing w:after="110" w:line="272"/>
      </w:pPr>
      <w:r>
        <w:rPr>
          <w:b w:val="false"/>
          <w:bCs w:val="false"/>
          <w:i w:val="false"/>
          <w:iCs w:val="false"/>
          <w:color w:val="1A1A1A"/>
          <w:sz w:val="24"/>
          <w:szCs w:val="24"/>
        </w:rPr>
        <w:t xml:space="preserve">14. Add notification duties: family, counsel, and outcome to the resident, 115.361(e) and 115.373</w:t>
      </w:r>
    </w:p>
    <w:p>
      <w:pPr>
        <w:pStyle w:val="ListParagraph"/>
        <w:numPr>
          <w:ilvl w:val="0"/>
          <w:numId w:val="1"/>
        </w:numPr>
        <w:spacing w:after="110" w:line="272"/>
      </w:pPr>
      <w:r>
        <w:rPr>
          <w:b w:val="false"/>
          <w:bCs w:val="false"/>
          <w:i w:val="false"/>
          <w:iCs w:val="false"/>
          <w:color w:val="1A1A1A"/>
          <w:sz w:val="24"/>
          <w:szCs w:val="24"/>
        </w:rPr>
        <w:t xml:space="preserve">A new department wide General Order on child abuse and neglect reporting, which is stage two of change 3</w:t>
      </w:r>
    </w:p>
    <w:p>
      <w:pPr>
        <w:pStyle w:val="ListParagraph"/>
        <w:numPr>
          <w:ilvl w:val="0"/>
          <w:numId w:val="1"/>
        </w:numPr>
        <w:spacing w:after="110" w:line="272"/>
      </w:pPr>
      <w:r>
        <w:rPr>
          <w:b w:val="false"/>
          <w:bCs w:val="false"/>
          <w:i w:val="false"/>
          <w:iCs w:val="false"/>
          <w:color w:val="1A1A1A"/>
          <w:sz w:val="24"/>
          <w:szCs w:val="24"/>
        </w:rPr>
        <w:t xml:space="preserve">Rewrite the PREA Policy to Subpart D order, so each provision maps to what an auditor scores</w:t>
      </w:r>
    </w:p>
    <w:p>
      <w:pPr>
        <w:pStyle w:val="ListParagraph"/>
        <w:numPr>
          <w:ilvl w:val="0"/>
          <w:numId w:val="1"/>
        </w:numPr>
        <w:spacing w:after="110" w:line="272"/>
      </w:pPr>
      <w:r>
        <w:rPr>
          <w:b w:val="false"/>
          <w:bCs w:val="false"/>
          <w:i w:val="false"/>
          <w:iCs w:val="false"/>
          <w:color w:val="1A1A1A"/>
          <w:sz w:val="24"/>
          <w:szCs w:val="24"/>
        </w:rPr>
        <w:t xml:space="preserve">Tier 1 all staff and supervisor lesson plans</w:t>
      </w:r>
    </w:p>
    <w:p>
      <w:r>
        <w:br w:type="page"/>
      </w:r>
    </w:p>
    <w:p>
      <w:pPr>
        <w:pStyle w:val="Heading1"/>
      </w:pPr>
      <w:r>
        <w:t xml:space="preserve">What I need from you</w:t>
      </w:r>
    </w:p>
    <w:p>
      <w:pPr>
        <w:spacing w:after="140" w:line="276"/>
      </w:pPr>
      <w:r>
        <w:rPr>
          <w:b w:val="false"/>
          <w:bCs w:val="false"/>
          <w:i w:val="false"/>
          <w:iCs w:val="false"/>
          <w:color w:val="1A1A1A"/>
          <w:sz w:val="24"/>
          <w:szCs w:val="24"/>
        </w:rPr>
        <w:t xml:space="preserve">These are the things that cannot move until somebody decides. Shortest first.</w:t>
      </w:r>
    </w:p>
    <w:p>
      <w:pPr>
        <w:spacing w:after="130" w:line="276"/>
      </w:pPr>
      <w:r>
        <w:rPr>
          <w:b/>
          <w:bCs/>
          <w:i w:val="false"/>
          <w:iCs w:val="false"/>
          <w:color w:val="1A1A1A"/>
          <w:sz w:val="24"/>
          <w:szCs w:val="24"/>
        </w:rPr>
        <w:t xml:space="preserve">1.  </w:t>
      </w:r>
      <w:r>
        <w:rPr>
          <w:b w:val="false"/>
          <w:bCs w:val="false"/>
          <w:i w:val="false"/>
          <w:iCs w:val="false"/>
          <w:color w:val="1A1A1A"/>
          <w:sz w:val="24"/>
          <w:szCs w:val="24"/>
        </w:rPr>
        <w:t xml:space="preserve"/>
      </w:r>
      <w:r>
        <w:rPr>
          <w:b/>
          <w:bCs/>
          <w:i w:val="false"/>
          <w:iCs w:val="false"/>
          <w:color w:val="1A1A1A"/>
          <w:sz w:val="24"/>
          <w:szCs w:val="24"/>
        </w:rPr>
        <w:t xml:space="preserve">Name a PREA Coordinator and a facility compliance manager.</w:t>
      </w:r>
      <w:r>
        <w:rPr>
          <w:b w:val="false"/>
          <w:bCs w:val="false"/>
          <w:i w:val="false"/>
          <w:iCs w:val="false"/>
          <w:color w:val="1A1A1A"/>
          <w:sz w:val="24"/>
          <w:szCs w:val="24"/>
        </w:rPr>
        <w:t xml:space="preserve"> Our own order already sends work to that position.</w:t>
      </w:r>
    </w:p>
    <w:p>
      <w:pPr>
        <w:spacing w:after="130" w:line="276"/>
      </w:pPr>
      <w:r>
        <w:rPr>
          <w:b/>
          <w:bCs/>
          <w:i w:val="false"/>
          <w:iCs w:val="false"/>
          <w:color w:val="1A1A1A"/>
          <w:sz w:val="24"/>
          <w:szCs w:val="24"/>
        </w:rPr>
        <w:t xml:space="preserve">2.  </w:t>
      </w:r>
      <w:r>
        <w:rPr>
          <w:b w:val="false"/>
          <w:bCs w:val="false"/>
          <w:i w:val="false"/>
          <w:iCs w:val="false"/>
          <w:color w:val="1A1A1A"/>
          <w:sz w:val="24"/>
          <w:szCs w:val="24"/>
        </w:rPr>
        <w:t xml:space="preserve"/>
      </w:r>
      <w:r>
        <w:rPr>
          <w:b/>
          <w:bCs/>
          <w:i w:val="false"/>
          <w:iCs w:val="false"/>
          <w:color w:val="1A1A1A"/>
          <w:sz w:val="24"/>
          <w:szCs w:val="24"/>
        </w:rPr>
        <w:t xml:space="preserve">Decide who investigates youth on youth cases</w:t>
      </w:r>
      <w:r>
        <w:rPr>
          <w:b w:val="false"/>
          <w:bCs w:val="false"/>
          <w:i w:val="false"/>
          <w:iCs w:val="false"/>
          <w:color w:val="1A1A1A"/>
          <w:sz w:val="24"/>
          <w:szCs w:val="24"/>
        </w:rPr>
        <w:t xml:space="preserve"> below the level of sexual assault. It is not written down anywhere.</w:t>
      </w:r>
    </w:p>
    <w:p>
      <w:pPr>
        <w:spacing w:after="130" w:line="276"/>
      </w:pPr>
      <w:r>
        <w:rPr>
          <w:b/>
          <w:bCs/>
          <w:i w:val="false"/>
          <w:iCs w:val="false"/>
          <w:color w:val="1A1A1A"/>
          <w:sz w:val="24"/>
          <w:szCs w:val="24"/>
        </w:rPr>
        <w:t xml:space="preserve">3.  </w:t>
      </w:r>
      <w:r>
        <w:rPr>
          <w:b w:val="false"/>
          <w:bCs w:val="false"/>
          <w:i w:val="false"/>
          <w:iCs w:val="false"/>
          <w:color w:val="1A1A1A"/>
          <w:sz w:val="24"/>
          <w:szCs w:val="24"/>
        </w:rPr>
        <w:t xml:space="preserve"/>
      </w:r>
      <w:r>
        <w:rPr>
          <w:b/>
          <w:bCs/>
          <w:i w:val="false"/>
          <w:iCs w:val="false"/>
          <w:color w:val="1A1A1A"/>
          <w:sz w:val="24"/>
          <w:szCs w:val="24"/>
        </w:rPr>
        <w:t xml:space="preserve">Send WIC 625.6(d) to County Counsel.</w:t>
      </w:r>
      <w:r>
        <w:rPr>
          <w:b w:val="false"/>
          <w:bCs w:val="false"/>
          <w:i w:val="false"/>
          <w:iCs w:val="false"/>
          <w:color w:val="1A1A1A"/>
          <w:sz w:val="24"/>
          <w:szCs w:val="24"/>
        </w:rPr>
        <w:t xml:space="preserve"> It decides whether the interrogation finding is a violation we are carrying or a good practice we should adopt anyway.</w:t>
      </w:r>
    </w:p>
    <w:p>
      <w:pPr>
        <w:spacing w:after="130" w:line="276"/>
      </w:pPr>
      <w:r>
        <w:rPr>
          <w:b/>
          <w:bCs/>
          <w:i w:val="false"/>
          <w:iCs w:val="false"/>
          <w:color w:val="1A1A1A"/>
          <w:sz w:val="24"/>
          <w:szCs w:val="24"/>
        </w:rPr>
        <w:t xml:space="preserve">4.  </w:t>
      </w:r>
      <w:r>
        <w:rPr>
          <w:b w:val="false"/>
          <w:bCs w:val="false"/>
          <w:i w:val="false"/>
          <w:iCs w:val="false"/>
          <w:color w:val="1A1A1A"/>
          <w:sz w:val="24"/>
          <w:szCs w:val="24"/>
        </w:rPr>
        <w:t xml:space="preserve"/>
      </w:r>
      <w:r>
        <w:rPr>
          <w:b/>
          <w:bCs/>
          <w:i w:val="false"/>
          <w:iCs w:val="false"/>
          <w:color w:val="1A1A1A"/>
          <w:sz w:val="24"/>
          <w:szCs w:val="24"/>
        </w:rPr>
        <w:t xml:space="preserve">Give us the rosters and post assignments.</w:t>
      </w:r>
      <w:r>
        <w:rPr>
          <w:b w:val="false"/>
          <w:bCs w:val="false"/>
          <w:i w:val="false"/>
          <w:iCs w:val="false"/>
          <w:color w:val="1A1A1A"/>
          <w:sz w:val="24"/>
          <w:szCs w:val="24"/>
        </w:rPr>
        <w:t xml:space="preserve"> They settle whether our staffing finding is a real gap or a paperwork gap.</w:t>
      </w:r>
    </w:p>
    <w:p>
      <w:pPr>
        <w:spacing w:after="130" w:line="276"/>
      </w:pPr>
      <w:r>
        <w:rPr>
          <w:b/>
          <w:bCs/>
          <w:i w:val="false"/>
          <w:iCs w:val="false"/>
          <w:color w:val="1A1A1A"/>
          <w:sz w:val="24"/>
          <w:szCs w:val="24"/>
        </w:rPr>
        <w:t xml:space="preserve">5.  </w:t>
      </w:r>
      <w:r>
        <w:rPr>
          <w:b w:val="false"/>
          <w:bCs w:val="false"/>
          <w:i w:val="false"/>
          <w:iCs w:val="false"/>
          <w:color w:val="1A1A1A"/>
          <w:sz w:val="24"/>
          <w:szCs w:val="24"/>
        </w:rPr>
        <w:t xml:space="preserve"/>
      </w:r>
      <w:r>
        <w:rPr>
          <w:b/>
          <w:bCs/>
          <w:i w:val="false"/>
          <w:iCs w:val="false"/>
          <w:color w:val="1A1A1A"/>
          <w:sz w:val="24"/>
          <w:szCs w:val="24"/>
        </w:rPr>
        <w:t xml:space="preserve">Produce five documents:</w:t>
      </w:r>
      <w:r>
        <w:rPr>
          <w:b w:val="false"/>
          <w:bCs w:val="false"/>
          <w:i w:val="false"/>
          <w:iCs w:val="false"/>
          <w:color w:val="1A1A1A"/>
          <w:sz w:val="24"/>
          <w:szCs w:val="24"/>
        </w:rPr>
        <w:t xml:space="preserve"> the PREA Policy itself, OO 1354 on separation, the resident handbook, the hiring procedure, and the contractor and volunteer screening procedure. Some findings close on handing the document over, with nothing else to fix. The PREA Policy matters most: three of the written amendments are aimed at it, and until we see it those three are written against our best reconstruction of what it says rather than its real words.</w:t>
      </w:r>
    </w:p>
    <w:p>
      <w:pPr>
        <w:spacing w:after="130" w:line="276"/>
      </w:pPr>
      <w:r>
        <w:rPr>
          <w:b/>
          <w:bCs/>
          <w:i w:val="false"/>
          <w:iCs w:val="false"/>
          <w:color w:val="1A1A1A"/>
          <w:sz w:val="24"/>
          <w:szCs w:val="24"/>
        </w:rPr>
        <w:t xml:space="preserve">6.  </w:t>
      </w:r>
      <w:r>
        <w:rPr>
          <w:b w:val="false"/>
          <w:bCs w:val="false"/>
          <w:i w:val="false"/>
          <w:iCs w:val="false"/>
          <w:color w:val="1A1A1A"/>
          <w:sz w:val="24"/>
          <w:szCs w:val="24"/>
        </w:rPr>
        <w:t xml:space="preserve"/>
      </w:r>
      <w:r>
        <w:rPr>
          <w:b/>
          <w:bCs/>
          <w:i w:val="false"/>
          <w:iCs w:val="false"/>
          <w:color w:val="1A1A1A"/>
          <w:sz w:val="24"/>
          <w:szCs w:val="24"/>
        </w:rPr>
        <w:t xml:space="preserve">Confirm whether the county has named Probation</w:t>
      </w:r>
      <w:r>
        <w:rPr>
          <w:b w:val="false"/>
          <w:bCs w:val="false"/>
          <w:i w:val="false"/>
          <w:iCs w:val="false"/>
          <w:color w:val="1A1A1A"/>
          <w:sz w:val="24"/>
          <w:szCs w:val="24"/>
        </w:rPr>
        <w:t xml:space="preserve"> as an agency that receives mandated child abuse reports. One paragraph of a drafted amendment depends on it.</w:t>
      </w:r>
    </w:p>
    <w:p>
      <w:pPr>
        <w:spacing w:after="130" w:line="276"/>
      </w:pPr>
      <w:r>
        <w:rPr>
          <w:b/>
          <w:bCs/>
          <w:i w:val="false"/>
          <w:iCs w:val="false"/>
          <w:color w:val="1A1A1A"/>
          <w:sz w:val="24"/>
          <w:szCs w:val="24"/>
        </w:rPr>
        <w:t xml:space="preserve">7.  </w:t>
      </w:r>
      <w:r>
        <w:rPr>
          <w:b w:val="false"/>
          <w:bCs w:val="false"/>
          <w:i w:val="false"/>
          <w:iCs w:val="false"/>
          <w:color w:val="1A1A1A"/>
          <w:sz w:val="24"/>
          <w:szCs w:val="24"/>
        </w:rPr>
        <w:t xml:space="preserve"/>
      </w:r>
      <w:r>
        <w:rPr>
          <w:b/>
          <w:bCs/>
          <w:i w:val="false"/>
          <w:iCs w:val="false"/>
          <w:color w:val="1A1A1A"/>
          <w:sz w:val="24"/>
          <w:szCs w:val="24"/>
        </w:rPr>
        <w:t xml:space="preserve">Put a name and a date against each of the 22 critical items.</w:t>
      </w:r>
      <w:r>
        <w:rPr>
          <w:b w:val="false"/>
          <w:bCs w:val="false"/>
          <w:i w:val="false"/>
          <w:iCs w:val="false"/>
          <w:color w:val="1A1A1A"/>
          <w:sz w:val="24"/>
          <w:szCs w:val="24"/>
        </w:rPr>
        <w:t xml:space="preserve"> The register has the columns and they are empty on purpose, because they are yours to fill.</w:t>
      </w:r>
    </w:p>
    <w:p>
      <w:pPr>
        <w:spacing w:after="130" w:line="276"/>
      </w:pPr>
      <w:r>
        <w:rPr>
          <w:b/>
          <w:bCs/>
          <w:i w:val="false"/>
          <w:iCs w:val="false"/>
          <w:color w:val="1A1A1A"/>
          <w:sz w:val="24"/>
          <w:szCs w:val="24"/>
        </w:rPr>
        <w:t xml:space="preserve">8.  </w:t>
      </w:r>
      <w:r>
        <w:rPr>
          <w:b w:val="false"/>
          <w:bCs w:val="false"/>
          <w:i w:val="false"/>
          <w:iCs w:val="false"/>
          <w:color w:val="1A1A1A"/>
          <w:sz w:val="24"/>
          <w:szCs w:val="24"/>
        </w:rPr>
        <w:t xml:space="preserve"/>
      </w:r>
      <w:r>
        <w:rPr>
          <w:b/>
          <w:bCs/>
          <w:i w:val="false"/>
          <w:iCs w:val="false"/>
          <w:color w:val="1A1A1A"/>
          <w:sz w:val="24"/>
          <w:szCs w:val="24"/>
        </w:rPr>
        <w:t xml:space="preserve">Approve rewriting the PREA Policy</w:t>
      </w:r>
      <w:r>
        <w:rPr>
          <w:b w:val="false"/>
          <w:bCs w:val="false"/>
          <w:i w:val="false"/>
          <w:iCs w:val="false"/>
          <w:color w:val="1A1A1A"/>
          <w:sz w:val="24"/>
          <w:szCs w:val="24"/>
        </w:rPr>
        <w:t xml:space="preserve"> instead of another round of patches, and put the two year review on a calendar.</w:t>
      </w:r>
    </w:p>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8"/>
            </w:pPr>
            <w:r>
              <w:rPr>
                <w:b w:val="false"/>
                <w:bCs w:val="false"/>
                <w:i/>
                <w:iCs/>
                <w:color w:val="1A1A1A"/>
                <w:sz w:val="24"/>
                <w:szCs w:val="24"/>
              </w:rPr>
              <w:t xml:space="preserve">This brief is a policy and standards analysis prepared for internal use. It is not legal advice. Every statutory question in it, and the retention schedule in particular, routes to County Counsel before anything issues. Findings are stated against the documents produced to this review: where a practice is not in the documents, the finding says it does not appear in the documents reviewed, which is not the same as saying it is not done.</w:t>
            </w:r>
          </w:p>
        </w:tc>
      </w:tr>
    </w:tbl>
    <w:p>
      <w:pPr>
        <w:spacing w:before="200" w:line="264"/>
      </w:pPr>
      <w:r>
        <w:rPr>
          <w:b w:val="false"/>
          <w:bCs w:val="false"/>
          <w:i/>
          <w:iCs/>
          <w:color w:val="595959"/>
          <w:sz w:val="24"/>
          <w:szCs w:val="24"/>
        </w:rPr>
        <w:t xml:space="preserve">Generated document, drawn from gap register Revision 11. This copy is regenerated from source; edits made here are not carried forward.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Compliance: Where We Stand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2026-10-30T17:34:31.792Z</dcterms:created>
  <dcterms:modified xsi:type="dcterms:W3CDTF">2026-10-30T17:34:31.793Z</dcterms:modified>
</cp:coreProperties>
</file>

<file path=docProps/custom.xml><?xml version="1.0" encoding="utf-8"?>
<Properties xmlns="http://schemas.openxmlformats.org/officeDocument/2006/custom-properties" xmlns:vt="http://schemas.openxmlformats.org/officeDocument/2006/docPropsVTypes"/>
</file>