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Supervisor field version. One page. Classify it, act, write it down.</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Five steps, in order. Ages first, because age decides the CPS column before you look at the conduct. Everything past the classification decision, who investigates and where your role stops, is in the Supervisor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90" w:line="252"/>
      </w:pPr>
      <w:r>
        <w:rPr>
          <w:b w:val="false"/>
          <w:bCs w:val="false"/>
          <w:i w:val="false"/>
          <w:iCs w:val="false"/>
          <w:color w:val="1A1A1A"/>
          <w:sz w:val="24"/>
          <w:szCs w:val="24"/>
        </w:rPr>
        <w:t xml:space="preserve">Settle this first. Residents 18 and over are not children for CANRA, whatever the court jurisdiction, and the department does not treat them as dependent adults.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90" w:line="252"/>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Cumulative: each row adds to the one above it. Spelled out in full in the guide.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 including tier 1</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 youth, check the target is safe, tell the Duty Supervisor. 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Record your classification and your reason, including a decision not to report.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2 and above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w:t>
            </w:r>
            <w:r>
              <w:rPr>
                <w:b/>
                <w:bCs/>
                <w:i w:val="false"/>
                <w:iCs w:val="false"/>
                <w:color w:val="1A1A1A"/>
                <w:sz w:val="24"/>
                <w:szCs w:val="24"/>
              </w:rPr>
              <w:t xml:space="preserve">substantial risk of imminent sexual abuse</w:t>
            </w:r>
            <w:r>
              <w:rPr>
                <w:b w:val="false"/>
                <w:bCs w:val="false"/>
                <w:i w:val="false"/>
                <w:iCs w:val="false"/>
                <w:color w:val="1A1A1A"/>
                <w:sz w:val="24"/>
                <w:szCs w:val="24"/>
              </w:rPr>
              <w:t xml:space="preserve">, protect now, separately from any investigation. Reassess housing for both. Retaliation monitoring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4, where a CPS report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Telephone the report immediately</w:t>
            </w:r>
            <w:r>
              <w:rPr>
                <w:b w:val="false"/>
                <w:bCs w:val="false"/>
                <w:i w:val="false"/>
                <w:iCs w:val="false"/>
                <w:color w:val="1A1A1A"/>
                <w:sz w:val="24"/>
                <w:szCs w:val="24"/>
              </w:rPr>
              <w:t xml:space="preserve">, form SS 8572 within 36 hours. Do not wait for the investigation, the end of shift, or approval. The duty belongs to whoever formed the suspicion, and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 from the first moment. </w:t>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or cleaning up. Refer for investigation, every allegation gets one. Tier 6 adds law enforcement, forensic exam off site,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90" w:line="252"/>
      </w:pPr>
      <w:r>
        <w:rPr>
          <w:b w:val="false"/>
          <w:bCs w:val="false"/>
          <w:i w:val="false"/>
          <w:iCs w:val="false"/>
          <w:color w:val="1A1A1A"/>
          <w:sz w:val="24"/>
          <w:szCs w:val="24"/>
        </w:rPr>
        <w:t xml:space="preserve">Every time, including when you decide it is nothing. Sexual harassment requires repetition, and repetition only exists if the first one was written down.</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before="140" w:line="252"/>
      </w:pPr>
      <w:r>
        <w:rPr>
          <w:b w:val="false"/>
          <w:bCs w:val="false"/>
          <w:i/>
          <w:iCs/>
          <w:color w:val="1A1A1A"/>
          <w:sz w:val="24"/>
          <w:szCs w:val="24"/>
        </w:rPr>
        <w:t xml:space="preserve">Not legal advice. Statutory questions, and every CANRA call in the grey, go to County Counsel.  </w:t>
      </w: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2026-10-30T17:34:33.456Z</dcterms:created>
  <dcterms:modified xsi:type="dcterms:W3CDTF">2026-10-30T17:34:33.457Z</dcterms:modified>
</cp:coreProperties>
</file>

<file path=docProps/custom.xml><?xml version="1.0" encoding="utf-8"?>
<Properties xmlns="http://schemas.openxmlformats.org/officeDocument/2006/custom-properties" xmlns:vt="http://schemas.openxmlformats.org/officeDocument/2006/docPropsVTypes"/>
</file>