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A1A1A"/>
          <w:sz w:val="48"/>
          <w:szCs w:val="48"/>
        </w:rPr>
        <w:t xml:space="preserve">Youth sexual conduct: what supervisors must do</w:t>
      </w:r>
    </w:p>
    <w:p>
      <w:pPr>
        <w:spacing w:after="420"/>
        <w:jc w:val="center"/>
      </w:pPr>
      <w:r>
        <w:rPr>
          <w:color w:val="5A5A5A"/>
          <w:sz w:val="32"/>
          <w:szCs w:val="32"/>
        </w:rPr>
        <w:t xml:space="preserve">A decision guide for comments, exposure, and touching between youth</w:t>
      </w:r>
    </w:p>
    <w:p>
      <w:pPr>
        <w:spacing w:after="60"/>
        <w:jc w:val="center"/>
      </w:pPr>
      <w:r>
        <w:rPr>
          <w:color w:val="1A1A1A"/>
          <w:sz w:val="26"/>
          <w:szCs w:val="26"/>
        </w:rPr>
        <w:t xml:space="preserve">Sacramento County Probation Department</w:t>
      </w:r>
    </w:p>
    <w:p>
      <w:pPr>
        <w:spacing w:after="400"/>
        <w:jc w:val="center"/>
      </w:pPr>
      <w:r>
        <w:rPr>
          <w:color w:val="1A1A1A"/>
          <w:sz w:val="26"/>
          <w:szCs w:val="26"/>
        </w:rPr>
        <w:t xml:space="preserve">Youth Detention Facility</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80" w:before="80" w:line="260"/>
              <w:jc w:val="center"/>
            </w:pPr>
            <w:r>
              <w:rPr>
                <w:b/>
                <w:bCs/>
                <w:color w:val="1A1A1A"/>
                <w:sz w:val="32"/>
                <w:szCs w:val="32"/>
              </w:rPr>
              <w:t xml:space="preserve">DRAFT FOR COUNTY COUNSEL REVIEW. Not for issuance to supervisors until the CANRA column is confirmed.</w:t>
            </w:r>
          </w:p>
        </w:tc>
      </w:tr>
    </w:tbl>
    <w:p>
      <w:pPr>
        <w:spacing w:after="20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5F5F5" w:color="auto" w:val="clear"/>
            <w:tcMar>
              <w:top w:type="dxa" w:w="60"/>
              <w:left w:type="dxa" w:w="100"/>
              <w:bottom w:type="dxa" w:w="60"/>
              <w:right w:type="dxa" w:w="100"/>
            </w:tcMar>
          </w:tcPr>
          <w:p>
            <w:pPr>
              <w:spacing w:after="60" w:before="60" w:line="260"/>
            </w:pPr>
            <w:r>
              <w:rPr>
                <w:b/>
                <w:bCs/>
                <w:color w:val="1A1A1A"/>
                <w:sz w:val="24"/>
                <w:szCs w:val="24"/>
              </w:rPr>
              <w:t xml:space="preserve">This is not legal advice. </w:t>
            </w:r>
            <w:r>
              <w:rPr>
                <w:color w:val="1A1A1A"/>
                <w:sz w:val="24"/>
                <w:szCs w:val="24"/>
              </w:rPr>
              <w:t xml:space="preserve">It is a policy and standards analysis prepared for internal use. The CANRA determinations in particular route to County Counsel before this issues to anyone.</w:t>
            </w:r>
          </w:p>
        </w:tc>
      </w:tr>
    </w:tbl>
    <w:p>
      <w:r>
        <w:br w:type="page"/>
      </w:r>
    </w:p>
    <w:p>
      <w:pPr>
        <w:pStyle w:val="Heading1"/>
      </w:pPr>
      <w:r>
        <w:t xml:space="preserve">Citation and verification notes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60" w:before="60" w:line="264"/>
            </w:pPr>
            <w:r>
              <w:rPr>
                <w:color w:val="1A1A1A"/>
              </w:rPr>
              <w:t xml:space="preserve">The due process provision for major rule violations is cited here as 15 CCR 1391(f), its numbering in the edition effective 01/01/2019. Revision 6 brought the gap register into line with that numbering, so this guide and the register agree. Two further citations were corrected in the same pass: 15 CCR 1324(h) is 1324(k), and 34 U.S.C. 30307(e)(2) is 30307(c)(2). Neither is used in this guide.</w:t>
            </w:r>
          </w:p>
        </w:tc>
      </w:tr>
    </w:tbl>
    <w:p>
      <w:pPr>
        <w:spacing w:after="16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60" w:before="60" w:line="264"/>
            </w:pPr>
            <w:r>
              <w:rPr>
                <w:color w:val="1A1A1A"/>
              </w:rPr>
              <w:t xml:space="preserve">The CANRA and 28 CFR 115.6 text quoted here is corroborated from search, including exact-phrase matches against the Cornell, eCFR, FindLaw and Justia listings, and has NOT been read from the Penal Code or the Code of Federal Regulations directly, because network access to those sources is blocked from the drafting environment. The Title 15 citations are different: those were read in full from the edition effective 01/01/2019 and are quoted into the gap register. Confirm the CANRA and federal quotations against primary source before this issues.</w:t>
            </w:r>
          </w:p>
        </w:tc>
      </w:tr>
    </w:tbl>
    <w:p>
      <w:pPr>
        <w:spacing w:after="0"/>
      </w:pP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Why this exists</w:t>
      </w:r>
    </w:p>
    <w:p>
      <w:pPr>
        <w:spacing w:after="120" w:line="276"/>
      </w:pPr>
      <w:r>
        <w:rPr>
          <w:color w:val="1A1A1A"/>
        </w:rPr>
        <w:t xml:space="preserve">Staff are getting one-off sexualized comments between youth and do not know whether they have a PREA incident, a CPS report, a rule violation, or none of those. The uncertainty is not a training failure. It is the predictable result of two different legal tests with different thresholds, applied to the same incident, where the department's own documents misstate one of them. This guide separates the tests.</w:t>
      </w:r>
    </w:p>
    <w:p>
      <w:pPr>
        <w:pStyle w:val="Heading1"/>
      </w:pPr>
      <w:r>
        <w:t xml:space="preserve">Four rules that apply to every incident</w:t>
      </w:r>
    </w:p>
    <w:p>
      <w:pPr>
        <w:pStyle w:val="Heading2"/>
      </w:pPr>
      <w:r>
        <w:t xml:space="preserve">1. Run two separate tests. They converge on contact and diverge everywhere else.</w:t>
      </w:r>
    </w:p>
    <w:p>
      <w:pPr>
        <w:spacing w:after="120" w:line="276"/>
      </w:pPr>
      <w:r>
        <w:rPr>
          <w:color w:val="1A1A1A"/>
        </w:rPr>
        <w:t xml:space="preserve">The PREA test asks what category the conduct falls in under 28 CFR 115.6. The CANRA test asks whether a mandated reporter has reasonable suspicion that a child has been the victim of child abuse under Penal Code 11165.1. For touching, the two tests line up almost exactly: the same intimate body parts, the same through-clothing rule, and a matching carve-out for contact during a fight. Away from contact they come apart in both directions. Repeated comments are PREA and not CANRA. Masturbation in view of another youth is CANRA on the first occurrence and not PREA unless repeated. Answering one question never answers the other.</w:t>
      </w:r>
    </w:p>
    <w:p>
      <w:pPr>
        <w:pStyle w:val="Heading2"/>
      </w:pPr>
      <w:r>
        <w:t xml:space="preserve">2. Line staff report. They do not classify.</w:t>
      </w:r>
    </w:p>
    <w:p>
      <w:pPr>
        <w:spacing w:after="120" w:line="276"/>
      </w:pPr>
      <w:r>
        <w:rPr>
          <w:color w:val="1A1A1A"/>
        </w:rPr>
        <w:t xml:space="preserve">28 CFR 115.361(a) requires staff to report any knowledge, suspicion, or information regarding an incident of sexual abuse or sexual harassment. Nothing in it asks the reporting employee to decide which one it is. An officer who has to run a legal test before speaking up is an officer who will stay quiet. Classification is the supervisor's job, after the report.</w:t>
      </w:r>
    </w:p>
    <w:p>
      <w:pPr>
        <w:pStyle w:val="Heading2"/>
      </w:pPr>
      <w:r>
        <w:t xml:space="preserve">3. The CANRA duty is individual and cannot be delegated.</w:t>
      </w:r>
    </w:p>
    <w:p>
      <w:pPr>
        <w:spacing w:after="120" w:line="276"/>
      </w:pPr>
      <w:r>
        <w:rPr>
          <w:color w:val="1A1A1A"/>
        </w:rPr>
        <w:t xml:space="preserve">Penal Code 11166(i)(1) makes the mandated reporter duty personal, bars any supervisor from impeding or inhibiting a report, and prohibits sanctions for reporting. Telling the Duty Supervisor does not discharge an employee's own duty. If the employee who heard it forms a reasonable suspicion, that employee reports, and this guide does not override that.</w:t>
      </w:r>
    </w:p>
    <w:p>
      <w:pPr>
        <w:pStyle w:val="Heading2"/>
      </w:pPr>
      <w:r>
        <w:t xml:space="preserve">4. Document every time, including the times you decide it is nothing.</w:t>
      </w:r>
    </w:p>
    <w:p>
      <w:pPr>
        <w:spacing w:after="120" w:line="276"/>
      </w:pPr>
      <w:r>
        <w:rPr>
          <w:color w:val="1A1A1A"/>
        </w:rPr>
        <w:t xml:space="preserve">PREA sexual harassment requires conduct that is repeated. Repetition only exists if the first incident was written down. A facility that logs only what it is already sure is PREA can never build the record that establishes a pattern, and will under-report itself into an audit finding. Write down the words used verbatim and the target youth's response verbatim.</w:t>
      </w:r>
    </w:p>
    <w:p>
      <w:pPr>
        <w:pStyle w:val="Heading1"/>
      </w:pPr>
      <w:r>
        <w:t xml:space="preserve">The tiers at a glance</w:t>
      </w:r>
    </w:p>
    <w:p>
      <w:pPr>
        <w:spacing w:after="120" w:line="276"/>
      </w:pPr>
      <w:r>
        <w:rPr>
          <w:color w:val="1A1A1A"/>
        </w:rPr>
        <w:t xml:space="preserve">Find the conduct, then read the full tier. The two right columns are different tests and they do not track each other.</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760"/>
        <w:gridCol w:w="4200"/>
        <w:gridCol w:w="2560"/>
        <w:gridCol w:w="2560"/>
      </w:tblGrid>
      <w:tr>
        <w:trPr>
          <w:tblHeader/>
        </w:trPr>
        <w:tc>
          <w:tcPr>
            <w:tcW w:type="dxa" w:w="760"/>
            <w:shd w:fill="E8E8E8" w:color="auto" w:val="clear"/>
            <w:tcMar>
              <w:top w:type="dxa" w:w="60"/>
              <w:left w:type="dxa" w:w="100"/>
              <w:bottom w:type="dxa" w:w="60"/>
              <w:right w:type="dxa" w:w="100"/>
            </w:tcMar>
          </w:tcPr>
          <w:p>
            <w:pPr>
              <w:spacing w:after="40" w:before="40" w:line="240"/>
            </w:pPr>
            <w:r>
              <w:rPr>
                <w:b/>
                <w:bCs/>
                <w:color w:val="1A1A1A"/>
                <w:sz w:val="24"/>
                <w:szCs w:val="24"/>
              </w:rPr>
              <w:t xml:space="preserve">Tier</w:t>
            </w:r>
          </w:p>
        </w:tc>
        <w:tc>
          <w:tcPr>
            <w:tcW w:type="dxa" w:w="4200"/>
            <w:shd w:fill="E8E8E8" w:color="auto" w:val="clear"/>
            <w:tcMar>
              <w:top w:type="dxa" w:w="60"/>
              <w:left w:type="dxa" w:w="100"/>
              <w:bottom w:type="dxa" w:w="60"/>
              <w:right w:type="dxa" w:w="100"/>
            </w:tcMar>
          </w:tcPr>
          <w:p>
            <w:pPr>
              <w:spacing w:after="40" w:before="40" w:line="240"/>
            </w:pPr>
            <w:r>
              <w:rPr>
                <w:b/>
                <w:bCs/>
                <w:color w:val="1A1A1A"/>
                <w:sz w:val="24"/>
                <w:szCs w:val="24"/>
              </w:rPr>
              <w:t xml:space="preserve">Conduct</w:t>
            </w:r>
          </w:p>
        </w:tc>
        <w:tc>
          <w:tcPr>
            <w:tcW w:type="dxa" w:w="2560"/>
            <w:shd w:fill="E8E8E8" w:color="auto" w:val="clear"/>
            <w:tcMar>
              <w:top w:type="dxa" w:w="60"/>
              <w:left w:type="dxa" w:w="100"/>
              <w:bottom w:type="dxa" w:w="60"/>
              <w:right w:type="dxa" w:w="100"/>
            </w:tcMar>
          </w:tcPr>
          <w:p>
            <w:pPr>
              <w:spacing w:after="40" w:before="40" w:line="240"/>
            </w:pPr>
            <w:r>
              <w:rPr>
                <w:b/>
                <w:bCs/>
                <w:color w:val="1A1A1A"/>
                <w:sz w:val="24"/>
                <w:szCs w:val="24"/>
              </w:rPr>
              <w:t xml:space="preserve">PREA</w:t>
            </w:r>
          </w:p>
        </w:tc>
        <w:tc>
          <w:tcPr>
            <w:tcW w:type="dxa" w:w="2560"/>
            <w:shd w:fill="E8E8E8" w:color="auto" w:val="clear"/>
            <w:tcMar>
              <w:top w:type="dxa" w:w="60"/>
              <w:left w:type="dxa" w:w="100"/>
              <w:bottom w:type="dxa" w:w="60"/>
              <w:right w:type="dxa" w:w="100"/>
            </w:tcMar>
          </w:tcPr>
          <w:p>
            <w:pPr>
              <w:spacing w:after="40" w:before="40" w:line="240"/>
            </w:pPr>
            <w:r>
              <w:rPr>
                <w:b/>
                <w:bCs/>
                <w:color w:val="1A1A1A"/>
                <w:sz w:val="24"/>
                <w:szCs w:val="24"/>
              </w:rPr>
              <w:t xml:space="preserve">CPS report</w:t>
            </w:r>
          </w:p>
        </w:tc>
      </w:tr>
      <w:tr>
        <w:tc>
          <w:tcPr>
            <w:tcW w:type="dxa" w:w="760"/>
            <w:tcMar>
              <w:top w:type="dxa" w:w="60"/>
              <w:left w:type="dxa" w:w="100"/>
              <w:bottom w:type="dxa" w:w="60"/>
              <w:right w:type="dxa" w:w="100"/>
            </w:tcMar>
          </w:tcPr>
          <w:p>
            <w:pPr>
              <w:spacing w:after="40" w:before="40" w:line="240"/>
            </w:pPr>
            <w:r>
              <w:rPr>
                <w:b w:val="false"/>
                <w:bCs w:val="false"/>
                <w:color w:val="1A1A1A"/>
                <w:sz w:val="24"/>
                <w:szCs w:val="24"/>
              </w:rPr>
              <w:t xml:space="preserve">1</w:t>
            </w:r>
          </w:p>
        </w:tc>
        <w:tc>
          <w:tcPr>
            <w:tcW w:type="dxa" w:w="4200"/>
            <w:tcMar>
              <w:top w:type="dxa" w:w="60"/>
              <w:left w:type="dxa" w:w="100"/>
              <w:bottom w:type="dxa" w:w="60"/>
              <w:right w:type="dxa" w:w="100"/>
            </w:tcMar>
          </w:tcPr>
          <w:p>
            <w:pPr>
              <w:spacing w:after="40" w:before="40" w:line="240"/>
            </w:pPr>
            <w:r>
              <w:rPr>
                <w:b w:val="false"/>
                <w:bCs w:val="false"/>
                <w:color w:val="1A1A1A"/>
                <w:sz w:val="24"/>
                <w:szCs w:val="24"/>
              </w:rPr>
              <w:t xml:space="preserve">A single unwelcome sexualized comment directed at another youth, with no contact, no exposure, no threat and no leverage</w:t>
            </w:r>
          </w:p>
        </w:tc>
        <w:tc>
          <w:tcPr>
            <w:tcW w:type="dxa" w:w="2560"/>
            <w:tcMar>
              <w:top w:type="dxa" w:w="60"/>
              <w:left w:type="dxa" w:w="100"/>
              <w:bottom w:type="dxa" w:w="60"/>
              <w:right w:type="dxa" w:w="100"/>
            </w:tcMar>
          </w:tcPr>
          <w:p>
            <w:pPr>
              <w:spacing w:after="40" w:before="40" w:line="240"/>
            </w:pPr>
            <w:r>
              <w:rPr>
                <w:b w:val="false"/>
                <w:bCs w:val="false"/>
                <w:color w:val="1A1A1A"/>
                <w:sz w:val="24"/>
                <w:szCs w:val="24"/>
              </w:rPr>
              <w:t xml:space="preserve">Not PREA on these facts</w:t>
            </w:r>
          </w:p>
        </w:tc>
        <w:tc>
          <w:tcPr>
            <w:tcW w:type="dxa" w:w="2560"/>
            <w:tcMar>
              <w:top w:type="dxa" w:w="60"/>
              <w:left w:type="dxa" w:w="100"/>
              <w:bottom w:type="dxa" w:w="60"/>
              <w:right w:type="dxa" w:w="100"/>
            </w:tcMar>
          </w:tcPr>
          <w:p>
            <w:pPr>
              <w:spacing w:after="40" w:before="40" w:line="240"/>
            </w:pPr>
            <w:r>
              <w:rPr>
                <w:b w:val="false"/>
                <w:bCs w:val="false"/>
                <w:color w:val="1A1A1A"/>
                <w:sz w:val="24"/>
                <w:szCs w:val="24"/>
              </w:rPr>
              <w:t xml:space="preserve">NO</w:t>
            </w:r>
          </w:p>
        </w:tc>
      </w:tr>
      <w:tr>
        <w:tc>
          <w:tcPr>
            <w:tcW w:type="dxa" w:w="760"/>
            <w:tcMar>
              <w:top w:type="dxa" w:w="60"/>
              <w:left w:type="dxa" w:w="100"/>
              <w:bottom w:type="dxa" w:w="60"/>
              <w:right w:type="dxa" w:w="100"/>
            </w:tcMar>
          </w:tcPr>
          <w:p>
            <w:pPr>
              <w:spacing w:after="40" w:before="40" w:line="240"/>
            </w:pPr>
            <w:r>
              <w:rPr>
                <w:b w:val="false"/>
                <w:bCs w:val="false"/>
                <w:color w:val="1A1A1A"/>
                <w:sz w:val="24"/>
                <w:szCs w:val="24"/>
              </w:rPr>
              <w:t xml:space="preserve">2</w:t>
            </w:r>
          </w:p>
        </w:tc>
        <w:tc>
          <w:tcPr>
            <w:tcW w:type="dxa" w:w="4200"/>
            <w:tcMar>
              <w:top w:type="dxa" w:w="60"/>
              <w:left w:type="dxa" w:w="100"/>
              <w:bottom w:type="dxa" w:w="60"/>
              <w:right w:type="dxa" w:w="100"/>
            </w:tcMar>
          </w:tcPr>
          <w:p>
            <w:pPr>
              <w:spacing w:after="40" w:before="40" w:line="240"/>
            </w:pPr>
            <w:r>
              <w:rPr>
                <w:b w:val="false"/>
                <w:bCs w:val="false"/>
                <w:color w:val="1A1A1A"/>
                <w:sz w:val="24"/>
                <w:szCs w:val="24"/>
              </w:rPr>
              <w:t xml:space="preserve">Sexualized comments or gestures of a derogatory or offensive nature, repeated and unwelcome, directed at the same youth</w:t>
            </w:r>
          </w:p>
        </w:tc>
        <w:tc>
          <w:tcPr>
            <w:tcW w:type="dxa" w:w="2560"/>
            <w:tcMar>
              <w:top w:type="dxa" w:w="60"/>
              <w:left w:type="dxa" w:w="100"/>
              <w:bottom w:type="dxa" w:w="60"/>
              <w:right w:type="dxa" w:w="100"/>
            </w:tcMar>
          </w:tcPr>
          <w:p>
            <w:pPr>
              <w:spacing w:after="40" w:before="40" w:line="240"/>
            </w:pPr>
            <w:r>
              <w:rPr>
                <w:b w:val="false"/>
                <w:bCs w:val="false"/>
                <w:color w:val="1A1A1A"/>
                <w:sz w:val="24"/>
                <w:szCs w:val="24"/>
              </w:rPr>
              <w:t xml:space="preserve">PREA sexual harassment</w:t>
            </w:r>
          </w:p>
        </w:tc>
        <w:tc>
          <w:tcPr>
            <w:tcW w:type="dxa" w:w="2560"/>
            <w:tcMar>
              <w:top w:type="dxa" w:w="60"/>
              <w:left w:type="dxa" w:w="100"/>
              <w:bottom w:type="dxa" w:w="60"/>
              <w:right w:type="dxa" w:w="100"/>
            </w:tcMar>
          </w:tcPr>
          <w:p>
            <w:pPr>
              <w:spacing w:after="40" w:before="40" w:line="240"/>
            </w:pPr>
            <w:r>
              <w:rPr>
                <w:b w:val="false"/>
                <w:bCs w:val="false"/>
                <w:color w:val="1A1A1A"/>
                <w:sz w:val="24"/>
                <w:szCs w:val="24"/>
              </w:rPr>
              <w:t xml:space="preserve">NO</w:t>
            </w:r>
          </w:p>
        </w:tc>
      </w:tr>
      <w:tr>
        <w:tc>
          <w:tcPr>
            <w:tcW w:type="dxa" w:w="760"/>
            <w:tcMar>
              <w:top w:type="dxa" w:w="60"/>
              <w:left w:type="dxa" w:w="100"/>
              <w:bottom w:type="dxa" w:w="60"/>
              <w:right w:type="dxa" w:w="100"/>
            </w:tcMar>
          </w:tcPr>
          <w:p>
            <w:pPr>
              <w:spacing w:after="40" w:before="40" w:line="240"/>
            </w:pPr>
            <w:r>
              <w:rPr>
                <w:b w:val="false"/>
                <w:bCs w:val="false"/>
                <w:color w:val="1A1A1A"/>
                <w:sz w:val="24"/>
                <w:szCs w:val="24"/>
              </w:rPr>
              <w:t xml:space="preserve">3</w:t>
            </w:r>
          </w:p>
        </w:tc>
        <w:tc>
          <w:tcPr>
            <w:tcW w:type="dxa" w:w="4200"/>
            <w:tcMar>
              <w:top w:type="dxa" w:w="60"/>
              <w:left w:type="dxa" w:w="100"/>
              <w:bottom w:type="dxa" w:w="60"/>
              <w:right w:type="dxa" w:w="100"/>
            </w:tcMar>
          </w:tcPr>
          <w:p>
            <w:pPr>
              <w:spacing w:after="40" w:before="40" w:line="240"/>
            </w:pPr>
            <w:r>
              <w:rPr>
                <w:b w:val="false"/>
                <w:bCs w:val="false"/>
                <w:color w:val="1A1A1A"/>
                <w:sz w:val="24"/>
                <w:szCs w:val="24"/>
              </w:rPr>
              <w:t xml:space="preserve">One youth exposes his genitals to another youth</w:t>
            </w:r>
          </w:p>
        </w:tc>
        <w:tc>
          <w:tcPr>
            <w:tcW w:type="dxa" w:w="2560"/>
            <w:tcMar>
              <w:top w:type="dxa" w:w="60"/>
              <w:left w:type="dxa" w:w="100"/>
              <w:bottom w:type="dxa" w:w="60"/>
              <w:right w:type="dxa" w:w="100"/>
            </w:tcMar>
          </w:tcPr>
          <w:p>
            <w:pPr>
              <w:spacing w:after="40" w:before="40" w:line="240"/>
            </w:pPr>
            <w:r>
              <w:rPr>
                <w:b w:val="false"/>
                <w:bCs w:val="false"/>
                <w:color w:val="1A1A1A"/>
                <w:sz w:val="24"/>
                <w:szCs w:val="24"/>
              </w:rPr>
              <w:t xml:space="preserve">PREA sexual harassment only if repeated</w:t>
            </w:r>
          </w:p>
        </w:tc>
        <w:tc>
          <w:tcPr>
            <w:tcW w:type="dxa" w:w="2560"/>
            <w:tcMar>
              <w:top w:type="dxa" w:w="60"/>
              <w:left w:type="dxa" w:w="100"/>
              <w:bottom w:type="dxa" w:w="60"/>
              <w:right w:type="dxa" w:w="100"/>
            </w:tcMar>
          </w:tcPr>
          <w:p>
            <w:pPr>
              <w:spacing w:after="40" w:before="40" w:line="240"/>
            </w:pPr>
            <w:r>
              <w:rPr>
                <w:b w:val="false"/>
                <w:bCs w:val="false"/>
                <w:color w:val="1A1A1A"/>
                <w:sz w:val="24"/>
                <w:szCs w:val="24"/>
              </w:rPr>
              <w:t xml:space="preserve">NO, but read tier 4</w:t>
            </w:r>
          </w:p>
        </w:tc>
      </w:tr>
      <w:tr>
        <w:tc>
          <w:tcPr>
            <w:tcW w:type="dxa" w:w="760"/>
            <w:tcMar>
              <w:top w:type="dxa" w:w="60"/>
              <w:left w:type="dxa" w:w="100"/>
              <w:bottom w:type="dxa" w:w="60"/>
              <w:right w:type="dxa" w:w="100"/>
            </w:tcMar>
          </w:tcPr>
          <w:p>
            <w:pPr>
              <w:spacing w:after="40" w:before="40" w:line="240"/>
            </w:pPr>
            <w:r>
              <w:rPr>
                <w:b w:val="false"/>
                <w:bCs w:val="false"/>
                <w:color w:val="1A1A1A"/>
                <w:sz w:val="24"/>
                <w:szCs w:val="24"/>
              </w:rPr>
              <w:t xml:space="preserve">4</w:t>
            </w:r>
          </w:p>
        </w:tc>
        <w:tc>
          <w:tcPr>
            <w:tcW w:type="dxa" w:w="4200"/>
            <w:tcMar>
              <w:top w:type="dxa" w:w="60"/>
              <w:left w:type="dxa" w:w="100"/>
              <w:bottom w:type="dxa" w:w="60"/>
              <w:right w:type="dxa" w:w="100"/>
            </w:tcMar>
          </w:tcPr>
          <w:p>
            <w:pPr>
              <w:spacing w:after="40" w:before="40" w:line="240"/>
            </w:pPr>
            <w:r>
              <w:rPr>
                <w:b w:val="false"/>
                <w:bCs w:val="false"/>
                <w:color w:val="1A1A1A"/>
                <w:sz w:val="24"/>
                <w:szCs w:val="24"/>
              </w:rPr>
              <w:t xml:space="preserve">One youth masturbates in the presence of or in view of another youth</w:t>
            </w:r>
          </w:p>
        </w:tc>
        <w:tc>
          <w:tcPr>
            <w:tcW w:type="dxa" w:w="2560"/>
            <w:tcMar>
              <w:top w:type="dxa" w:w="60"/>
              <w:left w:type="dxa" w:w="100"/>
              <w:bottom w:type="dxa" w:w="60"/>
              <w:right w:type="dxa" w:w="100"/>
            </w:tcMar>
          </w:tcPr>
          <w:p>
            <w:pPr>
              <w:spacing w:after="40" w:before="40" w:line="240"/>
            </w:pPr>
            <w:r>
              <w:rPr>
                <w:b w:val="false"/>
                <w:bCs w:val="false"/>
                <w:color w:val="1A1A1A"/>
                <w:sz w:val="24"/>
                <w:szCs w:val="24"/>
              </w:rPr>
              <w:t xml:space="preserve">PREA sexual harassment only if repeated</w:t>
            </w:r>
          </w:p>
        </w:tc>
        <w:tc>
          <w:tcPr>
            <w:tcW w:type="dxa" w:w="2560"/>
            <w:tcMar>
              <w:top w:type="dxa" w:w="60"/>
              <w:left w:type="dxa" w:w="100"/>
              <w:bottom w:type="dxa" w:w="60"/>
              <w:right w:type="dxa" w:w="100"/>
            </w:tcMar>
          </w:tcPr>
          <w:p>
            <w:pPr>
              <w:spacing w:after="40" w:before="40" w:line="240"/>
            </w:pPr>
            <w:r>
              <w:rPr>
                <w:b/>
                <w:bCs/>
                <w:color w:val="1A1A1A"/>
                <w:sz w:val="24"/>
                <w:szCs w:val="24"/>
              </w:rPr>
              <w:t xml:space="preserve">YES if the youth who saw it is under 18</w:t>
            </w:r>
          </w:p>
        </w:tc>
      </w:tr>
      <w:tr>
        <w:tc>
          <w:tcPr>
            <w:tcW w:type="dxa" w:w="76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5</w:t>
            </w:r>
          </w:p>
        </w:tc>
        <w:tc>
          <w:tcPr>
            <w:tcW w:type="dxa" w:w="420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Intentional touching of another youth's genitalia, anus, groin, breast, inner thigh, or buttocks, including through the clothing</w:t>
            </w:r>
          </w:p>
        </w:tc>
        <w:tc>
          <w:tcPr>
            <w:tcW w:type="dxa" w:w="2560"/>
            <w:shd w:fill="F2DEDE" w:color="auto" w:val="clear"/>
            <w:tcMar>
              <w:top w:type="dxa" w:w="60"/>
              <w:left w:type="dxa" w:w="100"/>
              <w:bottom w:type="dxa" w:w="60"/>
              <w:right w:type="dxa" w:w="100"/>
            </w:tcMar>
          </w:tcPr>
          <w:p>
            <w:pPr>
              <w:spacing w:after="40" w:before="40" w:line="240"/>
            </w:pPr>
            <w:r>
              <w:rPr>
                <w:b/>
                <w:bCs/>
                <w:color w:val="1A1A1A"/>
                <w:sz w:val="24"/>
                <w:szCs w:val="24"/>
              </w:rPr>
              <w:t xml:space="preserve">PREA SEXUAL ABUSE</w:t>
            </w:r>
          </w:p>
        </w:tc>
        <w:tc>
          <w:tcPr>
            <w:tcW w:type="dxa" w:w="2560"/>
            <w:shd w:fill="F2DEDE" w:color="auto" w:val="clear"/>
            <w:tcMar>
              <w:top w:type="dxa" w:w="60"/>
              <w:left w:type="dxa" w:w="100"/>
              <w:bottom w:type="dxa" w:w="60"/>
              <w:right w:type="dxa" w:w="100"/>
            </w:tcMar>
          </w:tcPr>
          <w:p>
            <w:pPr>
              <w:spacing w:after="40" w:before="40" w:line="240"/>
            </w:pPr>
            <w:r>
              <w:rPr>
                <w:b/>
                <w:bCs/>
                <w:color w:val="1A1A1A"/>
                <w:sz w:val="24"/>
                <w:szCs w:val="24"/>
              </w:rPr>
              <w:t xml:space="preserve">YES if either resident is under 18</w:t>
            </w:r>
          </w:p>
        </w:tc>
      </w:tr>
      <w:tr>
        <w:tc>
          <w:tcPr>
            <w:tcW w:type="dxa" w:w="76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6</w:t>
            </w:r>
          </w:p>
        </w:tc>
        <w:tc>
          <w:tcPr>
            <w:tcW w:type="dxa" w:w="420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Oral, anal, or penetrative sexual contact, attempted or completed</w:t>
            </w:r>
          </w:p>
        </w:tc>
        <w:tc>
          <w:tcPr>
            <w:tcW w:type="dxa" w:w="2560"/>
            <w:shd w:fill="F2DEDE" w:color="auto" w:val="clear"/>
            <w:tcMar>
              <w:top w:type="dxa" w:w="60"/>
              <w:left w:type="dxa" w:w="100"/>
              <w:bottom w:type="dxa" w:w="60"/>
              <w:right w:type="dxa" w:w="100"/>
            </w:tcMar>
          </w:tcPr>
          <w:p>
            <w:pPr>
              <w:spacing w:after="40" w:before="40" w:line="240"/>
            </w:pPr>
            <w:r>
              <w:rPr>
                <w:b/>
                <w:bCs/>
                <w:color w:val="1A1A1A"/>
                <w:sz w:val="24"/>
                <w:szCs w:val="24"/>
              </w:rPr>
              <w:t xml:space="preserve">PREA SEXUAL ABUSE</w:t>
            </w:r>
          </w:p>
        </w:tc>
        <w:tc>
          <w:tcPr>
            <w:tcW w:type="dxa" w:w="2560"/>
            <w:shd w:fill="F2DEDE" w:color="auto" w:val="clear"/>
            <w:tcMar>
              <w:top w:type="dxa" w:w="60"/>
              <w:left w:type="dxa" w:w="100"/>
              <w:bottom w:type="dxa" w:w="60"/>
              <w:right w:type="dxa" w:w="100"/>
            </w:tcMar>
          </w:tcPr>
          <w:p>
            <w:pPr>
              <w:spacing w:after="40" w:before="40" w:line="240"/>
            </w:pPr>
            <w:r>
              <w:rPr>
                <w:b/>
                <w:bCs/>
                <w:color w:val="1A1A1A"/>
                <w:sz w:val="24"/>
                <w:szCs w:val="24"/>
              </w:rPr>
              <w:t xml:space="preserve">YES if either resident is under 18</w:t>
            </w:r>
          </w:p>
        </w:tc>
      </w:tr>
    </w:tbl>
    <w:p>
      <w:r>
        <w:br w:type="page"/>
      </w:r>
    </w:p>
    <w:p>
      <w:pPr>
        <w:pStyle w:val="Heading1"/>
      </w:pPr>
      <w:r>
        <w:t xml:space="preserve">Tier 1</w:t>
      </w:r>
    </w:p>
    <w:p>
      <w:pPr>
        <w:spacing w:after="120" w:line="276"/>
      </w:pPr>
      <w:r>
        <w:rPr>
          <w:b/>
          <w:bCs/>
          <w:color w:val="1A1A1A"/>
        </w:rPr>
        <w:t xml:space="preserve">The conduct. </w:t>
      </w:r>
      <w:r>
        <w:rPr>
          <w:color w:val="1A1A1A"/>
        </w:rPr>
        <w:t xml:space="preserve">A single unwelcome sexualized comment directed at another youth, with no contact, no exposure, no threat and no leverage. The "I'll eat your ass" case.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7880"/>
      </w:tblGrid>
      <w:tr>
        <w:tc>
          <w:tcPr>
            <w:tcW w:type="dxa" w:w="2200"/>
            <w:shd w:fill="F5F5F5" w:color="auto" w:val="clear"/>
            <w:tcMar>
              <w:top w:type="dxa" w:w="60"/>
              <w:left w:type="dxa" w:w="100"/>
              <w:bottom w:type="dxa" w:w="60"/>
              <w:right w:type="dxa" w:w="100"/>
            </w:tcMar>
          </w:tcPr>
          <w:p>
            <w:pPr>
              <w:spacing w:after="40" w:before="40" w:line="240"/>
            </w:pPr>
            <w:r>
              <w:rPr>
                <w:b/>
                <w:bCs/>
                <w:color w:val="1A1A1A"/>
                <w:sz w:val="24"/>
                <w:szCs w:val="24"/>
              </w:rPr>
              <w:t xml:space="preserve">PREA</w:t>
            </w:r>
          </w:p>
        </w:tc>
        <w:tc>
          <w:tcPr>
            <w:tcW w:type="dxa" w:w="7880"/>
            <w:tcMar>
              <w:top w:type="dxa" w:w="60"/>
              <w:left w:type="dxa" w:w="100"/>
              <w:bottom w:type="dxa" w:w="60"/>
              <w:right w:type="dxa" w:w="100"/>
            </w:tcMar>
          </w:tcPr>
          <w:p>
            <w:pPr>
              <w:spacing w:after="40" w:before="40" w:line="250"/>
            </w:pPr>
            <w:r>
              <w:rPr>
                <w:b/>
                <w:bCs/>
                <w:color w:val="1A1A1A"/>
                <w:sz w:val="24"/>
                <w:szCs w:val="24"/>
              </w:rPr>
              <w:t xml:space="preserve">Not PREA on these facts. </w:t>
            </w:r>
            <w:r>
              <w:rPr>
                <w:color w:val="1A1A1A"/>
                <w:sz w:val="24"/>
                <w:szCs w:val="24"/>
              </w:rPr>
              <w:t xml:space="preserve">Not sexual abuse: that definition is contact based. Not sexual harassment either, because 115.6 requires conduct that is "repeated and unwelcome." A single comment does not meet the definition on its face.</w:t>
            </w:r>
          </w:p>
        </w:tc>
      </w:tr>
      <w:tr>
        <w:tc>
          <w:tcPr>
            <w:tcW w:type="dxa" w:w="2200"/>
            <w:shd w:fill="F5F5F5" w:color="auto" w:val="clear"/>
            <w:tcMar>
              <w:top w:type="dxa" w:w="60"/>
              <w:left w:type="dxa" w:w="100"/>
              <w:bottom w:type="dxa" w:w="60"/>
              <w:right w:type="dxa" w:w="100"/>
            </w:tcMar>
          </w:tcPr>
          <w:p>
            <w:pPr>
              <w:spacing w:after="40" w:before="40" w:line="240"/>
            </w:pPr>
            <w:r>
              <w:rPr>
                <w:b/>
                <w:bCs/>
                <w:color w:val="1A1A1A"/>
                <w:sz w:val="24"/>
                <w:szCs w:val="24"/>
              </w:rPr>
              <w:t xml:space="preserve">CPS report</w:t>
            </w:r>
          </w:p>
        </w:tc>
        <w:tc>
          <w:tcPr>
            <w:tcW w:type="dxa" w:w="7880"/>
            <w:tcMar>
              <w:top w:type="dxa" w:w="60"/>
              <w:left w:type="dxa" w:w="100"/>
              <w:bottom w:type="dxa" w:w="60"/>
              <w:right w:type="dxa" w:w="100"/>
            </w:tcMar>
          </w:tcPr>
          <w:p>
            <w:pPr>
              <w:spacing w:after="40" w:before="40" w:line="250"/>
            </w:pPr>
            <w:r>
              <w:rPr>
                <w:b/>
                <w:bCs/>
                <w:color w:val="1A1A1A"/>
                <w:sz w:val="24"/>
                <w:szCs w:val="24"/>
              </w:rPr>
              <w:t xml:space="preserve">NO. </w:t>
            </w:r>
            <w:r>
              <w:rPr>
                <w:color w:val="1A1A1A"/>
                <w:sz w:val="24"/>
                <w:szCs w:val="24"/>
              </w:rPr>
              <w:t xml:space="preserve">No. Words are not conduct in violation of any offense enumerated at Penal Code 11165.1(a), and they are not among the acts listed at 11165.1(b). Nothing in CANRA reaches speech alone.</w:t>
            </w:r>
          </w:p>
        </w:tc>
      </w:tr>
    </w:tbl>
    <w:p>
      <w:pPr>
        <w:pStyle w:val="Heading2"/>
      </w:pPr>
      <w:r>
        <w:t xml:space="preserve">Required steps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7EFE4" w:color="auto" w:val="clear"/>
            <w:tcMar>
              <w:top w:type="dxa" w:w="60"/>
              <w:left w:type="dxa" w:w="100"/>
              <w:bottom w:type="dxa" w:w="60"/>
              <w:right w:type="dxa" w:w="100"/>
            </w:tcMar>
          </w:tcPr>
          <w:p>
            <w:pPr>
              <w:pStyle w:val="ListParagraph"/>
              <w:numPr>
                <w:ilvl w:val="0"/>
                <w:numId w:val="1"/>
              </w:numPr>
              <w:spacing w:after="60" w:before="60" w:line="264"/>
            </w:pPr>
            <w:r>
              <w:rPr>
                <w:color w:val="1A1A1A"/>
              </w:rPr>
              <w:t xml:space="preserve">Separate the youth and check the target's immediate safety.</w:t>
            </w:r>
          </w:p>
          <w:p>
            <w:pPr>
              <w:pStyle w:val="ListParagraph"/>
              <w:numPr>
                <w:ilvl w:val="0"/>
                <w:numId w:val="1"/>
              </w:numPr>
              <w:spacing w:after="60" w:before="40" w:line="264"/>
            </w:pPr>
            <w:r>
              <w:rPr>
                <w:color w:val="1A1A1A"/>
              </w:rPr>
              <w:t xml:space="preserve">Staff reports to the Duty Supervisor immediately.</w:t>
            </w:r>
          </w:p>
          <w:p>
            <w:pPr>
              <w:pStyle w:val="ListParagraph"/>
              <w:numPr>
                <w:ilvl w:val="0"/>
                <w:numId w:val="1"/>
              </w:numPr>
              <w:spacing w:after="60" w:before="40" w:line="264"/>
            </w:pPr>
            <w:r>
              <w:rPr>
                <w:color w:val="1A1A1A"/>
              </w:rPr>
              <w:t xml:space="preserve">Incident report naming both youth, the words used verbatim, and the target's response verbatim.</w:t>
            </w:r>
          </w:p>
          <w:p>
            <w:pPr>
              <w:pStyle w:val="ListParagraph"/>
              <w:numPr>
                <w:ilvl w:val="0"/>
                <w:numId w:val="1"/>
              </w:numPr>
              <w:spacing w:after="60" w:before="40" w:line="264"/>
            </w:pPr>
            <w:r>
              <w:rPr>
                <w:color w:val="1A1A1A"/>
              </w:rPr>
              <w:t xml:space="preserve">Supervisor records the classification decision and the reason, including the decision not to make a CANRA report.</w:t>
            </w:r>
          </w:p>
          <w:p>
            <w:pPr>
              <w:pStyle w:val="ListParagraph"/>
              <w:numPr>
                <w:ilvl w:val="0"/>
                <w:numId w:val="1"/>
              </w:numPr>
              <w:spacing w:after="60" w:before="40" w:line="264"/>
            </w:pPr>
            <w:r>
              <w:rPr>
                <w:color w:val="1A1A1A"/>
              </w:rPr>
              <w:t xml:space="preserve">Treat as classification information on both youth: risk of abusiveness for the speaker, risk of victimization for the target.</w:t>
            </w:r>
          </w:p>
          <w:p>
            <w:pPr>
              <w:pStyle w:val="ListParagraph"/>
              <w:numPr>
                <w:ilvl w:val="0"/>
                <w:numId w:val="1"/>
              </w:numPr>
              <w:spacing w:after="60" w:before="40" w:line="264"/>
            </w:pPr>
            <w:r>
              <w:rPr>
                <w:color w:val="1A1A1A"/>
              </w:rPr>
              <w:t xml:space="preserve">Check the target's history. If this is the second time toward the same youth, it is tier 2.</w:t>
            </w:r>
          </w:p>
        </w:tc>
      </w:tr>
    </w:tbl>
    <w:p>
      <w:r>
        <w:br w:type="page"/>
      </w:r>
    </w:p>
    <w:p>
      <w:pPr>
        <w:pStyle w:val="Heading1"/>
      </w:pPr>
      <w:r>
        <w:t xml:space="preserve">Tier 2</w:t>
      </w:r>
    </w:p>
    <w:p>
      <w:pPr>
        <w:spacing w:after="120" w:line="276"/>
      </w:pPr>
      <w:r>
        <w:rPr>
          <w:b/>
          <w:bCs/>
          <w:color w:val="1A1A1A"/>
        </w:rPr>
        <w:t xml:space="preserve">The conduct. </w:t>
      </w:r>
      <w:r>
        <w:rPr>
          <w:color w:val="1A1A1A"/>
        </w:rPr>
        <w:t xml:space="preserve">Sexualized comments or gestures of a derogatory or offensive nature, repeated and unwelcome, directed at the same youth. Still no contact and no exposure.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7880"/>
      </w:tblGrid>
      <w:tr>
        <w:tc>
          <w:tcPr>
            <w:tcW w:type="dxa" w:w="2200"/>
            <w:shd w:fill="F5F5F5" w:color="auto" w:val="clear"/>
            <w:tcMar>
              <w:top w:type="dxa" w:w="60"/>
              <w:left w:type="dxa" w:w="100"/>
              <w:bottom w:type="dxa" w:w="60"/>
              <w:right w:type="dxa" w:w="100"/>
            </w:tcMar>
          </w:tcPr>
          <w:p>
            <w:pPr>
              <w:spacing w:after="40" w:before="40" w:line="240"/>
            </w:pPr>
            <w:r>
              <w:rPr>
                <w:b/>
                <w:bCs/>
                <w:color w:val="1A1A1A"/>
                <w:sz w:val="24"/>
                <w:szCs w:val="24"/>
              </w:rPr>
              <w:t xml:space="preserve">PREA</w:t>
            </w:r>
          </w:p>
        </w:tc>
        <w:tc>
          <w:tcPr>
            <w:tcW w:type="dxa" w:w="7880"/>
            <w:tcMar>
              <w:top w:type="dxa" w:w="60"/>
              <w:left w:type="dxa" w:w="100"/>
              <w:bottom w:type="dxa" w:w="60"/>
              <w:right w:type="dxa" w:w="100"/>
            </w:tcMar>
          </w:tcPr>
          <w:p>
            <w:pPr>
              <w:spacing w:after="40" w:before="40" w:line="250"/>
            </w:pPr>
            <w:r>
              <w:rPr>
                <w:b/>
                <w:bCs/>
                <w:color w:val="1A1A1A"/>
                <w:sz w:val="24"/>
                <w:szCs w:val="24"/>
              </w:rPr>
              <w:t xml:space="preserve">PREA sexual harassment. </w:t>
            </w:r>
            <w:r>
              <w:rPr>
                <w:color w:val="1A1A1A"/>
                <w:sz w:val="24"/>
                <w:szCs w:val="24"/>
              </w:rPr>
              <w:t xml:space="preserve">Sexual harassment under 115.6, prong one. A reportable PREA incident. Log it. Whether 115.387 data collection reaches sexual harassment as well as sexual abuse has NOT been verified against the CFR text from this drafting environment, so inclusion is the safe default rather than a confirmed requirement. Confirm the collection scope before the department sets it: register row 70.</w:t>
            </w:r>
          </w:p>
        </w:tc>
      </w:tr>
      <w:tr>
        <w:tc>
          <w:tcPr>
            <w:tcW w:type="dxa" w:w="2200"/>
            <w:shd w:fill="F5F5F5" w:color="auto" w:val="clear"/>
            <w:tcMar>
              <w:top w:type="dxa" w:w="60"/>
              <w:left w:type="dxa" w:w="100"/>
              <w:bottom w:type="dxa" w:w="60"/>
              <w:right w:type="dxa" w:w="100"/>
            </w:tcMar>
          </w:tcPr>
          <w:p>
            <w:pPr>
              <w:spacing w:after="40" w:before="40" w:line="240"/>
            </w:pPr>
            <w:r>
              <w:rPr>
                <w:b/>
                <w:bCs/>
                <w:color w:val="1A1A1A"/>
                <w:sz w:val="24"/>
                <w:szCs w:val="24"/>
              </w:rPr>
              <w:t xml:space="preserve">CPS report</w:t>
            </w:r>
          </w:p>
        </w:tc>
        <w:tc>
          <w:tcPr>
            <w:tcW w:type="dxa" w:w="7880"/>
            <w:tcMar>
              <w:top w:type="dxa" w:w="60"/>
              <w:left w:type="dxa" w:w="100"/>
              <w:bottom w:type="dxa" w:w="60"/>
              <w:right w:type="dxa" w:w="100"/>
            </w:tcMar>
          </w:tcPr>
          <w:p>
            <w:pPr>
              <w:spacing w:after="40" w:before="40" w:line="250"/>
            </w:pPr>
            <w:r>
              <w:rPr>
                <w:b/>
                <w:bCs/>
                <w:color w:val="1A1A1A"/>
                <w:sz w:val="24"/>
                <w:szCs w:val="24"/>
              </w:rPr>
              <w:t xml:space="preserve">NO. </w:t>
            </w:r>
            <w:r>
              <w:rPr>
                <w:color w:val="1A1A1A"/>
                <w:sz w:val="24"/>
                <w:szCs w:val="24"/>
              </w:rPr>
              <w:t xml:space="preserve">No, on the same reasoning as tier 1. Repetition makes it PREA. It does not turn speech into an act CANRA reaches.</w:t>
            </w:r>
          </w:p>
        </w:tc>
      </w:tr>
    </w:tbl>
    <w:p>
      <w:pPr>
        <w:pStyle w:val="Heading2"/>
      </w:pPr>
      <w:r>
        <w:t xml:space="preserve">Required steps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7EFE4" w:color="auto" w:val="clear"/>
            <w:tcMar>
              <w:top w:type="dxa" w:w="60"/>
              <w:left w:type="dxa" w:w="100"/>
              <w:bottom w:type="dxa" w:w="60"/>
              <w:right w:type="dxa" w:w="100"/>
            </w:tcMar>
          </w:tcPr>
          <w:p>
            <w:pPr>
              <w:pStyle w:val="ListParagraph"/>
              <w:numPr>
                <w:ilvl w:val="0"/>
                <w:numId w:val="1"/>
              </w:numPr>
              <w:spacing w:after="60" w:before="60" w:line="264"/>
            </w:pPr>
            <w:r>
              <w:rPr>
                <w:color w:val="1A1A1A"/>
              </w:rPr>
              <w:t xml:space="preserve">Everything in tier 1.</w:t>
            </w:r>
          </w:p>
          <w:p>
            <w:pPr>
              <w:pStyle w:val="ListParagraph"/>
              <w:numPr>
                <w:ilvl w:val="0"/>
                <w:numId w:val="1"/>
              </w:numPr>
              <w:spacing w:after="60" w:before="40" w:line="264"/>
            </w:pPr>
            <w:r>
              <w:rPr>
                <w:color w:val="1A1A1A"/>
              </w:rPr>
              <w:t xml:space="preserve">Classify and log as a PREA sexual harassment incident.</w:t>
            </w:r>
          </w:p>
          <w:p>
            <w:pPr>
              <w:pStyle w:val="ListParagraph"/>
              <w:numPr>
                <w:ilvl w:val="0"/>
                <w:numId w:val="1"/>
              </w:numPr>
              <w:spacing w:after="60" w:before="40" w:line="264"/>
            </w:pPr>
            <w:r>
              <w:rPr>
                <w:color w:val="1A1A1A"/>
              </w:rPr>
              <w:t xml:space="preserve">Assess whether the target is at substantial risk of imminent sexual abuse. If yes, 115.362 requires immediate action to protect, separately from any investigation.</w:t>
            </w:r>
          </w:p>
          <w:p>
            <w:pPr>
              <w:pStyle w:val="ListParagraph"/>
              <w:numPr>
                <w:ilvl w:val="0"/>
                <w:numId w:val="1"/>
              </w:numPr>
              <w:spacing w:after="60" w:before="40" w:line="264"/>
            </w:pPr>
            <w:r>
              <w:rPr>
                <w:color w:val="1A1A1A"/>
              </w:rPr>
              <w:t xml:space="preserve">Reassess classification and housing for both youth.</w:t>
            </w:r>
          </w:p>
          <w:p>
            <w:pPr>
              <w:pStyle w:val="ListParagraph"/>
              <w:numPr>
                <w:ilvl w:val="0"/>
                <w:numId w:val="1"/>
              </w:numPr>
              <w:spacing w:after="60" w:before="40" w:line="264"/>
            </w:pPr>
            <w:r>
              <w:rPr>
                <w:color w:val="1A1A1A"/>
              </w:rPr>
              <w:t xml:space="preserve">If the target or any youth reported it, begin retaliation monitoring under 115.367: at least 90 days, with periodic status checks.</w:t>
            </w:r>
          </w:p>
        </w:tc>
      </w:tr>
    </w:tbl>
    <w:p>
      <w:r>
        <w:br w:type="page"/>
      </w:r>
    </w:p>
    <w:p>
      <w:pPr>
        <w:pStyle w:val="Heading1"/>
      </w:pPr>
      <w:r>
        <w:t xml:space="preserve">Tier 3</w:t>
      </w:r>
    </w:p>
    <w:p>
      <w:pPr>
        <w:spacing w:after="120" w:line="276"/>
      </w:pPr>
      <w:r>
        <w:rPr>
          <w:b/>
          <w:bCs/>
          <w:color w:val="1A1A1A"/>
        </w:rPr>
        <w:t xml:space="preserve">The conduct. </w:t>
      </w:r>
      <w:r>
        <w:rPr>
          <w:color w:val="1A1A1A"/>
        </w:rPr>
        <w:t xml:space="preserve">One youth exposes his genitals to another youth. Flashing, with no masturbation and no contact.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7880"/>
      </w:tblGrid>
      <w:tr>
        <w:tc>
          <w:tcPr>
            <w:tcW w:type="dxa" w:w="2200"/>
            <w:shd w:fill="F5F5F5" w:color="auto" w:val="clear"/>
            <w:tcMar>
              <w:top w:type="dxa" w:w="60"/>
              <w:left w:type="dxa" w:w="100"/>
              <w:bottom w:type="dxa" w:w="60"/>
              <w:right w:type="dxa" w:w="100"/>
            </w:tcMar>
          </w:tcPr>
          <w:p>
            <w:pPr>
              <w:spacing w:after="40" w:before="40" w:line="240"/>
            </w:pPr>
            <w:r>
              <w:rPr>
                <w:b/>
                <w:bCs/>
                <w:color w:val="1A1A1A"/>
                <w:sz w:val="24"/>
                <w:szCs w:val="24"/>
              </w:rPr>
              <w:t xml:space="preserve">PREA</w:t>
            </w:r>
          </w:p>
        </w:tc>
        <w:tc>
          <w:tcPr>
            <w:tcW w:type="dxa" w:w="7880"/>
            <w:tcMar>
              <w:top w:type="dxa" w:w="60"/>
              <w:left w:type="dxa" w:w="100"/>
              <w:bottom w:type="dxa" w:w="60"/>
              <w:right w:type="dxa" w:w="100"/>
            </w:tcMar>
          </w:tcPr>
          <w:p>
            <w:pPr>
              <w:spacing w:after="40" w:before="40" w:line="250"/>
            </w:pPr>
            <w:r>
              <w:rPr>
                <w:b/>
                <w:bCs/>
                <w:color w:val="1A1A1A"/>
                <w:sz w:val="24"/>
                <w:szCs w:val="24"/>
              </w:rPr>
              <w:t xml:space="preserve">PREA sexual harassment only if repeated. </w:t>
            </w:r>
            <w:r>
              <w:rPr>
                <w:color w:val="1A1A1A"/>
                <w:sz w:val="24"/>
                <w:szCs w:val="24"/>
              </w:rPr>
              <w:t xml:space="preserve">Not sexual abuse, because there is no contact. It is an "action of a derogatory or offensive sexual nature" under the harassment prong, so a single incident fails the "repeated" element and a repeat does not.</w:t>
            </w:r>
          </w:p>
        </w:tc>
      </w:tr>
      <w:tr>
        <w:tc>
          <w:tcPr>
            <w:tcW w:type="dxa" w:w="2200"/>
            <w:shd w:fill="F5F5F5" w:color="auto" w:val="clear"/>
            <w:tcMar>
              <w:top w:type="dxa" w:w="60"/>
              <w:left w:type="dxa" w:w="100"/>
              <w:bottom w:type="dxa" w:w="60"/>
              <w:right w:type="dxa" w:w="100"/>
            </w:tcMar>
          </w:tcPr>
          <w:p>
            <w:pPr>
              <w:spacing w:after="40" w:before="40" w:line="240"/>
            </w:pPr>
            <w:r>
              <w:rPr>
                <w:b/>
                <w:bCs/>
                <w:color w:val="1A1A1A"/>
                <w:sz w:val="24"/>
                <w:szCs w:val="24"/>
              </w:rPr>
              <w:t xml:space="preserve">CPS report</w:t>
            </w:r>
          </w:p>
        </w:tc>
        <w:tc>
          <w:tcPr>
            <w:tcW w:type="dxa" w:w="7880"/>
            <w:tcMar>
              <w:top w:type="dxa" w:w="60"/>
              <w:left w:type="dxa" w:w="100"/>
              <w:bottom w:type="dxa" w:w="60"/>
              <w:right w:type="dxa" w:w="100"/>
            </w:tcMar>
          </w:tcPr>
          <w:p>
            <w:pPr>
              <w:spacing w:after="40" w:before="40" w:line="250"/>
            </w:pPr>
            <w:r>
              <w:rPr>
                <w:b/>
                <w:bCs/>
                <w:color w:val="1A1A1A"/>
                <w:sz w:val="24"/>
                <w:szCs w:val="24"/>
              </w:rPr>
              <w:t xml:space="preserve">NO, but read tier 4. </w:t>
            </w:r>
            <w:r>
              <w:rPr>
                <w:color w:val="1A1A1A"/>
                <w:sz w:val="24"/>
                <w:szCs w:val="24"/>
              </w:rPr>
              <w:t xml:space="preserve">No on these facts. Penal Code 314, indecent exposure, is not among the offenses enumerated at 11165.1(a), and bare exposure is not among the acts listed at 11165.1(b). Read tier 4 before settling on this answer: if the youth was masturbating, the answer changes.</w:t>
            </w:r>
          </w:p>
        </w:tc>
      </w:tr>
    </w:tbl>
    <w:p>
      <w:pPr>
        <w:pStyle w:val="Heading2"/>
      </w:pPr>
      <w:r>
        <w:t xml:space="preserve">Required steps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7EFE4" w:color="auto" w:val="clear"/>
            <w:tcMar>
              <w:top w:type="dxa" w:w="60"/>
              <w:left w:type="dxa" w:w="100"/>
              <w:bottom w:type="dxa" w:w="60"/>
              <w:right w:type="dxa" w:w="100"/>
            </w:tcMar>
          </w:tcPr>
          <w:p>
            <w:pPr>
              <w:pStyle w:val="ListParagraph"/>
              <w:numPr>
                <w:ilvl w:val="0"/>
                <w:numId w:val="1"/>
              </w:numPr>
              <w:spacing w:after="60" w:before="60" w:line="264"/>
            </w:pPr>
            <w:r>
              <w:rPr>
                <w:color w:val="1A1A1A"/>
              </w:rPr>
              <w:t xml:space="preserve">Everything in tier 1.</w:t>
            </w:r>
          </w:p>
          <w:p>
            <w:pPr>
              <w:pStyle w:val="ListParagraph"/>
              <w:numPr>
                <w:ilvl w:val="0"/>
                <w:numId w:val="1"/>
              </w:numPr>
              <w:spacing w:after="60" w:before="40" w:line="264"/>
            </w:pPr>
            <w:r>
              <w:rPr>
                <w:color w:val="1A1A1A"/>
              </w:rPr>
              <w:t xml:space="preserve">Establish whether there was masturbation. That single fact decides the CANRA question, so put the answer in the incident report in plain terms rather than leaving it to inference.</w:t>
            </w:r>
          </w:p>
          <w:p>
            <w:pPr>
              <w:pStyle w:val="ListParagraph"/>
              <w:numPr>
                <w:ilvl w:val="0"/>
                <w:numId w:val="1"/>
              </w:numPr>
              <w:spacing w:after="60" w:before="40" w:line="264"/>
            </w:pPr>
            <w:r>
              <w:rPr>
                <w:color w:val="1A1A1A"/>
              </w:rPr>
              <w:t xml:space="preserve">Consider whether the exposure was directed at a specific youth. Directed conduct is the stronger indicator for the 115.362 protection assessment.</w:t>
            </w:r>
          </w:p>
          <w:p>
            <w:pPr>
              <w:pStyle w:val="ListParagraph"/>
              <w:numPr>
                <w:ilvl w:val="0"/>
                <w:numId w:val="1"/>
              </w:numPr>
              <w:spacing w:after="60" w:before="40" w:line="264"/>
            </w:pPr>
            <w:r>
              <w:rPr>
                <w:color w:val="1A1A1A"/>
              </w:rPr>
              <w:t xml:space="preserve">Consider a Penal Code 314 referral separately. That is a law enforcement and District Attorney question and does not travel with the CANRA question.</w:t>
            </w:r>
          </w:p>
        </w:tc>
      </w:tr>
    </w:tbl>
    <w:p>
      <w:r>
        <w:br w:type="page"/>
      </w:r>
    </w:p>
    <w:p>
      <w:pPr>
        <w:pStyle w:val="Heading1"/>
      </w:pPr>
      <w:r>
        <w:t xml:space="preserve">Tier 4</w:t>
      </w:r>
    </w:p>
    <w:p>
      <w:pPr>
        <w:spacing w:after="120" w:line="276"/>
      </w:pPr>
      <w:r>
        <w:rPr>
          <w:b/>
          <w:bCs/>
          <w:color w:val="1A1A1A"/>
        </w:rPr>
        <w:t xml:space="preserve">The conduct. </w:t>
      </w:r>
      <w:r>
        <w:rPr>
          <w:color w:val="1A1A1A"/>
        </w:rPr>
        <w:t xml:space="preserve">One youth masturbates in the presence of or in view of another youth.</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7880"/>
      </w:tblGrid>
      <w:tr>
        <w:tc>
          <w:tcPr>
            <w:tcW w:type="dxa" w:w="2200"/>
            <w:shd w:fill="F5F5F5" w:color="auto" w:val="clear"/>
            <w:tcMar>
              <w:top w:type="dxa" w:w="60"/>
              <w:left w:type="dxa" w:w="100"/>
              <w:bottom w:type="dxa" w:w="60"/>
              <w:right w:type="dxa" w:w="100"/>
            </w:tcMar>
          </w:tcPr>
          <w:p>
            <w:pPr>
              <w:spacing w:after="40" w:before="40" w:line="240"/>
            </w:pPr>
            <w:r>
              <w:rPr>
                <w:b/>
                <w:bCs/>
                <w:color w:val="1A1A1A"/>
                <w:sz w:val="24"/>
                <w:szCs w:val="24"/>
              </w:rPr>
              <w:t xml:space="preserve">PREA</w:t>
            </w:r>
          </w:p>
        </w:tc>
        <w:tc>
          <w:tcPr>
            <w:tcW w:type="dxa" w:w="7880"/>
            <w:tcMar>
              <w:top w:type="dxa" w:w="60"/>
              <w:left w:type="dxa" w:w="100"/>
              <w:bottom w:type="dxa" w:w="60"/>
              <w:right w:type="dxa" w:w="100"/>
            </w:tcMar>
          </w:tcPr>
          <w:p>
            <w:pPr>
              <w:spacing w:after="40" w:before="40" w:line="250"/>
            </w:pPr>
            <w:r>
              <w:rPr>
                <w:b/>
                <w:bCs/>
                <w:color w:val="1A1A1A"/>
                <w:sz w:val="24"/>
                <w:szCs w:val="24"/>
              </w:rPr>
              <w:t xml:space="preserve">PREA sexual harassment only if repeated. </w:t>
            </w:r>
            <w:r>
              <w:rPr>
                <w:color w:val="1A1A1A"/>
                <w:sz w:val="24"/>
                <w:szCs w:val="24"/>
              </w:rPr>
              <w:t xml:space="preserve">Not sexual abuse, because there is no contact. Sexual harassment under the harassment prong only if repeated, same as tier 3.</w:t>
            </w:r>
          </w:p>
        </w:tc>
      </w:tr>
      <w:tr>
        <w:tc>
          <w:tcPr>
            <w:tcW w:type="dxa" w:w="2200"/>
            <w:shd w:fill="F5F5F5" w:color="auto" w:val="clear"/>
            <w:tcMar>
              <w:top w:type="dxa" w:w="60"/>
              <w:left w:type="dxa" w:w="100"/>
              <w:bottom w:type="dxa" w:w="60"/>
              <w:right w:type="dxa" w:w="100"/>
            </w:tcMar>
          </w:tcPr>
          <w:p>
            <w:pPr>
              <w:spacing w:after="40" w:before="40" w:line="240"/>
            </w:pPr>
            <w:r>
              <w:rPr>
                <w:b/>
                <w:bCs/>
                <w:color w:val="1A1A1A"/>
                <w:sz w:val="24"/>
                <w:szCs w:val="24"/>
              </w:rPr>
              <w:t xml:space="preserve">CPS report</w:t>
            </w:r>
          </w:p>
        </w:tc>
        <w:tc>
          <w:tcPr>
            <w:tcW w:type="dxa" w:w="7880"/>
            <w:tcMar>
              <w:top w:type="dxa" w:w="60"/>
              <w:left w:type="dxa" w:w="100"/>
              <w:bottom w:type="dxa" w:w="60"/>
              <w:right w:type="dxa" w:w="100"/>
            </w:tcMar>
          </w:tcPr>
          <w:p>
            <w:pPr>
              <w:spacing w:after="40" w:before="40" w:line="250"/>
            </w:pPr>
            <w:r>
              <w:rPr>
                <w:b/>
                <w:bCs/>
                <w:color w:val="1A1A1A"/>
                <w:sz w:val="24"/>
                <w:szCs w:val="24"/>
              </w:rPr>
              <w:t xml:space="preserve">YES if the youth who saw it is under 18. </w:t>
            </w:r>
            <w:r>
              <w:rPr>
                <w:color w:val="1A1A1A"/>
                <w:sz w:val="24"/>
                <w:szCs w:val="24"/>
              </w:rPr>
              <w:t xml:space="preserve">YES. Penal Code 11165.1(b)(5) lists "the intentional masturbation of the perpetrator's genitals in the presence of a child" as conduct described as sexual assault. It is reportable on the first occurrence, with no repetition element, and it does not depend on any offense in the 11165.1(a) list. This tier is the clearest case in the guide where the CANRA answer is yes and the PREA answer is no. AGE QUALIFIER, new in Revision 8. That answer assumes the youth who saw it is under 18. The element in (b)(5) is masturbation in the presence of a CHILD. Where the youth who saw it is 18 or over there is no child, and CANRA imposes no duty, however many times it happens. The PREA answer is unchanged by the ages of either youth. See the mixed ages section.</w:t>
            </w:r>
          </w:p>
        </w:tc>
      </w:tr>
    </w:tbl>
    <w:p>
      <w:pPr>
        <w:pStyle w:val="Heading2"/>
      </w:pPr>
      <w:r>
        <w:t xml:space="preserve">Required steps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7EFE4" w:color="auto" w:val="clear"/>
            <w:tcMar>
              <w:top w:type="dxa" w:w="60"/>
              <w:left w:type="dxa" w:w="100"/>
              <w:bottom w:type="dxa" w:w="60"/>
              <w:right w:type="dxa" w:w="100"/>
            </w:tcMar>
          </w:tcPr>
          <w:p>
            <w:pPr>
              <w:pStyle w:val="ListParagraph"/>
              <w:numPr>
                <w:ilvl w:val="0"/>
                <w:numId w:val="1"/>
              </w:numPr>
              <w:spacing w:after="60" w:before="60" w:line="264"/>
            </w:pPr>
            <w:r>
              <w:rPr>
                <w:color w:val="1A1A1A"/>
              </w:rPr>
              <w:t xml:space="preserve">Everything in tier 1.</w:t>
            </w:r>
          </w:p>
          <w:p>
            <w:pPr>
              <w:pStyle w:val="ListParagraph"/>
              <w:numPr>
                <w:ilvl w:val="0"/>
                <w:numId w:val="1"/>
              </w:numPr>
              <w:spacing w:after="60" w:before="40" w:line="264"/>
            </w:pPr>
            <w:r>
              <w:rPr>
                <w:color w:val="1A1A1A"/>
              </w:rPr>
              <w:t xml:space="preserve">Mandated report by telephone immediately or as soon as is practicably possible, written report on form SS 8572 within 36 hours. Do not wait for the investigation or for a supervisor's approval.</w:t>
            </w:r>
          </w:p>
          <w:p>
            <w:pPr>
              <w:pStyle w:val="ListParagraph"/>
              <w:numPr>
                <w:ilvl w:val="0"/>
                <w:numId w:val="1"/>
              </w:numPr>
              <w:spacing w:after="60" w:before="40" w:line="264"/>
            </w:pPr>
            <w:r>
              <w:rPr>
                <w:color w:val="1A1A1A"/>
              </w:rPr>
              <w:t xml:space="preserve">Record the basis in the incident report: intentional masturbation, in the presence of the other youth.</w:t>
            </w:r>
          </w:p>
          <w:p>
            <w:pPr>
              <w:pStyle w:val="ListParagraph"/>
              <w:numPr>
                <w:ilvl w:val="0"/>
                <w:numId w:val="1"/>
              </w:numPr>
              <w:spacing w:after="60" w:before="40" w:line="264"/>
            </w:pPr>
            <w:r>
              <w:rPr>
                <w:color w:val="1A1A1A"/>
              </w:rPr>
              <w:t xml:space="preserve">Apply 115.362 protection duties and reassess housing for both youth.</w:t>
            </w:r>
          </w:p>
          <w:p>
            <w:pPr>
              <w:pStyle w:val="ListParagraph"/>
              <w:numPr>
                <w:ilvl w:val="0"/>
                <w:numId w:val="1"/>
              </w:numPr>
              <w:spacing w:after="60" w:before="40" w:line="264"/>
            </w:pPr>
            <w:r>
              <w:rPr>
                <w:color w:val="1A1A1A"/>
              </w:rPr>
              <w:t xml:space="preserve">Begin retaliation monitoring under 115.367 if the target reported it.</w:t>
            </w:r>
          </w:p>
        </w:tc>
      </w:tr>
    </w:tbl>
    <w:p>
      <w:r>
        <w:br w:type="page"/>
      </w:r>
    </w:p>
    <w:p>
      <w:pPr>
        <w:pStyle w:val="Heading1"/>
      </w:pPr>
      <w:r>
        <w:t xml:space="preserve">Tier 5</w:t>
      </w:r>
    </w:p>
    <w:p>
      <w:pPr>
        <w:spacing w:after="120" w:line="276"/>
      </w:pPr>
      <w:r>
        <w:rPr>
          <w:b/>
          <w:bCs/>
          <w:color w:val="1A1A1A"/>
        </w:rPr>
        <w:t xml:space="preserve">The conduct. </w:t>
      </w:r>
      <w:r>
        <w:rPr>
          <w:color w:val="1A1A1A"/>
        </w:rPr>
        <w:t xml:space="preserve">Intentional touching of another youth's genitalia, anus, groin, breast, inner thigh, or buttocks, including through the clothing. The grabbing-at-the-butt case.</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7880"/>
      </w:tblGrid>
      <w:tr>
        <w:tc>
          <w:tcPr>
            <w:tcW w:type="dxa" w:w="2200"/>
            <w:shd w:fill="F2DEDE" w:color="auto" w:val="clear"/>
            <w:tcMar>
              <w:top w:type="dxa" w:w="60"/>
              <w:left w:type="dxa" w:w="100"/>
              <w:bottom w:type="dxa" w:w="60"/>
              <w:right w:type="dxa" w:w="100"/>
            </w:tcMar>
          </w:tcPr>
          <w:p>
            <w:pPr>
              <w:spacing w:after="40" w:before="40" w:line="240"/>
            </w:pPr>
            <w:r>
              <w:rPr>
                <w:b/>
                <w:bCs/>
                <w:color w:val="1A1A1A"/>
                <w:sz w:val="24"/>
                <w:szCs w:val="24"/>
              </w:rPr>
              <w:t xml:space="preserve">PREA</w:t>
            </w:r>
          </w:p>
        </w:tc>
        <w:tc>
          <w:tcPr>
            <w:tcW w:type="dxa" w:w="7880"/>
            <w:shd w:fill="F2DEDE" w:color="auto" w:val="clear"/>
            <w:tcMar>
              <w:top w:type="dxa" w:w="60"/>
              <w:left w:type="dxa" w:w="100"/>
              <w:bottom w:type="dxa" w:w="60"/>
              <w:right w:type="dxa" w:w="100"/>
            </w:tcMar>
          </w:tcPr>
          <w:p>
            <w:pPr>
              <w:spacing w:after="40" w:before="40" w:line="250"/>
            </w:pPr>
            <w:r>
              <w:rPr>
                <w:b/>
                <w:bCs/>
                <w:color w:val="1A1A1A"/>
                <w:sz w:val="24"/>
                <w:szCs w:val="24"/>
              </w:rPr>
              <w:t xml:space="preserve">PREA SEXUAL ABUSE. </w:t>
            </w:r>
            <w:r>
              <w:rPr>
                <w:color w:val="1A1A1A"/>
                <w:sz w:val="24"/>
                <w:szCs w:val="24"/>
              </w:rPr>
              <w:t xml:space="preserve">Sexual abuse under 115.6. The body areas are enumerated by name, contact through clothing counts, and the only exclusion is contact incidental to a physical altercation. It is not horseplay and it is not a tier below the comment cases. One element the chart previously left out: the resident-on-resident definition applies where the victim does not consent, is coerced by overt or implied threats of violence, or is unable to consent or refuse. An unwanted grab satisfies that on its face, but the element has to be established and written down rather than assumed, and it is what separates this from consensual contact between youth, which is a rule violation and a safety problem but is not resident-on-resident sexual abuse under this definition.</w:t>
            </w:r>
          </w:p>
        </w:tc>
      </w:tr>
      <w:tr>
        <w:tc>
          <w:tcPr>
            <w:tcW w:type="dxa" w:w="2200"/>
            <w:shd w:fill="F5F5F5" w:color="auto" w:val="clear"/>
            <w:tcMar>
              <w:top w:type="dxa" w:w="60"/>
              <w:left w:type="dxa" w:w="100"/>
              <w:bottom w:type="dxa" w:w="60"/>
              <w:right w:type="dxa" w:w="100"/>
            </w:tcMar>
          </w:tcPr>
          <w:p>
            <w:pPr>
              <w:spacing w:after="40" w:before="40" w:line="240"/>
            </w:pPr>
            <w:r>
              <w:rPr>
                <w:b/>
                <w:bCs/>
                <w:color w:val="1A1A1A"/>
                <w:sz w:val="24"/>
                <w:szCs w:val="24"/>
              </w:rPr>
              <w:t xml:space="preserve">CPS report</w:t>
            </w:r>
          </w:p>
        </w:tc>
        <w:tc>
          <w:tcPr>
            <w:tcW w:type="dxa" w:w="7880"/>
            <w:tcMar>
              <w:top w:type="dxa" w:w="60"/>
              <w:left w:type="dxa" w:w="100"/>
              <w:bottom w:type="dxa" w:w="60"/>
              <w:right w:type="dxa" w:w="100"/>
            </w:tcMar>
          </w:tcPr>
          <w:p>
            <w:pPr>
              <w:spacing w:after="40" w:before="40" w:line="250"/>
            </w:pPr>
            <w:r>
              <w:rPr>
                <w:b/>
                <w:bCs/>
                <w:color w:val="1A1A1A"/>
                <w:sz w:val="24"/>
                <w:szCs w:val="24"/>
              </w:rPr>
              <w:t xml:space="preserve">YES if either resident is under 18. </w:t>
            </w:r>
            <w:r>
              <w:rPr>
                <w:color w:val="1A1A1A"/>
                <w:sz w:val="24"/>
                <w:szCs w:val="24"/>
              </w:rPr>
              <w:t xml:space="preserve">YES, where the touching was for sexual arousal or gratification. Penal Code 11165.1(b)(4) covers "the intentional touching of the genitals or intimate parts, including the breasts, genital area, groin, inner thighs, and buttocks, or the clothing covering them, of a child, or of the perpetrator by a child, for purposes of sexual arousal or gratification." Note how closely that tracks the PREA list: the same body parts, the same through-clothing rule. CANRA adds a purpose element that PREA does not have, and excludes acts reasonably construed as normal caretaker responsibilities, demonstrations of affection, or acts for a valid medical purpose, none of which fit a deliberate grab between youth. Penal Code 11165.6 separately excludes "a mutual affray between minors," which is the CANRA analogue of the PREA carve-out for contact incidental to a physical altercation. Contact during a fight is outside both. AGE QUALIFIER, new in Revision 8. (b)(4) reaches the touching of the intimate parts "of a child, or of the perpetrator by a child," so it is keyed to a child on either side of the contact. Report where EITHER resident is under 18, and do not decide on the unit which of them is the victim: that is an investigative conclusion, and Penal Code 11172(a) gives the reporter immunity. Where both residents are 18 or over, CANRA does not apply at all, because there is no child. The PREA duty, the criminal referral and the facility investigation are not affected either way. See the mixed ages section.</w:t>
            </w:r>
          </w:p>
        </w:tc>
      </w:tr>
    </w:tbl>
    <w:p>
      <w:pPr>
        <w:pStyle w:val="Heading2"/>
      </w:pPr>
      <w:r>
        <w:t xml:space="preserve">Required steps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7EFE4" w:color="auto" w:val="clear"/>
            <w:tcMar>
              <w:top w:type="dxa" w:w="60"/>
              <w:left w:type="dxa" w:w="100"/>
              <w:bottom w:type="dxa" w:w="60"/>
              <w:right w:type="dxa" w:w="100"/>
            </w:tcMar>
          </w:tcPr>
          <w:p>
            <w:pPr>
              <w:pStyle w:val="ListParagraph"/>
              <w:numPr>
                <w:ilvl w:val="0"/>
                <w:numId w:val="1"/>
              </w:numPr>
              <w:spacing w:after="60" w:before="60" w:line="264"/>
            </w:pPr>
            <w:r>
              <w:rPr>
                <w:color w:val="1A1A1A"/>
              </w:rPr>
              <w:t xml:space="preserve">Separate immediately and secure the target youth's safety before anything else.</w:t>
            </w:r>
          </w:p>
          <w:p>
            <w:pPr>
              <w:pStyle w:val="ListParagraph"/>
              <w:numPr>
                <w:ilvl w:val="0"/>
                <w:numId w:val="1"/>
              </w:numPr>
              <w:spacing w:after="60" w:before="40" w:line="264"/>
            </w:pPr>
            <w:r>
              <w:rPr>
                <w:color w:val="1A1A1A"/>
              </w:rPr>
              <w:t xml:space="preserve">Staff reports to the Duty Supervisor immediately. Treat as a PREA sexual abuse allegation from the first moment.</w:t>
            </w:r>
          </w:p>
          <w:p>
            <w:pPr>
              <w:pStyle w:val="ListParagraph"/>
              <w:numPr>
                <w:ilvl w:val="0"/>
                <w:numId w:val="1"/>
              </w:numPr>
              <w:spacing w:after="60" w:before="40" w:line="264"/>
            </w:pPr>
            <w:r>
              <w:rPr>
                <w:color w:val="1A1A1A"/>
              </w:rPr>
              <w:t xml:space="preserve">Mandated report by telephone immediately unless the contact was plainly incidental to a fight, which is outside both definitions. If that is the call, write down why.</w:t>
            </w:r>
          </w:p>
          <w:p>
            <w:pPr>
              <w:pStyle w:val="ListParagraph"/>
              <w:numPr>
                <w:ilvl w:val="0"/>
                <w:numId w:val="1"/>
              </w:numPr>
              <w:spacing w:after="60" w:before="40" w:line="264"/>
            </w:pPr>
            <w:r>
              <w:rPr>
                <w:color w:val="1A1A1A"/>
              </w:rPr>
              <w:t xml:space="preserve">Preserve evidence. Do not let either youth shower, change, or clean up, and secure the area, until a determination is made about forensic needs under OO 1453.</w:t>
            </w:r>
          </w:p>
          <w:p>
            <w:pPr>
              <w:pStyle w:val="ListParagraph"/>
              <w:numPr>
                <w:ilvl w:val="0"/>
                <w:numId w:val="1"/>
              </w:numPr>
              <w:spacing w:after="60" w:before="40" w:line="264"/>
            </w:pPr>
            <w:r>
              <w:rPr>
                <w:color w:val="1A1A1A"/>
              </w:rPr>
              <w:t xml:space="preserve">Refer for administrative or criminal investigation. 115.371(a) requires investigation of all sexual abuse allegations; there is no discretion to decide one is unnecessary.</w:t>
            </w:r>
          </w:p>
          <w:p>
            <w:pPr>
              <w:pStyle w:val="ListParagraph"/>
              <w:numPr>
                <w:ilvl w:val="0"/>
                <w:numId w:val="1"/>
              </w:numPr>
              <w:spacing w:after="60" w:before="40" w:line="264"/>
            </w:pPr>
            <w:r>
              <w:rPr>
                <w:color w:val="1A1A1A"/>
              </w:rPr>
              <w:t xml:space="preserve">Apply 115.362 protection duties and reassess housing for both youth.</w:t>
            </w:r>
          </w:p>
          <w:p>
            <w:pPr>
              <w:pStyle w:val="ListParagraph"/>
              <w:numPr>
                <w:ilvl w:val="0"/>
                <w:numId w:val="1"/>
              </w:numPr>
              <w:spacing w:after="60" w:before="40" w:line="264"/>
            </w:pPr>
            <w:r>
              <w:rPr>
                <w:color w:val="1A1A1A"/>
              </w:rPr>
              <w:t xml:space="preserve">Begin retaliation monitoring under 115.367.</w:t>
            </w:r>
          </w:p>
        </w:tc>
      </w:tr>
    </w:tbl>
    <w:p>
      <w:r>
        <w:br w:type="page"/>
      </w:r>
    </w:p>
    <w:p>
      <w:pPr>
        <w:pStyle w:val="Heading1"/>
      </w:pPr>
      <w:r>
        <w:t xml:space="preserve">Tier 6</w:t>
      </w:r>
    </w:p>
    <w:p>
      <w:pPr>
        <w:spacing w:after="120" w:line="276"/>
      </w:pPr>
      <w:r>
        <w:rPr>
          <w:b/>
          <w:bCs/>
          <w:color w:val="1A1A1A"/>
        </w:rPr>
        <w:t xml:space="preserve">The conduct. </w:t>
      </w:r>
      <w:r>
        <w:rPr>
          <w:color w:val="1A1A1A"/>
        </w:rPr>
        <w:t xml:space="preserve">Oral, anal, or penetrative sexual contact, attempted or completed. Or any conduct in any tier above accomplished by force, threat, coercion, or leverage over the other youth.</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7880"/>
      </w:tblGrid>
      <w:tr>
        <w:tc>
          <w:tcPr>
            <w:tcW w:type="dxa" w:w="2200"/>
            <w:shd w:fill="F2DEDE" w:color="auto" w:val="clear"/>
            <w:tcMar>
              <w:top w:type="dxa" w:w="60"/>
              <w:left w:type="dxa" w:w="100"/>
              <w:bottom w:type="dxa" w:w="60"/>
              <w:right w:type="dxa" w:w="100"/>
            </w:tcMar>
          </w:tcPr>
          <w:p>
            <w:pPr>
              <w:spacing w:after="40" w:before="40" w:line="240"/>
            </w:pPr>
            <w:r>
              <w:rPr>
                <w:b/>
                <w:bCs/>
                <w:color w:val="1A1A1A"/>
                <w:sz w:val="24"/>
                <w:szCs w:val="24"/>
              </w:rPr>
              <w:t xml:space="preserve">PREA</w:t>
            </w:r>
          </w:p>
        </w:tc>
        <w:tc>
          <w:tcPr>
            <w:tcW w:type="dxa" w:w="7880"/>
            <w:shd w:fill="F2DEDE" w:color="auto" w:val="clear"/>
            <w:tcMar>
              <w:top w:type="dxa" w:w="60"/>
              <w:left w:type="dxa" w:w="100"/>
              <w:bottom w:type="dxa" w:w="60"/>
              <w:right w:type="dxa" w:w="100"/>
            </w:tcMar>
          </w:tcPr>
          <w:p>
            <w:pPr>
              <w:spacing w:after="40" w:before="40" w:line="250"/>
            </w:pPr>
            <w:r>
              <w:rPr>
                <w:b/>
                <w:bCs/>
                <w:color w:val="1A1A1A"/>
                <w:sz w:val="24"/>
                <w:szCs w:val="24"/>
              </w:rPr>
              <w:t xml:space="preserve">PREA SEXUAL ABUSE. </w:t>
            </w:r>
            <w:r>
              <w:rPr>
                <w:color w:val="1A1A1A"/>
                <w:sz w:val="24"/>
                <w:szCs w:val="24"/>
              </w:rPr>
              <w:t xml:space="preserve">Sexual abuse under 115.6, at the most serious end. Full response. The same non-consent element applies: the victim does not consent, is coerced by overt or implied threats of violence, or is unable to consent or refuse. Force or coercion establishes it outright. Where youth describe the contact as mutual, do not resolve consent on the unit; age, the custodial setting and any disparity between the two all bear on whether a youth was able to consent or refuse, and that determination belongs to the investigation.</w:t>
            </w:r>
          </w:p>
        </w:tc>
      </w:tr>
      <w:tr>
        <w:tc>
          <w:tcPr>
            <w:tcW w:type="dxa" w:w="2200"/>
            <w:shd w:fill="F5F5F5" w:color="auto" w:val="clear"/>
            <w:tcMar>
              <w:top w:type="dxa" w:w="60"/>
              <w:left w:type="dxa" w:w="100"/>
              <w:bottom w:type="dxa" w:w="60"/>
              <w:right w:type="dxa" w:w="100"/>
            </w:tcMar>
          </w:tcPr>
          <w:p>
            <w:pPr>
              <w:spacing w:after="40" w:before="40" w:line="240"/>
            </w:pPr>
            <w:r>
              <w:rPr>
                <w:b/>
                <w:bCs/>
                <w:color w:val="1A1A1A"/>
                <w:sz w:val="24"/>
                <w:szCs w:val="24"/>
              </w:rPr>
              <w:t xml:space="preserve">CPS report</w:t>
            </w:r>
          </w:p>
        </w:tc>
        <w:tc>
          <w:tcPr>
            <w:tcW w:type="dxa" w:w="7880"/>
            <w:tcMar>
              <w:top w:type="dxa" w:w="60"/>
              <w:left w:type="dxa" w:w="100"/>
              <w:bottom w:type="dxa" w:w="60"/>
              <w:right w:type="dxa" w:w="100"/>
            </w:tcMar>
          </w:tcPr>
          <w:p>
            <w:pPr>
              <w:spacing w:after="40" w:before="40" w:line="250"/>
            </w:pPr>
            <w:r>
              <w:rPr>
                <w:b/>
                <w:bCs/>
                <w:color w:val="1A1A1A"/>
                <w:sz w:val="24"/>
                <w:szCs w:val="24"/>
              </w:rPr>
              <w:t xml:space="preserve">YES if either resident is under 18. </w:t>
            </w:r>
            <w:r>
              <w:rPr>
                <w:color w:val="1A1A1A"/>
                <w:sz w:val="24"/>
                <w:szCs w:val="24"/>
              </w:rPr>
              <w:t xml:space="preserve">YES. Reportable twice over: Penal Code 261, 286, 287 and 289 are enumerated at 11165.1(a), and the acts themselves are listed at 11165.1(b)(1) to (3). Force or coercion also removes the 11165.1(a) exception for voluntary conduct. One point for County Counsel rather than for the floor: that exception excludes voluntary conduct violating 286, 287 or 289 where there are no indicators of abuse, and how it applies between detained youth is not obvious, because custody makes "voluntary" difficult and indicators of abuse likely. Do not use it to decline a report without counsel. AGE QUALIFIER, new in Revision 8. The CANRA duty arises where a mandated reporter suspects a CHILD has been the victim. Report where EITHER resident is under 18, for the same reason as tier 5: which resident is the victim is an investigative conclusion, not a floor call. Where both are 18 or over there is no child and no CANRA duty, and nothing else about the response changes: it is still PREA sexual abuse, still a law enforcement referral, and still a forensic examination question. See the mixed ages section.</w:t>
            </w:r>
          </w:p>
        </w:tc>
      </w:tr>
    </w:tbl>
    <w:p>
      <w:pPr>
        <w:pStyle w:val="Heading2"/>
      </w:pPr>
      <w:r>
        <w:t xml:space="preserve">Required steps</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E7EFE4" w:color="auto" w:val="clear"/>
            <w:tcMar>
              <w:top w:type="dxa" w:w="60"/>
              <w:left w:type="dxa" w:w="100"/>
              <w:bottom w:type="dxa" w:w="60"/>
              <w:right w:type="dxa" w:w="100"/>
            </w:tcMar>
          </w:tcPr>
          <w:p>
            <w:pPr>
              <w:pStyle w:val="ListParagraph"/>
              <w:numPr>
                <w:ilvl w:val="0"/>
                <w:numId w:val="1"/>
              </w:numPr>
              <w:spacing w:after="60" w:before="60" w:line="264"/>
            </w:pPr>
            <w:r>
              <w:rPr>
                <w:color w:val="1A1A1A"/>
              </w:rPr>
              <w:t xml:space="preserve">Everything in tier 5.</w:t>
            </w:r>
          </w:p>
          <w:p>
            <w:pPr>
              <w:pStyle w:val="ListParagraph"/>
              <w:numPr>
                <w:ilvl w:val="0"/>
                <w:numId w:val="1"/>
              </w:numPr>
              <w:spacing w:after="60" w:before="40" w:line="264"/>
            </w:pPr>
            <w:r>
              <w:rPr>
                <w:color w:val="1A1A1A"/>
              </w:rPr>
              <w:t xml:space="preserve">Mandated report by telephone immediately. Do not wait for the investigation, the end of shift, or anyone's approval.</w:t>
            </w:r>
          </w:p>
          <w:p>
            <w:pPr>
              <w:pStyle w:val="ListParagraph"/>
              <w:numPr>
                <w:ilvl w:val="0"/>
                <w:numId w:val="1"/>
              </w:numPr>
              <w:spacing w:after="60" w:before="40" w:line="264"/>
            </w:pPr>
            <w:r>
              <w:rPr>
                <w:color w:val="1A1A1A"/>
              </w:rPr>
              <w:t xml:space="preserve">Law enforcement notification and forensic examination under OO 1453 and 15 CCR 1452 and 1453. The evidentiary examination occurs at a health facility separate from the custodial facility.</w:t>
            </w:r>
          </w:p>
          <w:p>
            <w:pPr>
              <w:pStyle w:val="ListParagraph"/>
              <w:numPr>
                <w:ilvl w:val="0"/>
                <w:numId w:val="1"/>
              </w:numPr>
              <w:spacing w:after="60" w:before="40" w:line="264"/>
            </w:pPr>
            <w:r>
              <w:rPr>
                <w:color w:val="1A1A1A"/>
              </w:rPr>
              <w:t xml:space="preserve">Notify the parent or legal guardian and, where applicable, counsel.</w:t>
            </w:r>
          </w:p>
          <w:p>
            <w:pPr>
              <w:pStyle w:val="ListParagraph"/>
              <w:numPr>
                <w:ilvl w:val="0"/>
                <w:numId w:val="1"/>
              </w:numPr>
              <w:spacing w:after="60" w:before="40" w:line="264"/>
            </w:pPr>
            <w:r>
              <w:rPr>
                <w:color w:val="1A1A1A"/>
              </w:rPr>
              <w:t xml:space="preserve">Preserve all records under the sexual abuse retention schedule.</w:t>
            </w:r>
          </w:p>
        </w:tc>
      </w:tr>
    </w:tbl>
    <w:p>
      <w:r>
        <w:br w:type="page"/>
      </w:r>
    </w:p>
    <w:p>
      <w:pPr>
        <w:pStyle w:val="Heading1"/>
      </w:pPr>
      <w:r>
        <w:t xml:space="preserve">Flip factors: any one of these moves the incident up and triggers a deliberate CANRA call regardless of tier</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pStyle w:val="ListParagraph"/>
              <w:numPr>
                <w:ilvl w:val="0"/>
                <w:numId w:val="1"/>
              </w:numPr>
              <w:spacing w:after="60" w:before="60" w:line="264"/>
            </w:pPr>
            <w:r>
              <w:rPr>
                <w:color w:val="1A1A1A"/>
              </w:rPr>
              <w:t xml:space="preserve">Force, threat, coercion, or leverage of any kind, including debt, protection, or commissary.</w:t>
            </w:r>
          </w:p>
          <w:p>
            <w:pPr>
              <w:pStyle w:val="ListParagraph"/>
              <w:numPr>
                <w:ilvl w:val="0"/>
                <w:numId w:val="1"/>
              </w:numPr>
              <w:spacing w:after="60" w:before="40" w:line="264"/>
            </w:pPr>
            <w:r>
              <w:rPr>
                <w:color w:val="1A1A1A"/>
              </w:rPr>
              <w:t xml:space="preserve">Any indication the conduct already happened before, whether or not it was reported.</w:t>
            </w:r>
          </w:p>
          <w:p>
            <w:pPr>
              <w:pStyle w:val="ListParagraph"/>
              <w:numPr>
                <w:ilvl w:val="0"/>
                <w:numId w:val="1"/>
              </w:numPr>
              <w:spacing w:after="60" w:before="40" w:line="264"/>
            </w:pPr>
            <w:r>
              <w:rPr>
                <w:color w:val="1A1A1A"/>
              </w:rPr>
              <w:t xml:space="preserve">The target youth is under 14, which brings Penal Code 288 into the 11165.1(a) list.</w:t>
            </w:r>
          </w:p>
          <w:p>
            <w:pPr>
              <w:pStyle w:val="ListParagraph"/>
              <w:numPr>
                <w:ilvl w:val="0"/>
                <w:numId w:val="1"/>
              </w:numPr>
              <w:spacing w:after="60" w:before="40" w:line="264"/>
            </w:pPr>
            <w:r>
              <w:rPr>
                <w:color w:val="1A1A1A"/>
              </w:rPr>
              <w:t xml:space="preserve">A significant age, size, developmental, or cognitive disparity between the two youth.</w:t>
            </w:r>
          </w:p>
          <w:p>
            <w:pPr>
              <w:pStyle w:val="ListParagraph"/>
              <w:numPr>
                <w:ilvl w:val="0"/>
                <w:numId w:val="1"/>
              </w:numPr>
              <w:spacing w:after="60" w:before="40" w:line="264"/>
            </w:pPr>
            <w:r>
              <w:rPr>
                <w:color w:val="1A1A1A"/>
              </w:rPr>
              <w:t xml:space="preserve">The target discloses prior sexual abuse, in the facility or outside it.</w:t>
            </w:r>
          </w:p>
          <w:p>
            <w:pPr>
              <w:pStyle w:val="ListParagraph"/>
              <w:numPr>
                <w:ilvl w:val="0"/>
                <w:numId w:val="1"/>
              </w:numPr>
              <w:spacing w:after="60" w:before="40" w:line="264"/>
            </w:pPr>
            <w:r>
              <w:rPr>
                <w:color w:val="1A1A1A"/>
              </w:rPr>
              <w:t xml:space="preserve">Reason to suspect the youth who acted has himself been sexually abused. Markedly sexualized behavior can be an indicator. That is a separate reporting question about a different child.</w:t>
            </w:r>
          </w:p>
          <w:p>
            <w:pPr>
              <w:pStyle w:val="ListParagraph"/>
              <w:numPr>
                <w:ilvl w:val="0"/>
                <w:numId w:val="1"/>
              </w:numPr>
              <w:spacing w:after="60" w:before="40" w:line="264"/>
            </w:pPr>
            <w:r>
              <w:rPr>
                <w:color w:val="1A1A1A"/>
              </w:rPr>
              <w:t xml:space="preserve">The conduct is part of a pattern by the same youth toward multiple targets.</w:t>
            </w:r>
          </w:p>
          <w:p>
            <w:pPr>
              <w:pStyle w:val="ListParagraph"/>
              <w:numPr>
                <w:ilvl w:val="0"/>
                <w:numId w:val="1"/>
              </w:numPr>
              <w:spacing w:after="60" w:before="40" w:line="264"/>
            </w:pPr>
            <w:r>
              <w:rPr>
                <w:color w:val="1A1A1A"/>
              </w:rPr>
              <w:t xml:space="preserve">Any staff involvement at all. Staff conduct is not on this chart. Abuse by an employee of an institution caring for children is its own CANRA category under Penal Code 11165.5, abuse or neglect in out-of-home care, and it reports regardless of tier.</w:t>
            </w:r>
          </w:p>
        </w:tc>
      </w:tr>
    </w:tbl>
    <w:p>
      <w:pPr>
        <w:pStyle w:val="Heading1"/>
      </w:pPr>
      <w:r>
        <w:t xml:space="preserve">When it is genuinely unclear, report</w:t>
      </w:r>
    </w:p>
    <w:p>
      <w:pPr>
        <w:spacing w:after="120" w:line="276"/>
      </w:pPr>
      <w:r>
        <w:rPr>
          <w:color w:val="1A1A1A"/>
        </w:rPr>
        <w:t xml:space="preserve">The CANRA threshold is reasonable suspicion, which is deliberately low: facts that would cause a reasonable person in a like position, drawing on training and experience, to suspect child abuse. Penal Code 11172(a) gives immunity to mandated reporters who report. Penal Code 11166(c) penalizes the failure to report. The risk is asymmetric by design, and this guide exists to make the easy calls faster, not to give anyone a reason to sit on a hard one.</w:t>
      </w:r>
    </w:p>
    <w:p>
      <w:r>
        <w:br w:type="page"/>
      </w:r>
    </w:p>
    <w:p>
      <w:pPr>
        <w:pStyle w:val="Heading1"/>
      </w:pPr>
      <w:r>
        <w:t xml:space="preserve">Searches: when a resident says an officer grabbed or manipulated</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64"/>
            </w:pPr>
            <w:r>
              <w:rPr>
                <w:color w:val="1A1A1A"/>
              </w:rPr>
              <w:t xml:space="preserve">This is not on the tier chart and it must never be run through it. The chart is youth-on-youth. A complaint that an officer went beyond a search is an allegation of STAFF sexual misconduct, and it travels down three tracks at once, none of which waits for the others.</w:t>
            </w:r>
          </w:p>
        </w:tc>
      </w:tr>
    </w:tbl>
    <w:p>
      <w:pPr>
        <w:pStyle w:val="Heading2"/>
      </w:pPr>
      <w:r>
        <w:t xml:space="preserve">What the allegation actually is under PREA</w:t>
      </w:r>
    </w:p>
    <w:p>
      <w:pPr>
        <w:spacing w:after="120" w:line="276"/>
      </w:pPr>
      <w:r>
        <w:rPr>
          <w:b w:val="false"/>
          <w:bCs w:val="false"/>
          <w:color w:val="1A1A1A"/>
        </w:rPr>
        <w:t xml:space="preserve">28 CFR 115.6 defines staff sexual abuse to include any other intentional contact, directly or through the clothing, of or with the genitalia, anus, groin, breast, inner thigh or buttocks, </w:t>
      </w:r>
      <w:r>
        <w:rPr>
          <w:b/>
          <w:bCs/>
          <w:color w:val="1A1A1A"/>
        </w:rPr>
        <w:t xml:space="preserve">that is unrelated to official duties or where the staff member has the intent to abuse, arouse, or gratify sexual desire.</w:t>
      </w:r>
      <w:r>
        <w:rPr>
          <w:b w:val="false"/>
          <w:bCs w:val="false"/>
          <w:color w:val="1A1A1A"/>
        </w:rPr>
        <w:t xml:space="preserve"> A pat search is an official duty, so the contact inherent in a properly conducted one is not sexual abuse. That qualifier is the whole analysis. An allegation that the officer grabbed or manipulated is precisely an allegation that the contact went beyond the official duty or carried that intent. It is therefore an allegation of staff sexual abuse on its face, whatever anyone thinks of its merits.</w:t>
      </w:r>
    </w:p>
    <w:p>
      <w:pPr>
        <w:pStyle w:val="Heading2"/>
      </w:pPr>
      <w:r>
        <w:t xml:space="preserve">The consequence nobody gets to skip</w:t>
      </w:r>
    </w:p>
    <w:p>
      <w:pPr>
        <w:spacing w:after="120" w:line="276"/>
      </w:pPr>
      <w:r>
        <w:rPr>
          <w:b w:val="false"/>
          <w:bCs w:val="false"/>
          <w:color w:val="1A1A1A"/>
        </w:rPr>
        <w:t xml:space="preserve">115.371(a) requires an administrative or criminal investigation of ALL allegations of sexual abuse. There is no threshold of plausibility and no discretion to decide one is unnecessary. The officer who receives the complaint is not the person who decides whether it is true. </w:t>
      </w:r>
      <w:r>
        <w:rPr>
          <w:b/>
          <w:bCs/>
          <w:color w:val="1A1A1A"/>
        </w:rPr>
        <w:t xml:space="preserve">This is the exact scenario where register row 58 bites:</w:t>
      </w:r>
      <w:r>
        <w:rPr>
          <w:b w:val="false"/>
          <w:bCs w:val="false"/>
          <w:color w:val="1A1A1A"/>
        </w:rPr>
        <w:t xml:space="preserve"> Internal Complaints gives the Internal Affairs Manager discretion to determine whether a formal investigation is necessary, with no carve-out for sexual abuse. That gap is harmless until the day it is used on a complaint like this one.</w:t>
      </w:r>
    </w:p>
    <w:p>
      <w:pPr>
        <w:pStyle w:val="Heading2"/>
      </w:pPr>
      <w:r>
        <w:t xml:space="preserve">CANRA, and why staff conduct is its own category</w:t>
      </w:r>
    </w:p>
    <w:p>
      <w:pPr>
        <w:spacing w:after="120" w:line="276"/>
      </w:pPr>
      <w:r>
        <w:rPr>
          <w:b w:val="false"/>
          <w:bCs w:val="false"/>
          <w:color w:val="1A1A1A"/>
        </w:rPr>
        <w:t xml:space="preserve">Two provisions. Penal Code 11165.1(b)(4) covers intentional touching of intimate parts including through the clothing, for purposes of sexual arousal or gratification. A proper search carries no such purpose; an improper one does. Then </w:t>
      </w:r>
      <w:r>
        <w:rPr>
          <w:b/>
          <w:bCs/>
          <w:color w:val="1A1A1A"/>
        </w:rPr>
        <w:t xml:space="preserve">Penal Code 11165.5</w:t>
      </w:r>
      <w:r>
        <w:rPr>
          <w:b w:val="false"/>
          <w:bCs w:val="false"/>
          <w:color w:val="1A1A1A"/>
        </w:rPr>
        <w:t xml:space="preserve">, abuse or neglect in out-of-home care, captures sexual abuse where the person responsible for the child's welfare is an employee of an institution caring for children. A juvenile hall employee is squarely within that. Staff-on-youth is a named CANRA category in its own right, which is why it is not a tier on the chart.</w:t>
      </w:r>
    </w:p>
    <w:p>
      <w:pPr>
        <w:pStyle w:val="Heading2"/>
      </w:pPr>
      <w:r>
        <w:t xml:space="preserve">Report or not, and the honest version of the answer</w:t>
      </w:r>
    </w:p>
    <w:p>
      <w:pPr>
        <w:spacing w:after="120" w:line="276"/>
      </w:pPr>
      <w:r>
        <w:rPr>
          <w:b w:val="false"/>
          <w:bCs w:val="false"/>
          <w:color w:val="1A1A1A"/>
        </w:rPr>
        <w:t xml:space="preserve">Report. The standard is reasonable suspicion, not proof, and the employee who hears the complaint is not the adjudicator. If the allegation is true it is sexual abuse in out-of-home care. Penal Code 11166(i)(1) makes the duty individual and bars any supervisor from impeding it, and 11172(a) immunizes the reporter. The asymmetry decides it: reporting costs an investigation that 115.371(a) already requires, while not reporting is a misdemeanor for the employee personally and, in the pattern case, ruinous for the department. The honest counterpoint is that not every complaint about a search creates reasonable suspicion on its own facts, and a bare objection to a textbook pat search may not. That is exactly why this should be </w:t>
      </w:r>
      <w:r>
        <w:rPr>
          <w:b/>
          <w:bCs/>
          <w:color w:val="1A1A1A"/>
        </w:rPr>
        <w:t xml:space="preserve">a bright-line departmental rule rather than a judgment made on the unit at 0200</w:t>
      </w:r>
      <w:r>
        <w:rPr>
          <w:b w:val="false"/>
          <w:bCs w:val="false"/>
          <w:color w:val="1A1A1A"/>
        </w:rPr>
        <w:t xml:space="preserve">: any allegation that a search was sexual in nature goes to CPS and to Internal Affairs. A rule removes the credibility call from the person least equipped to make it and most exposed if it is made wrong.</w:t>
      </w:r>
    </w:p>
    <w:p>
      <w:pPr>
        <w:pStyle w:val="Heading2"/>
      </w:pPr>
      <w:r>
        <w:t xml:space="preserve">Ask the cross-gender question first, because it is separate and it is cleaner</w:t>
      </w:r>
    </w:p>
    <w:p>
      <w:pPr>
        <w:spacing w:after="120" w:line="276"/>
      </w:pPr>
      <w:r>
        <w:rPr>
          <w:b w:val="false"/>
          <w:bCs w:val="false"/>
          <w:color w:val="1A1A1A"/>
        </w:rPr>
        <w:t xml:space="preserve"/>
      </w:r>
      <w:r>
        <w:rPr>
          <w:b/>
          <w:bCs/>
          <w:color w:val="1A1A1A"/>
        </w:rPr>
        <w:t xml:space="preserve">15 CCR 1360(g)</w:t>
      </w:r>
      <w:r>
        <w:rPr>
          <w:b w:val="false"/>
          <w:bCs w:val="false"/>
          <w:color w:val="1A1A1A"/>
        </w:rPr>
        <w:t xml:space="preserve">, verified against the edition effective 01/01/2019: "Cross-gender pat-down searches and strip searches are prohibited except in exigent circumstances or when conducted by a medical professional. Such searches must be justified and documented in writing." If the search was cross-gender, there is a Title 15 problem regardless of whether the touching was improper, and it is provable from the roster rather than from competing accounts. For transgender and intersex youth, OO 1352.5 IV.A.3.b separately requires the preferred-gender staff member to conduct the search with a second staff member within hearing but out of view.</w:t>
      </w:r>
    </w:p>
    <w:p>
      <w:pPr>
        <w:pStyle w:val="Heading2"/>
      </w:pPr>
      <w:r>
        <w:t xml:space="preserve">What actually reduces this exposure</w:t>
      </w:r>
    </w:p>
    <w:p>
      <w:pPr>
        <w:spacing w:after="120" w:line="276"/>
      </w:pPr>
      <w:r>
        <w:rPr>
          <w:b w:val="false"/>
          <w:bCs w:val="false"/>
          <w:color w:val="1A1A1A"/>
        </w:rPr>
        <w:t xml:space="preserve">Not how complaints are adjudicated. Where searches happen and whether they are witnessed and recorded. A search conducted in camera view with a second staff member present resolves itself; one conducted in a blind spot becomes a credibility contest the department usually loses. That ties directly to 115.313(a) factor 5, the blind-spot survey, and to the </w:t>
      </w:r>
      <w:r>
        <w:rPr>
          <w:b/>
          <w:bCs/>
          <w:color w:val="1A1A1A"/>
        </w:rPr>
        <w:t xml:space="preserve">Institutional Policy on Video Recording and Photograph System, which has never been produced</w:t>
      </w:r>
      <w:r>
        <w:rPr>
          <w:b w:val="false"/>
          <w:bCs w:val="false"/>
          <w:color w:val="1A1A1A"/>
        </w:rPr>
        <w:t xml:space="preserve"> and is on the outstanding documents list. Until someone knows what the camera coverage of search locations actually is, this risk cannot be managed, only absorbed.</w:t>
      </w:r>
    </w:p>
    <w:p>
      <w:r>
        <w:br w:type="page"/>
      </w:r>
    </w:p>
    <w:p>
      <w:pPr>
        <w:pStyle w:val="Heading1"/>
      </w:pPr>
      <w:r>
        <w:t xml:space="preserve">The four age cases: ask this before you open the tier chart</w:t>
      </w:r>
    </w:p>
    <w:p>
      <w:pPr>
        <w:spacing w:after="120" w:line="276"/>
      </w:pPr>
      <w:r>
        <w:rPr>
          <w:color w:val="1A1A1A"/>
        </w:rPr>
        <w:t xml:space="preserve">The tier chart was written assuming both residents are minors. In a hall housing 13 to 25 that is often wrong, and the CPS column is the part that moves. Two confirmed facts drive this table. Residents 18 and over are under juvenile court jurisdiction but are NOT children for CANRA, because Penal Code 11165 defines a child as a person under 18 and the 11166(a) duty arises only on suspicion that a child has been abused: jurisdiction is not age. And the department does not treat residents aged 18 to 25 as dependent adults, so Welfare and Institutions Code 15630 does not reach them either. Find the row first. Then run the tier chart.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100"/>
        <w:gridCol w:w="3100"/>
        <w:gridCol w:w="1880"/>
        <w:gridCol w:w="3000"/>
      </w:tblGrid>
      <w:tr>
        <w:trPr>
          <w:tblHeader/>
        </w:trPr>
        <w:tc>
          <w:tcPr>
            <w:tcW w:type="dxa" w:w="2100"/>
            <w:shd w:fill="E8E8E8" w:color="auto" w:val="clear"/>
            <w:tcMar>
              <w:top w:type="dxa" w:w="60"/>
              <w:left w:type="dxa" w:w="100"/>
              <w:bottom w:type="dxa" w:w="60"/>
              <w:right w:type="dxa" w:w="100"/>
            </w:tcMar>
          </w:tcPr>
          <w:p>
            <w:pPr>
              <w:spacing w:after="40" w:before="40" w:line="240"/>
            </w:pPr>
            <w:r>
              <w:rPr>
                <w:b/>
                <w:bCs/>
                <w:color w:val="1A1A1A"/>
                <w:sz w:val="24"/>
                <w:szCs w:val="24"/>
              </w:rPr>
              <w:t xml:space="preserve">Who is involved</w:t>
            </w:r>
          </w:p>
        </w:tc>
        <w:tc>
          <w:tcPr>
            <w:tcW w:type="dxa" w:w="3100"/>
            <w:shd w:fill="E8E8E8" w:color="auto" w:val="clear"/>
            <w:tcMar>
              <w:top w:type="dxa" w:w="60"/>
              <w:left w:type="dxa" w:w="100"/>
              <w:bottom w:type="dxa" w:w="60"/>
              <w:right w:type="dxa" w:w="100"/>
            </w:tcMar>
          </w:tcPr>
          <w:p>
            <w:pPr>
              <w:spacing w:after="40" w:before="40" w:line="240"/>
            </w:pPr>
            <w:r>
              <w:rPr>
                <w:b/>
                <w:bCs/>
                <w:color w:val="1A1A1A"/>
                <w:sz w:val="24"/>
                <w:szCs w:val="24"/>
              </w:rPr>
              <w:t xml:space="preserve">CPS report</w:t>
            </w:r>
          </w:p>
        </w:tc>
        <w:tc>
          <w:tcPr>
            <w:tcW w:type="dxa" w:w="1880"/>
            <w:shd w:fill="E8E8E8" w:color="auto" w:val="clear"/>
            <w:tcMar>
              <w:top w:type="dxa" w:w="60"/>
              <w:left w:type="dxa" w:w="100"/>
              <w:bottom w:type="dxa" w:w="60"/>
              <w:right w:type="dxa" w:w="100"/>
            </w:tcMar>
          </w:tcPr>
          <w:p>
            <w:pPr>
              <w:spacing w:after="40" w:before="40" w:line="240"/>
            </w:pPr>
            <w:r>
              <w:rPr>
                <w:b/>
                <w:bCs/>
                <w:color w:val="1A1A1A"/>
                <w:sz w:val="24"/>
                <w:szCs w:val="24"/>
              </w:rPr>
              <w:t xml:space="preserve">PREA</w:t>
            </w:r>
          </w:p>
        </w:tc>
        <w:tc>
          <w:tcPr>
            <w:tcW w:type="dxa" w:w="3000"/>
            <w:shd w:fill="E8E8E8" w:color="auto" w:val="clear"/>
            <w:tcMar>
              <w:top w:type="dxa" w:w="60"/>
              <w:left w:type="dxa" w:w="100"/>
              <w:bottom w:type="dxa" w:w="60"/>
              <w:right w:type="dxa" w:w="100"/>
            </w:tcMar>
          </w:tcPr>
          <w:p>
            <w:pPr>
              <w:spacing w:after="40" w:before="40" w:line="240"/>
            </w:pPr>
            <w:r>
              <w:rPr>
                <w:b/>
                <w:bCs/>
                <w:color w:val="1A1A1A"/>
                <w:sz w:val="24"/>
                <w:szCs w:val="24"/>
              </w:rPr>
              <w:t xml:space="preserve">What changes</w:t>
            </w:r>
          </w:p>
        </w:tc>
      </w:tr>
      <w:tr>
        <w:tc>
          <w:tcPr>
            <w:tcW w:type="dxa" w:w="2100"/>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Both under 18</w:t>
            </w:r>
            <w:r>
              <w:rPr>
                <w:b w:val="false"/>
                <w:bCs w:val="false"/>
                <w:color w:val="1A1A1A"/>
                <w:sz w:val="24"/>
                <w:szCs w:val="24"/>
              </w:rPr>
              <w:t xml:space="preserve"/>
            </w:r>
          </w:p>
        </w:tc>
        <w:tc>
          <w:tcPr>
            <w:tcW w:type="dxa" w:w="3100"/>
            <w:tcMar>
              <w:top w:type="dxa" w:w="60"/>
              <w:left w:type="dxa" w:w="100"/>
              <w:bottom w:type="dxa" w:w="60"/>
              <w:right w:type="dxa" w:w="100"/>
            </w:tcMar>
          </w:tcPr>
          <w:p>
            <w:pPr>
              <w:spacing w:after="40" w:before="40" w:line="240"/>
            </w:pPr>
            <w:r>
              <w:rPr>
                <w:b w:val="false"/>
                <w:bCs w:val="false"/>
                <w:color w:val="1A1A1A"/>
                <w:sz w:val="24"/>
                <w:szCs w:val="24"/>
              </w:rPr>
              <w:t xml:space="preserve">Per the tier chart. Tiers 4, 5 and 6 report.</w:t>
            </w:r>
          </w:p>
        </w:tc>
        <w:tc>
          <w:tcPr>
            <w:tcW w:type="dxa" w:w="1880"/>
            <w:tcMar>
              <w:top w:type="dxa" w:w="60"/>
              <w:left w:type="dxa" w:w="100"/>
              <w:bottom w:type="dxa" w:w="60"/>
              <w:right w:type="dxa" w:w="100"/>
            </w:tcMar>
          </w:tcPr>
          <w:p>
            <w:pPr>
              <w:spacing w:after="40" w:before="40" w:line="240"/>
            </w:pPr>
            <w:r>
              <w:rPr>
                <w:b w:val="false"/>
                <w:bCs w:val="false"/>
                <w:color w:val="1A1A1A"/>
                <w:sz w:val="24"/>
                <w:szCs w:val="24"/>
              </w:rPr>
              <w:t xml:space="preserve">Per the tier chart.</w:t>
            </w:r>
          </w:p>
        </w:tc>
        <w:tc>
          <w:tcPr>
            <w:tcW w:type="dxa" w:w="3000"/>
            <w:tcMar>
              <w:top w:type="dxa" w:w="60"/>
              <w:left w:type="dxa" w:w="100"/>
              <w:bottom w:type="dxa" w:w="60"/>
              <w:right w:type="dxa" w:w="100"/>
            </w:tcMar>
          </w:tcPr>
          <w:p>
            <w:pPr>
              <w:spacing w:after="40" w:before="40" w:line="240"/>
            </w:pPr>
            <w:r>
              <w:rPr>
                <w:b w:val="false"/>
                <w:bCs w:val="false"/>
                <w:color w:val="1A1A1A"/>
                <w:sz w:val="24"/>
                <w:szCs w:val="24"/>
              </w:rPr>
              <w:t xml:space="preserve">Nothing. This is the case the chart was written for.</w:t>
            </w:r>
          </w:p>
        </w:tc>
      </w:tr>
      <w:tr>
        <w:tc>
          <w:tcPr>
            <w:tcW w:type="dxa" w:w="2100"/>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One under 18, one over 18.</w:t>
            </w:r>
            <w:r>
              <w:rPr>
                <w:b w:val="false"/>
                <w:bCs w:val="false"/>
                <w:color w:val="1A1A1A"/>
                <w:sz w:val="24"/>
                <w:szCs w:val="24"/>
              </w:rPr>
              <w:t xml:space="preserve"> The resident under 18 is the one acted upon, or the one who saw it.</w:t>
            </w:r>
          </w:p>
        </w:tc>
        <w:tc>
          <w:tcPr>
            <w:tcW w:type="dxa" w:w="3100"/>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YES, on every tier the chart says YES.</w:t>
            </w:r>
            <w:r>
              <w:rPr>
                <w:b w:val="false"/>
                <w:bCs w:val="false"/>
                <w:color w:val="1A1A1A"/>
                <w:sz w:val="24"/>
                <w:szCs w:val="24"/>
              </w:rPr>
              <w:t xml:space="preserve"> There is a child. 11165.1(b)(4) for touching, (b)(5) for masturbation in his presence.</w:t>
            </w:r>
          </w:p>
        </w:tc>
        <w:tc>
          <w:tcPr>
            <w:tcW w:type="dxa" w:w="1880"/>
            <w:tcMar>
              <w:top w:type="dxa" w:w="60"/>
              <w:left w:type="dxa" w:w="100"/>
              <w:bottom w:type="dxa" w:w="60"/>
              <w:right w:type="dxa" w:w="100"/>
            </w:tcMar>
          </w:tcPr>
          <w:p>
            <w:pPr>
              <w:spacing w:after="40" w:before="40" w:line="240"/>
            </w:pPr>
            <w:r>
              <w:rPr>
                <w:b w:val="false"/>
                <w:bCs w:val="false"/>
                <w:color w:val="1A1A1A"/>
                <w:sz w:val="24"/>
                <w:szCs w:val="24"/>
              </w:rPr>
              <w:t xml:space="preserve">Sexual abuse, and the non-consent element is supplied by law.</w:t>
            </w:r>
          </w:p>
        </w:tc>
        <w:tc>
          <w:tcPr>
            <w:tcW w:type="dxa" w:w="3000"/>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Do not run consent analysis.</w:t>
            </w:r>
            <w:r>
              <w:rPr>
                <w:b w:val="false"/>
                <w:bCs w:val="false"/>
                <w:color w:val="1A1A1A"/>
                <w:sz w:val="24"/>
                <w:szCs w:val="24"/>
              </w:rPr>
              <w:t xml:space="preserve"> A minor cannot lawfully consent with an adult, so he is unable to consent within 115.6 and apparent willingness changes nothing. 115.371(a) still requires investigation.</w:t>
            </w:r>
          </w:p>
        </w:tc>
      </w:tr>
      <w:tr>
        <w:tc>
          <w:tcPr>
            <w:tcW w:type="dxa" w:w="2100"/>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One under 18, one over 18.</w:t>
            </w:r>
            <w:r>
              <w:rPr>
                <w:b w:val="false"/>
                <w:bCs w:val="false"/>
                <w:color w:val="1A1A1A"/>
                <w:sz w:val="24"/>
                <w:szCs w:val="24"/>
              </w:rPr>
              <w:t xml:space="preserve"> The resident under 18 is the one acting.</w:t>
            </w:r>
          </w:p>
        </w:tc>
        <w:tc>
          <w:tcPr>
            <w:tcW w:type="dxa" w:w="3100"/>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Tiers 5 and 6: still YES.</w:t>
            </w:r>
            <w:r>
              <w:rPr>
                <w:b w:val="false"/>
                <w:bCs w:val="false"/>
                <w:color w:val="1A1A1A"/>
                <w:sz w:val="24"/>
                <w:szCs w:val="24"/>
              </w:rPr>
              <w:t xml:space="preserve"> 11165.1(b)(4) reaches touching "of a child, </w:t>
            </w:r>
            <w:r>
              <w:rPr>
                <w:b/>
                <w:bCs/>
                <w:color w:val="1A1A1A"/>
                <w:sz w:val="24"/>
                <w:szCs w:val="24"/>
              </w:rPr>
              <w:t xml:space="preserve">or of the perpetrator by a child</w:t>
            </w:r>
            <w:r>
              <w:rPr>
                <w:b w:val="false"/>
                <w:bCs w:val="false"/>
                <w:color w:val="1A1A1A"/>
                <w:sz w:val="24"/>
                <w:szCs w:val="24"/>
              </w:rPr>
              <w:t xml:space="preserve">," so it bites in both directions. </w:t>
            </w:r>
            <w:r>
              <w:rPr>
                <w:b/>
                <w:bCs/>
                <w:color w:val="1A1A1A"/>
                <w:sz w:val="24"/>
                <w:szCs w:val="24"/>
              </w:rPr>
              <w:t xml:space="preserve">Tier 4: NO.</w:t>
            </w:r>
            <w:r>
              <w:rPr>
                <w:b w:val="false"/>
                <w:bCs w:val="false"/>
                <w:color w:val="1A1A1A"/>
                <w:sz w:val="24"/>
                <w:szCs w:val="24"/>
              </w:rPr>
              <w:t xml:space="preserve"> (b)(5) requires the masturbation be in the presence of a </w:t>
            </w:r>
            <w:r>
              <w:rPr>
                <w:b/>
                <w:bCs/>
                <w:color w:val="1A1A1A"/>
                <w:sz w:val="24"/>
                <w:szCs w:val="24"/>
              </w:rPr>
              <w:t xml:space="preserve">child</w:t>
            </w:r>
            <w:r>
              <w:rPr>
                <w:b w:val="false"/>
                <w:bCs w:val="false"/>
                <w:color w:val="1A1A1A"/>
                <w:sz w:val="24"/>
                <w:szCs w:val="24"/>
              </w:rPr>
              <w:t xml:space="preserve">, and the only person present is an adult.</w:t>
            </w:r>
          </w:p>
        </w:tc>
        <w:tc>
          <w:tcPr>
            <w:tcW w:type="dxa" w:w="1880"/>
            <w:tcMar>
              <w:top w:type="dxa" w:w="60"/>
              <w:left w:type="dxa" w:w="100"/>
              <w:bottom w:type="dxa" w:w="60"/>
              <w:right w:type="dxa" w:w="100"/>
            </w:tcMar>
          </w:tcPr>
          <w:p>
            <w:pPr>
              <w:spacing w:after="40" w:before="40" w:line="240"/>
            </w:pPr>
            <w:r>
              <w:rPr>
                <w:b w:val="false"/>
                <w:bCs w:val="false"/>
                <w:color w:val="1A1A1A"/>
                <w:sz w:val="24"/>
                <w:szCs w:val="24"/>
              </w:rPr>
              <w:t xml:space="preserve">Unchanged. PREA does not care which resident is older.</w:t>
            </w:r>
          </w:p>
        </w:tc>
        <w:tc>
          <w:tcPr>
            <w:tcW w:type="dxa" w:w="3000"/>
            <w:tcMar>
              <w:top w:type="dxa" w:w="60"/>
              <w:left w:type="dxa" w:w="100"/>
              <w:bottom w:type="dxa" w:w="60"/>
              <w:right w:type="dxa" w:w="100"/>
            </w:tcMar>
          </w:tcPr>
          <w:p>
            <w:pPr>
              <w:spacing w:after="40" w:before="40" w:line="240"/>
            </w:pPr>
            <w:r>
              <w:rPr>
                <w:b w:val="false"/>
                <w:bCs w:val="false"/>
                <w:color w:val="1A1A1A"/>
                <w:sz w:val="24"/>
                <w:szCs w:val="24"/>
              </w:rPr>
              <w:t xml:space="preserve">Do not decide on the unit which resident is the victim. That is an investigative conclusion, and Penal Code 11172(a) gives the reporter immunity. Report and let it sort out.</w:t>
            </w:r>
          </w:p>
        </w:tc>
      </w:tr>
      <w:tr>
        <w:tc>
          <w:tcPr>
            <w:tcW w:type="dxa" w:w="2100"/>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Both 18 or over</w:t>
            </w:r>
            <w:r>
              <w:rPr>
                <w:b w:val="false"/>
                <w:bCs w:val="false"/>
                <w:color w:val="1A1A1A"/>
                <w:sz w:val="24"/>
                <w:szCs w:val="24"/>
              </w:rPr>
              <w:t xml:space="preserve"/>
            </w:r>
          </w:p>
        </w:tc>
        <w:tc>
          <w:tcPr>
            <w:tcW w:type="dxa" w:w="3100"/>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NO. On every tier.</w:t>
            </w:r>
            <w:r>
              <w:rPr>
                <w:b w:val="false"/>
                <w:bCs w:val="false"/>
                <w:color w:val="1A1A1A"/>
                <w:sz w:val="24"/>
                <w:szCs w:val="24"/>
              </w:rPr>
              <w:t xml:space="preserve"> No child, so no CANRA duty. No dependent adult status, so no WIC 15630 duty either. </w:t>
            </w:r>
            <w:r>
              <w:rPr>
                <w:b/>
                <w:bCs/>
                <w:color w:val="1A1A1A"/>
                <w:sz w:val="24"/>
                <w:szCs w:val="24"/>
              </w:rPr>
              <w:t xml:space="preserve">There is no mandated external reporting duty of any kind.</w:t>
            </w:r>
            <w:r>
              <w:rPr>
                <w:b w:val="false"/>
                <w:bCs w:val="false"/>
                <w:color w:val="1A1A1A"/>
                <w:sz w:val="24"/>
                <w:szCs w:val="24"/>
              </w:rPr>
              <w:t xml:space="preserve"/>
            </w:r>
          </w:p>
        </w:tc>
        <w:tc>
          <w:tcPr>
            <w:tcW w:type="dxa" w:w="1880"/>
            <w:tcMar>
              <w:top w:type="dxa" w:w="60"/>
              <w:left w:type="dxa" w:w="100"/>
              <w:bottom w:type="dxa" w:w="60"/>
              <w:right w:type="dxa" w:w="100"/>
            </w:tcMar>
          </w:tcPr>
          <w:p>
            <w:pPr>
              <w:spacing w:after="40" w:before="40" w:line="240"/>
            </w:pPr>
            <w:r>
              <w:rPr>
                <w:b w:val="false"/>
                <w:bCs w:val="false"/>
                <w:color w:val="1A1A1A"/>
                <w:sz w:val="24"/>
                <w:szCs w:val="24"/>
              </w:rPr>
              <w:t xml:space="preserve">Entirely unchanged. A resident is a resident under Subpart D.</w:t>
            </w:r>
          </w:p>
        </w:tc>
        <w:tc>
          <w:tcPr>
            <w:tcW w:type="dxa" w:w="3000"/>
            <w:tcMar>
              <w:top w:type="dxa" w:w="60"/>
              <w:left w:type="dxa" w:w="100"/>
              <w:bottom w:type="dxa" w:w="60"/>
              <w:right w:type="dxa" w:w="100"/>
            </w:tcMar>
          </w:tcPr>
          <w:p>
            <w:pPr>
              <w:spacing w:after="40" w:before="40" w:line="240"/>
            </w:pPr>
            <w:r>
              <w:rPr>
                <w:b w:val="false"/>
                <w:bCs w:val="false"/>
                <w:color w:val="1A1A1A"/>
                <w:sz w:val="24"/>
                <w:szCs w:val="24"/>
              </w:rPr>
              <w:t xml:space="preserve">The external route is the </w:t>
            </w:r>
            <w:r>
              <w:rPr>
                <w:b/>
                <w:bCs/>
                <w:color w:val="1A1A1A"/>
                <w:sz w:val="24"/>
                <w:szCs w:val="24"/>
              </w:rPr>
              <w:t xml:space="preserve">Sheriff, not CPS</w:t>
            </w:r>
            <w:r>
              <w:rPr>
                <w:b w:val="false"/>
                <w:bCs w:val="false"/>
                <w:color w:val="1A1A1A"/>
                <w:sz w:val="24"/>
                <w:szCs w:val="24"/>
              </w:rPr>
              <w:t xml:space="preserve">: 15 CCR 1453 and OO 1453 I.A.8. Read the note below before relying on it.</w:t>
            </w:r>
          </w:p>
        </w:tc>
      </w:tr>
    </w:tbl>
    <w:p>
      <w:pPr>
        <w:spacing w:after="120"/>
      </w:pP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0" w:before="60" w:line="264"/>
            </w:pPr>
            <w:r>
              <w:rPr>
                <w:b w:val="false"/>
                <w:bCs w:val="false"/>
                <w:color w:val="1A1A1A"/>
              </w:rPr>
              <w:t xml:space="preserve"/>
            </w:r>
            <w:r>
              <w:rPr>
                <w:b/>
                <w:bCs/>
                <w:color w:val="1A1A1A"/>
              </w:rPr>
              <w:t xml:space="preserve">"No CPS report" does not mean "no report."</w:t>
            </w:r>
            <w:r>
              <w:rPr>
                <w:b w:val="false"/>
                <w:bCs w:val="false"/>
                <w:color w:val="1A1A1A"/>
              </w:rPr>
              <w:t xml:space="preserve"/>
            </w:r>
          </w:p>
          <w:p>
            <w:pPr>
              <w:spacing w:after="0" w:before="100" w:line="264"/>
            </w:pPr>
            <w:r>
              <w:rPr>
                <w:b w:val="false"/>
                <w:bCs w:val="false"/>
                <w:color w:val="1A1A1A"/>
              </w:rPr>
              <w:t xml:space="preserve">PREA does not change with age. A resident is a resident. Staff still report under 115.361(a), the allegation is still investigated under 115.371(a), and the protection and retaliation monitoring duties still apply.</w:t>
            </w:r>
          </w:p>
          <w:p>
            <w:pPr>
              <w:spacing w:after="0" w:before="100" w:line="264"/>
            </w:pPr>
            <w:r>
              <w:rPr>
                <w:b w:val="false"/>
                <w:bCs w:val="false"/>
                <w:color w:val="1A1A1A"/>
              </w:rPr>
              <w:t xml:space="preserve">The external report goes to the </w:t>
            </w:r>
            <w:r>
              <w:rPr>
                <w:b/>
                <w:bCs/>
                <w:color w:val="1A1A1A"/>
              </w:rPr>
              <w:t xml:space="preserve">Sheriff instead of CPS</w:t>
            </w:r>
            <w:r>
              <w:rPr>
                <w:b w:val="false"/>
                <w:bCs w:val="false"/>
                <w:color w:val="1A1A1A"/>
              </w:rPr>
              <w:t xml:space="preserve">. 15 CCR 1453 requires sexual assaults in the facility to be reported to local law enforcement at any age, and OO 1453 I.A.8 puts that on the Duty Supervisor.</w:t>
            </w:r>
          </w:p>
          <w:p>
            <w:pPr>
              <w:spacing w:after="0" w:before="100" w:line="264"/>
            </w:pPr>
            <w:r>
              <w:rPr>
                <w:b w:val="false"/>
                <w:bCs w:val="false"/>
                <w:color w:val="1A1A1A"/>
              </w:rPr>
              <w:t xml:space="preserve"/>
            </w:r>
            <w:r>
              <w:rPr>
                <w:b/>
                <w:bCs/>
                <w:color w:val="1A1A1A"/>
              </w:rPr>
              <w:t xml:space="preserve">It is a weaker duty than CANRA, in three ways.</w:t>
            </w:r>
            <w:r>
              <w:rPr>
                <w:b w:val="false"/>
                <w:bCs w:val="false"/>
                <w:color w:val="1A1A1A"/>
              </w:rPr>
              <w:t xml:space="preserve"> CANRA starts at reasonable suspicion; OO 1453 starts at a belief that a sexual assault occurred. CANRA binds the employee who saw it; OO 1453 binds the supervisor. CANRA carries personal criminal liability under 11166(c); OO 1453 does not.</w:t>
            </w:r>
          </w:p>
          <w:p>
            <w:pPr>
              <w:spacing w:after="60" w:before="100" w:line="264"/>
            </w:pPr>
            <w:r>
              <w:rPr>
                <w:b w:val="false"/>
                <w:bCs w:val="false"/>
                <w:color w:val="1A1A1A"/>
              </w:rPr>
              <w:t xml:space="preserve"/>
            </w:r>
            <w:r>
              <w:rPr>
                <w:b/>
                <w:bCs/>
                <w:color w:val="1A1A1A"/>
              </w:rPr>
              <w:t xml:space="preserve">And it covers sexual assault only.</w:t>
            </w:r>
            <w:r>
              <w:rPr>
                <w:b w:val="false"/>
                <w:bCs w:val="false"/>
                <w:color w:val="1A1A1A"/>
              </w:rPr>
              <w:t xml:space="preserve"> For two adult residents, tiers 2, 3 and 4 have no external report at all. Handle them as PREA matters, and write them up every time.</w:t>
            </w:r>
          </w:p>
        </w:tc>
      </w:tr>
    </w:tbl>
    <w:p>
      <w:r>
        <w:br w:type="page"/>
      </w:r>
    </w:p>
    <w:p>
      <w:pPr>
        <w:pStyle w:val="Heading1"/>
      </w:pPr>
      <w:r>
        <w:t xml:space="preserve">Mixed ages: when one resident is over 18 and the other is not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2DEDE" w:color="auto" w:val="clear"/>
            <w:tcMar>
              <w:top w:type="dxa" w:w="60"/>
              <w:left w:type="dxa" w:w="100"/>
              <w:bottom w:type="dxa" w:w="60"/>
              <w:right w:type="dxa" w:w="100"/>
            </w:tcMar>
          </w:tcPr>
          <w:p>
            <w:pPr>
              <w:spacing w:after="60" w:before="60" w:line="264"/>
            </w:pPr>
            <w:r>
              <w:rPr>
                <w:color w:val="1A1A1A"/>
              </w:rPr>
              <w:t xml:space="preserve">The tier chart above assumes both residents are minors. In this facility that assumption is often wrong. The hall houses residents from 13 to 25, and a resident under 18 sharing a population with one over 18 is uncommon but not prohibited. When an incident involves one of each, the PREA answer and the CPS answer are reached by different routes, and one of those routes is not available to staff at all.</w:t>
            </w:r>
          </w:p>
        </w:tc>
      </w:tr>
    </w:tbl>
    <w:p>
      <w:pPr>
        <w:pStyle w:val="Heading2"/>
      </w:pPr>
      <w:r>
        <w:t xml:space="preserve">Ask the three ages question before you open the chart</w:t>
      </w:r>
    </w:p>
    <w:p>
      <w:pPr>
        <w:spacing w:after="120" w:line="276"/>
      </w:pPr>
      <w:r>
        <w:rPr>
          <w:b w:val="false"/>
          <w:bCs w:val="false"/>
          <w:color w:val="1A1A1A"/>
        </w:rPr>
        <w:t xml:space="preserve">The department has confirmed two facts that decide this section. Residents under juvenile court jurisdiction who are 18 or over are </w:t>
      </w:r>
      <w:r>
        <w:rPr>
          <w:b/>
          <w:bCs/>
          <w:color w:val="1A1A1A"/>
        </w:rPr>
        <w:t xml:space="preserve">not children for CANRA</w:t>
      </w:r>
      <w:r>
        <w:rPr>
          <w:b w:val="false"/>
          <w:bCs w:val="false"/>
          <w:color w:val="1A1A1A"/>
        </w:rPr>
        <w:t xml:space="preserve">: Penal Code 11165 defines a child as a person under 18, and the 11166(a) duty arises only on suspicion that a CHILD has been abused. Jurisdiction is not age. And the department </w:t>
      </w:r>
      <w:r>
        <w:rPr>
          <w:b/>
          <w:bCs/>
          <w:color w:val="1A1A1A"/>
        </w:rPr>
        <w:t xml:space="preserve">does not treat residents aged 18 to 25 as dependent adults</w:t>
      </w:r>
      <w:r>
        <w:rPr>
          <w:b w:val="false"/>
          <w:bCs w:val="false"/>
          <w:color w:val="1A1A1A"/>
        </w:rPr>
        <w:t xml:space="preserve">, so Welfare and Institutions Code 15630 does not pick them up either. Put those together and there are three cases, not one. </w:t>
      </w:r>
      <w:r>
        <w:rPr>
          <w:b/>
          <w:bCs/>
          <w:color w:val="1A1A1A"/>
        </w:rPr>
        <w:t xml:space="preserve">Both under 18:</w:t>
      </w:r>
      <w:r>
        <w:rPr>
          <w:b w:val="false"/>
          <w:bCs w:val="false"/>
          <w:color w:val="1A1A1A"/>
        </w:rPr>
        <w:t xml:space="preserve"> run the chart as written. </w:t>
      </w:r>
      <w:r>
        <w:rPr>
          <w:b/>
          <w:bCs/>
          <w:color w:val="1A1A1A"/>
        </w:rPr>
        <w:t xml:space="preserve">One under, one over:</w:t>
      </w:r>
      <w:r>
        <w:rPr>
          <w:b w:val="false"/>
          <w:bCs w:val="false"/>
          <w:color w:val="1A1A1A"/>
        </w:rPr>
        <w:t xml:space="preserve"> the chart still reports, because there is a child, and the rest of this section applies. </w:t>
      </w:r>
      <w:r>
        <w:rPr>
          <w:b/>
          <w:bCs/>
          <w:color w:val="1A1A1A"/>
        </w:rPr>
        <w:t xml:space="preserve">Both 18 or over:</w:t>
      </w:r>
      <w:r>
        <w:rPr>
          <w:b w:val="false"/>
          <w:bCs w:val="false"/>
          <w:color w:val="1A1A1A"/>
        </w:rPr>
        <w:t xml:space="preserve"> there is no CANRA duty and no dependent adult duty, and the CPS column is NO for every tier. Nothing else on the chart changes.</w:t>
      </w:r>
    </w:p>
    <w:p>
      <w:pPr>
        <w:pStyle w:val="Heading2"/>
      </w:pPr>
      <w:r>
        <w:t xml:space="preserve">Both residents over 18: what fills the gap, and why it is not equivalent</w:t>
      </w:r>
    </w:p>
    <w:p>
      <w:pPr>
        <w:spacing w:after="120" w:line="276"/>
      </w:pPr>
      <w:r>
        <w:rPr>
          <w:b w:val="false"/>
          <w:bCs w:val="false"/>
          <w:color w:val="1A1A1A"/>
        </w:rPr>
        <w:t xml:space="preserve">Do not read "no CPS report" as "no report." </w:t>
      </w:r>
      <w:r>
        <w:rPr>
          <w:b/>
          <w:bCs/>
          <w:color w:val="1A1A1A"/>
        </w:rPr>
        <w:t xml:space="preserve">Every PREA duty is age-neutral.</w:t>
      </w:r>
      <w:r>
        <w:rPr>
          <w:b w:val="false"/>
          <w:bCs w:val="false"/>
          <w:color w:val="1A1A1A"/>
        </w:rPr>
        <w:t xml:space="preserve"> A resident is a resident under Subpart D, so 115.361(a) staff reporting, 115.371(a) investigation of all allegations, 115.362 protection and 115.367 retaliation monitoring apply identically to a 24 year old. There is also an external route, and it is the Sheriff rather than CPS: </w:t>
      </w:r>
      <w:r>
        <w:rPr>
          <w:b/>
          <w:bCs/>
          <w:color w:val="1A1A1A"/>
        </w:rPr>
        <w:t xml:space="preserve">15 CCR 1453</w:t>
      </w:r>
      <w:r>
        <w:rPr>
          <w:b w:val="false"/>
          <w:bCs w:val="false"/>
          <w:color w:val="1A1A1A"/>
        </w:rPr>
        <w:t xml:space="preserve"> requires reporting sexual assaults occurring in the facility to local law enforcement, and it is age-neutral, and </w:t>
      </w:r>
      <w:r>
        <w:rPr>
          <w:b/>
          <w:bCs/>
          <w:color w:val="1A1A1A"/>
        </w:rPr>
        <w:t xml:space="preserve">OO 1453 I.A.8</w:t>
      </w:r>
      <w:r>
        <w:rPr>
          <w:b w:val="false"/>
          <w:bCs w:val="false"/>
          <w:color w:val="1A1A1A"/>
        </w:rPr>
        <w:t xml:space="preserve"> implements it by requiring the Duty Supervisor to notify the Sheriff's Department immediately once it is believed a sexual assault occurred. </w:t>
      </w:r>
      <w:r>
        <w:rPr>
          <w:b/>
          <w:bCs/>
          <w:color w:val="1A1A1A"/>
        </w:rPr>
        <w:t xml:space="preserve">But the two duties are not equivalent, and this is the part to train on.</w:t>
      </w:r>
      <w:r>
        <w:rPr>
          <w:b w:val="false"/>
          <w:bCs w:val="false"/>
          <w:color w:val="1A1A1A"/>
        </w:rPr>
        <w:t xml:space="preserve"> CANRA triggers on reasonable suspicion, binds the individual employee who formed it, and carries personal criminal exposure under 11166(c). OO 1453 I.A.8 triggers on a belief that a sexual assault occurred, binds the Duty Supervisor rather than the employee, and carries departmental consequences only. When the residents are adults the threshold rises, the duty moves off the person who saw it, and the personal exposure that makes people report disappears, all at once. </w:t>
      </w:r>
      <w:r>
        <w:rPr>
          <w:b/>
          <w:bCs/>
          <w:color w:val="1A1A1A"/>
        </w:rPr>
        <w:t xml:space="preserve">And the OO 1453 trigger is sexual assault only</w:t>
      </w:r>
      <w:r>
        <w:rPr>
          <w:b w:val="false"/>
          <w:bCs w:val="false"/>
          <w:color w:val="1A1A1A"/>
        </w:rPr>
        <w:t xml:space="preserve">, so for two adult residents tiers 2, 3 and 4 have no external reporting route at all. They are internal PREA matters and nothing else. Log them accordingly.</w:t>
      </w:r>
    </w:p>
    <w:p>
      <w:pPr>
        <w:pStyle w:val="Heading2"/>
      </w:pPr>
      <w:r>
        <w:t xml:space="preserve">Apparent willingness does not decide anything</w:t>
      </w:r>
    </w:p>
    <w:p>
      <w:pPr>
        <w:spacing w:after="120" w:line="276"/>
      </w:pPr>
      <w:r>
        <w:rPr>
          <w:b w:val="false"/>
          <w:bCs w:val="false"/>
          <w:color w:val="1A1A1A"/>
        </w:rPr>
        <w:t xml:space="preserve">All four resident-on-resident contact prongs are gated by the same element: the act counts where the victim does not consent, is coerced into it by overt or implied threats of violence, </w:t>
      </w:r>
      <w:r>
        <w:rPr>
          <w:b/>
          <w:bCs/>
          <w:color w:val="1A1A1A"/>
        </w:rPr>
        <w:t xml:space="preserve">or is unable to consent or refuse.</w:t>
      </w:r>
      <w:r>
        <w:rPr>
          <w:b w:val="false"/>
          <w:bCs w:val="false"/>
          <w:color w:val="1A1A1A"/>
        </w:rPr>
        <w:t xml:space="preserve"> That third limb is the one that governs the mixed-age case. A resident under 18 cannot lawfully consent to sexual activity with an adult under California law, so a minor in that position is unable to consent within the meaning of the definition. Apparent willingness therefore does not take the incident out of PREA, and 115.371(a) requires an administrative or criminal investigation of ALL allegations of sexual abuse. There is no plausibility threshold and no discretion to decide one is unnecessary.</w:t>
      </w:r>
    </w:p>
    <w:p>
      <w:pPr>
        <w:pStyle w:val="Heading2"/>
      </w:pPr>
      <w:r>
        <w:t xml:space="preserve">Staff do not perform consent analysis</w:t>
      </w:r>
    </w:p>
    <w:p>
      <w:pPr>
        <w:spacing w:after="120" w:line="276"/>
      </w:pPr>
      <w:r>
        <w:rPr>
          <w:b w:val="false"/>
          <w:bCs w:val="false"/>
          <w:color w:val="1A1A1A"/>
        </w:rPr>
        <w:t xml:space="preserve">This is the operational rule, and it is the one to teach. Whether consent existed is a legal conclusion that turns on the exact ages, the age gap, the custodial relationship, and evidence of coercion that is not visible on a unit. A supervisor who decides on the floor that an incident was consensual has closed a PREA allegation that 115.371(a) says must be investigated, and has written that decision down. Separate the residents, preserve what there is to preserve, report it, and let the investigation answer the question. The same applies to the opposite error: do not record a conclusion that the older resident coerced the younger one either. Record what was seen, heard and said.</w:t>
      </w:r>
    </w:p>
    <w:p>
      <w:pPr>
        <w:pStyle w:val="Heading2"/>
      </w:pPr>
      <w:r>
        <w:t xml:space="preserve">The CANRA exception that looks like it applies, and usually does not</w:t>
      </w:r>
    </w:p>
    <w:p>
      <w:pPr>
        <w:spacing w:after="120" w:line="276"/>
      </w:pPr>
      <w:r>
        <w:rPr>
          <w:b w:val="false"/>
          <w:bCs w:val="false"/>
          <w:color w:val="1A1A1A"/>
        </w:rPr>
        <w:t xml:space="preserve">Penal Code 11165.1(a) carries an exception: sexual assault does not include VOLUNTARY conduct in violation of sections 286, 287 or 289 where there are NO INDICATORS OF ABUSE, unless the conduct is between a person 21 or older and a minor under 16. Three limits have to be understood before anyone reaches for it. </w:t>
      </w:r>
      <w:r>
        <w:rPr>
          <w:b/>
          <w:bCs/>
          <w:color w:val="1A1A1A"/>
        </w:rPr>
        <w:t xml:space="preserve">First, its reach.</w:t>
      </w:r>
      <w:r>
        <w:rPr>
          <w:b w:val="false"/>
          <w:bCs w:val="false"/>
          <w:color w:val="1A1A1A"/>
        </w:rPr>
        <w:t xml:space="preserve"> It covers only 286, 287 and 289. It does not reach intentional touching under 11165.1(b)(4) and it does not reach unlawful sexual intercourse under 261.5. </w:t>
      </w:r>
      <w:r>
        <w:rPr>
          <w:b/>
          <w:bCs/>
          <w:color w:val="1A1A1A"/>
        </w:rPr>
        <w:t xml:space="preserve">Second, its standard.</w:t>
      </w:r>
      <w:r>
        <w:rPr>
          <w:b w:val="false"/>
          <w:bCs w:val="false"/>
          <w:color w:val="1A1A1A"/>
        </w:rPr>
        <w:t xml:space="preserve"> A finding of no indicators of abuse in a custodial setting with an age gap is a conclusion reached after investigation, never an observation made on a unit. </w:t>
      </w:r>
      <w:r>
        <w:rPr>
          <w:b/>
          <w:bCs/>
          <w:color w:val="1A1A1A"/>
        </w:rPr>
        <w:t xml:space="preserve">Third, its own carve-out.</w:t>
      </w:r>
      <w:r>
        <w:rPr>
          <w:b w:val="false"/>
          <w:bCs w:val="false"/>
          <w:color w:val="1A1A1A"/>
        </w:rPr>
        <w:t xml:space="preserve"> It is unavailable outright between a person 21 or older and a minor under 16, which in a hall housing 13 to 25 is a live pairing and not a hypothetical. The rule that follows: </w:t>
      </w:r>
      <w:r>
        <w:rPr>
          <w:b/>
          <w:bCs/>
          <w:color w:val="1A1A1A"/>
        </w:rPr>
        <w:t xml:space="preserve">the voluntary conduct exception is never applied at facility level.</w:t>
      </w:r>
      <w:r>
        <w:rPr>
          <w:b w:val="false"/>
          <w:bCs w:val="false"/>
          <w:color w:val="1A1A1A"/>
        </w:rPr>
        <w:t xml:space="preserve"> If anyone is going to rely on it, that is Internal Affairs and County Counsel after the fact, not the supervisor on shift.</w:t>
      </w:r>
    </w:p>
    <w:p>
      <w:pPr>
        <w:pStyle w:val="Heading2"/>
      </w:pPr>
      <w:r>
        <w:t xml:space="preserve">Where the two columns split on age</w:t>
      </w:r>
    </w:p>
    <w:p>
      <w:pPr>
        <w:spacing w:after="120" w:line="276"/>
      </w:pPr>
      <w:r>
        <w:rPr>
          <w:b w:val="false"/>
          <w:bCs w:val="false"/>
          <w:color w:val="1A1A1A"/>
        </w:rPr>
        <w:t xml:space="preserve">Touching is reportable under 11165.1(b)(4) because the person touched is a child, meaning anyone under 18. Where the resident touched is 17, the report follows from (b)(4) alone and the (a) exception has nothing to say about it. Run it the other way and the result reverses: where BOTH residents are 18 or over, CANRA does not apply at all, because there is no child. That is the one place in this guide where the CPS column turns to NO for conduct that would otherwise be a report, and it is not because the conduct is less serious. CANRA is a child abuse statute. The PREA duty, the criminal referral and the facility investigation are untouched by the ages of the parties. Open question for County Counsel: whether the department-wide Dependent Adult and Elder Abuse General Order reaches an adult resident, which would supply a reporting duty where CANRA does not. Do not assume either way.</w:t>
      </w:r>
    </w:p>
    <w:p>
      <w:pPr>
        <w:pStyle w:val="Heading2"/>
      </w:pPr>
      <w:r>
        <w:t xml:space="preserve">Worked example: repeated masturbation in view, both residents over 18</w:t>
      </w:r>
    </w:p>
    <w:p>
      <w:pPr>
        <w:spacing w:after="120" w:line="276"/>
      </w:pPr>
      <w:r>
        <w:rPr>
          <w:b w:val="false"/>
          <w:bCs w:val="false"/>
          <w:color w:val="1A1A1A"/>
        </w:rPr>
        <w:t xml:space="preserve">Run it through both tests and they come apart cleanly. </w:t>
      </w:r>
      <w:r>
        <w:rPr>
          <w:b/>
          <w:bCs/>
          <w:color w:val="1A1A1A"/>
        </w:rPr>
        <w:t xml:space="preserve">CANRA: no report.</w:t>
      </w:r>
      <w:r>
        <w:rPr>
          <w:b w:val="false"/>
          <w:bCs w:val="false"/>
          <w:color w:val="1A1A1A"/>
        </w:rPr>
        <w:t xml:space="preserve"> 11165.1(b)(5) requires the masturbation be in the presence of a child. Neither resident is a child, so the mandated reporting duty never arises, and repetition does not create one. The department has confirmed it does not treat these residents as dependent adults either, so there is no WIC 15630 route behind it. This is the case with no mandated external report of any kind. </w:t>
      </w:r>
      <w:r>
        <w:rPr>
          <w:b/>
          <w:bCs/>
          <w:color w:val="1A1A1A"/>
        </w:rPr>
        <w:t xml:space="preserve">PREA: yes, and the repetition is what does it.</w:t>
      </w:r>
      <w:r>
        <w:rPr>
          <w:b w:val="false"/>
          <w:bCs w:val="false"/>
          <w:color w:val="1A1A1A"/>
        </w:rPr>
        <w:t xml:space="preserve"> Masturbation in view of another resident is not one of the four resident-on-resident contact prongs, and there is no display or voyeurism prong between residents. But repeated and unwelcome actions of a derogatory or offensive sexual nature directed by one resident toward another are sexual harassment under 115.6, and "multiple times" is exactly the element tier 4 says is missing on a single occurrence. So this is a PREA sexual harassment incident, it is reportable under 115.361(a), and 115.371(a) requires it to be investigated. Protection duties under 115.362 and retaliation monitoring under 115.367 apply to the resident it was directed at, whatever his age. </w:t>
      </w:r>
      <w:r>
        <w:rPr>
          <w:b/>
          <w:bCs/>
          <w:color w:val="1A1A1A"/>
        </w:rPr>
        <w:t xml:space="preserve">Also live, and not for the floor to decide:</w:t>
      </w:r>
      <w:r>
        <w:rPr>
          <w:b w:val="false"/>
          <w:bCs w:val="false"/>
          <w:color w:val="1A1A1A"/>
        </w:rPr>
        <w:t xml:space="preserve"> a Penal Code 314 referral, which is age-neutral and is a law enforcement and District Attorney question; discipline under OO 1390/1391 II.B.4, which lists sexual misconduct and does not define it, so write down exactly what the conduct was; and the open counsel question on whether the Dependent Adult and Elder Abuse General Order reaches an adult resident. </w:t>
      </w:r>
      <w:r>
        <w:rPr>
          <w:b/>
          <w:bCs/>
          <w:color w:val="1A1A1A"/>
        </w:rPr>
        <w:t xml:space="preserve">One state-side point to raise rather than resolve:</w:t>
      </w:r>
      <w:r>
        <w:rPr>
          <w:b w:val="false"/>
          <w:bCs w:val="false"/>
          <w:color w:val="1A1A1A"/>
        </w:rPr>
        <w:t xml:space="preserve"> Title 15 defines sexual abuse to include voyeurism by one or more persons upon another who does not consent, which is broader than the federal definition, but voyeurism describes the watcher and not the person exposing himself. Whether the state definition reaches exhibitionist conduct between residents is not answered on the face of the text and should go to County Counsel. Register row 85.</w:t>
      </w:r>
    </w:p>
    <w:p>
      <w:pPr>
        <w:pStyle w:val="Heading2"/>
      </w:pPr>
      <w:r>
        <w:t xml:space="preserve">What does not change, and the one state rule that widens</w:t>
      </w:r>
    </w:p>
    <w:p>
      <w:pPr>
        <w:spacing w:after="120" w:line="276"/>
      </w:pPr>
      <w:r>
        <w:rPr>
          <w:b w:val="false"/>
          <w:bCs w:val="false"/>
          <w:color w:val="1A1A1A"/>
        </w:rPr>
        <w:t xml:space="preserve">Run the tier chart on the conduct, not on the ages. Tiers 1 through 4 do not become sexual abuse because one of the residents is 22: there is still no attempt, threat, request, display or voyeurism prong between residents, and the sexual harassment prong still requires repetition. What the age difference changes is tiers 5 and 6, where the non-consent element that otherwise has to be established is supplied by operation of law. One addition on the state side: Title 15 defines sexual abuse to include activity the person is coerced into </w:t>
      </w:r>
      <w:r>
        <w:rPr>
          <w:b/>
          <w:bCs/>
          <w:color w:val="1A1A1A"/>
        </w:rPr>
        <w:t xml:space="preserve">by manipulation</w:t>
      </w:r>
      <w:r>
        <w:rPr>
          <w:b w:val="false"/>
          <w:bCs w:val="false"/>
          <w:color w:val="1A1A1A"/>
        </w:rPr>
        <w:t xml:space="preserve">, where the federal definition requires overt or implied threats of violence. Manipulation of a younger resident by an older one is the characteristic mixed-age fact pattern, so an incident can fail the federal coercion test and still be sexual abuse under the standard the BSCC inspects against. Register row 85.</w:t>
      </w:r>
    </w:p>
    <w:p>
      <w:r>
        <w:br w:type="page"/>
      </w:r>
    </w:p>
    <w:p>
      <w:pPr>
        <w:pStyle w:val="Heading1"/>
      </w:pPr>
      <w:r>
        <w:t xml:space="preserve">What to do, in full</w:t>
      </w:r>
    </w:p>
    <w:p>
      <w:pPr>
        <w:spacing w:after="120" w:line="276"/>
      </w:pPr>
      <w:r>
        <w:rPr>
          <w:color w:val="1A1A1A"/>
        </w:rPr>
        <w:t xml:space="preserve">The classification card carries one line per block. These are the blocks in full. They are cumulative: each one adds to the one above it.</w:t>
      </w:r>
    </w:p>
    <w:p>
      <w:pPr>
        <w:pStyle w:val="Heading2"/>
      </w:pPr>
      <w:r>
        <w:t xml:space="preserve">Every tier, including tier 1</w:t>
      </w:r>
    </w:p>
    <w:p>
      <w:pPr>
        <w:pStyle w:val="ListParagraph"/>
        <w:numPr>
          <w:ilvl w:val="0"/>
          <w:numId w:val="1"/>
        </w:numPr>
        <w:spacing w:after="80" w:line="264"/>
      </w:pPr>
      <w:r>
        <w:rPr>
          <w:b w:val="false"/>
          <w:bCs w:val="false"/>
          <w:color w:val="1A1A1A"/>
        </w:rPr>
        <w:t xml:space="preserve">Separate the youth. Check the target is safe.</w:t>
      </w:r>
    </w:p>
    <w:p>
      <w:pPr>
        <w:pStyle w:val="ListParagraph"/>
        <w:numPr>
          <w:ilvl w:val="0"/>
          <w:numId w:val="1"/>
        </w:numPr>
        <w:spacing w:after="80" w:line="264"/>
      </w:pPr>
      <w:r>
        <w:rPr>
          <w:b w:val="false"/>
          <w:bCs w:val="false"/>
          <w:color w:val="1A1A1A"/>
        </w:rPr>
        <w:t xml:space="preserve">Staff tells the Duty Supervisor immediately.</w:t>
      </w:r>
    </w:p>
    <w:p>
      <w:pPr>
        <w:pStyle w:val="ListParagraph"/>
        <w:numPr>
          <w:ilvl w:val="0"/>
          <w:numId w:val="1"/>
        </w:numPr>
        <w:spacing w:after="80" w:line="264"/>
      </w:pPr>
      <w:r>
        <w:rPr>
          <w:b w:val="false"/>
          <w:bCs w:val="false"/>
          <w:color w:val="1A1A1A"/>
        </w:rPr>
        <w:t xml:space="preserve">Incident report naming both youth, </w:t>
      </w:r>
      <w:r>
        <w:rPr>
          <w:b/>
          <w:bCs/>
          <w:color w:val="1A1A1A"/>
        </w:rPr>
        <w:t xml:space="preserve">the words used verbatim</w:t>
      </w:r>
      <w:r>
        <w:rPr>
          <w:b w:val="false"/>
          <w:bCs w:val="false"/>
          <w:color w:val="1A1A1A"/>
        </w:rPr>
        <w:t xml:space="preserve"> and the target's response verbatim.</w:t>
      </w:r>
    </w:p>
    <w:p>
      <w:pPr>
        <w:pStyle w:val="ListParagraph"/>
        <w:numPr>
          <w:ilvl w:val="0"/>
          <w:numId w:val="1"/>
        </w:numPr>
        <w:spacing w:after="80" w:line="264"/>
      </w:pPr>
      <w:r>
        <w:rPr>
          <w:b w:val="false"/>
          <w:bCs w:val="false"/>
          <w:color w:val="1A1A1A"/>
        </w:rPr>
        <w:t xml:space="preserve">Record your classification and the reason, including a decision not to make a CPS report.</w:t>
      </w:r>
    </w:p>
    <w:p>
      <w:pPr>
        <w:pStyle w:val="ListParagraph"/>
        <w:numPr>
          <w:ilvl w:val="0"/>
          <w:numId w:val="1"/>
        </w:numPr>
        <w:spacing w:after="80" w:line="264"/>
      </w:pPr>
      <w:r>
        <w:rPr>
          <w:b w:val="false"/>
          <w:bCs w:val="false"/>
          <w:color w:val="1A1A1A"/>
        </w:rPr>
        <w:t xml:space="preserve">Treat it as classification information on both youth, and check the target's history for a repeat.</w:t>
      </w:r>
    </w:p>
    <w:p>
      <w:pPr>
        <w:pStyle w:val="Heading2"/>
      </w:pPr>
      <w:r>
        <w:t xml:space="preserve">Add at tier 2 and above</w:t>
      </w:r>
    </w:p>
    <w:p>
      <w:pPr>
        <w:pStyle w:val="ListParagraph"/>
        <w:numPr>
          <w:ilvl w:val="0"/>
          <w:numId w:val="1"/>
        </w:numPr>
        <w:spacing w:after="80" w:line="264"/>
      </w:pPr>
      <w:r>
        <w:rPr>
          <w:b w:val="false"/>
          <w:bCs w:val="false"/>
          <w:color w:val="1A1A1A"/>
        </w:rPr>
        <w:t xml:space="preserve">Log it as a PREA incident.</w:t>
      </w:r>
    </w:p>
    <w:p>
      <w:pPr>
        <w:pStyle w:val="ListParagraph"/>
        <w:numPr>
          <w:ilvl w:val="0"/>
          <w:numId w:val="1"/>
        </w:numPr>
        <w:spacing w:after="80" w:line="264"/>
      </w:pPr>
      <w:r>
        <w:rPr>
          <w:b w:val="false"/>
          <w:bCs w:val="false"/>
          <w:color w:val="1A1A1A"/>
        </w:rPr>
        <w:t xml:space="preserve">Decide whether the target is at substantial risk of imminent sexual abuse. If yes, act to protect now, separately from any investigation.</w:t>
      </w:r>
    </w:p>
    <w:p>
      <w:pPr>
        <w:pStyle w:val="ListParagraph"/>
        <w:numPr>
          <w:ilvl w:val="0"/>
          <w:numId w:val="1"/>
        </w:numPr>
        <w:spacing w:after="80" w:line="264"/>
      </w:pPr>
      <w:r>
        <w:rPr>
          <w:b w:val="false"/>
          <w:bCs w:val="false"/>
          <w:color w:val="1A1A1A"/>
        </w:rPr>
        <w:t xml:space="preserve">Reassess classification and housing for both youth.</w:t>
      </w:r>
    </w:p>
    <w:p>
      <w:pPr>
        <w:pStyle w:val="ListParagraph"/>
        <w:numPr>
          <w:ilvl w:val="0"/>
          <w:numId w:val="1"/>
        </w:numPr>
        <w:spacing w:after="80" w:line="264"/>
      </w:pPr>
      <w:r>
        <w:rPr>
          <w:b w:val="false"/>
          <w:bCs w:val="false"/>
          <w:color w:val="1A1A1A"/>
        </w:rPr>
        <w:t xml:space="preserve">If anyone reported it, start retaliation monitoring: at least 90 days, with checks.</w:t>
      </w:r>
    </w:p>
    <w:p>
      <w:pPr>
        <w:pStyle w:val="Heading2"/>
      </w:pPr>
      <w:r>
        <w:t xml:space="preserve">Add at tier 4, where a CPS report is due</w:t>
      </w:r>
    </w:p>
    <w:p>
      <w:pPr>
        <w:pStyle w:val="ListParagraph"/>
        <w:numPr>
          <w:ilvl w:val="0"/>
          <w:numId w:val="1"/>
        </w:numPr>
        <w:spacing w:after="80" w:line="264"/>
      </w:pPr>
      <w:r>
        <w:rPr>
          <w:b w:val="false"/>
          <w:bCs w:val="false"/>
          <w:color w:val="1A1A1A"/>
        </w:rPr>
        <w:t xml:space="preserve"/>
      </w:r>
      <w:r>
        <w:rPr>
          <w:b/>
          <w:bCs/>
          <w:color w:val="1A1A1A"/>
        </w:rPr>
        <w:t xml:space="preserve">Telephone the mandated report immediately</w:t>
      </w:r>
      <w:r>
        <w:rPr>
          <w:b w:val="false"/>
          <w:bCs w:val="false"/>
          <w:color w:val="1A1A1A"/>
        </w:rPr>
        <w:t xml:space="preserve">, or as soon as practicably possible. Written report on form SS 8572 within 36 hours.</w:t>
      </w:r>
    </w:p>
    <w:p>
      <w:pPr>
        <w:pStyle w:val="ListParagraph"/>
        <w:numPr>
          <w:ilvl w:val="0"/>
          <w:numId w:val="1"/>
        </w:numPr>
        <w:spacing w:after="80" w:line="264"/>
      </w:pPr>
      <w:r>
        <w:rPr>
          <w:b w:val="false"/>
          <w:bCs w:val="false"/>
          <w:color w:val="1A1A1A"/>
        </w:rPr>
        <w:t xml:space="preserve">Do not wait for the investigation, the end of shift, or anyone's approval.</w:t>
      </w:r>
    </w:p>
    <w:p>
      <w:pPr>
        <w:pStyle w:val="ListParagraph"/>
        <w:numPr>
          <w:ilvl w:val="0"/>
          <w:numId w:val="1"/>
        </w:numPr>
        <w:spacing w:after="80" w:line="264"/>
      </w:pPr>
      <w:r>
        <w:rPr>
          <w:b w:val="false"/>
          <w:bCs w:val="false"/>
          <w:color w:val="1A1A1A"/>
        </w:rPr>
        <w:t xml:space="preserve">The duty belongs to the employee who formed the suspicion. Telling you does not discharge it, and no supervisor may impede it.</w:t>
      </w:r>
    </w:p>
    <w:p>
      <w:pPr>
        <w:pStyle w:val="Heading2"/>
      </w:pPr>
      <w:r>
        <w:t xml:space="preserve">Add at tiers 5 and 6</w:t>
      </w:r>
    </w:p>
    <w:p>
      <w:pPr>
        <w:pStyle w:val="ListParagraph"/>
        <w:numPr>
          <w:ilvl w:val="0"/>
          <w:numId w:val="1"/>
        </w:numPr>
        <w:spacing w:after="80" w:line="264"/>
      </w:pPr>
      <w:r>
        <w:rPr>
          <w:b w:val="false"/>
          <w:bCs w:val="false"/>
          <w:color w:val="1A1A1A"/>
        </w:rPr>
        <w:t xml:space="preserve">Treat it as a sexual abuse allegation from the first moment.</w:t>
      </w:r>
    </w:p>
    <w:p>
      <w:pPr>
        <w:pStyle w:val="ListParagraph"/>
        <w:numPr>
          <w:ilvl w:val="0"/>
          <w:numId w:val="1"/>
        </w:numPr>
        <w:spacing w:after="80" w:line="264"/>
      </w:pPr>
      <w:r>
        <w:rPr>
          <w:b w:val="false"/>
          <w:bCs w:val="false"/>
          <w:color w:val="1A1A1A"/>
        </w:rPr>
        <w:t xml:space="preserve"/>
      </w:r>
      <w:r>
        <w:rPr>
          <w:b/>
          <w:bCs/>
          <w:color w:val="1A1A1A"/>
        </w:rPr>
        <w:t xml:space="preserve">Preserve evidence.</w:t>
      </w:r>
      <w:r>
        <w:rPr>
          <w:b w:val="false"/>
          <w:bCs w:val="false"/>
          <w:color w:val="1A1A1A"/>
        </w:rPr>
        <w:t xml:space="preserve"> No showering, changing or cleaning up. Secure the area.</w:t>
      </w:r>
    </w:p>
    <w:p>
      <w:pPr>
        <w:pStyle w:val="ListParagraph"/>
        <w:numPr>
          <w:ilvl w:val="0"/>
          <w:numId w:val="1"/>
        </w:numPr>
        <w:spacing w:after="80" w:line="264"/>
      </w:pPr>
      <w:r>
        <w:rPr>
          <w:b w:val="false"/>
          <w:bCs w:val="false"/>
          <w:color w:val="1A1A1A"/>
        </w:rPr>
        <w:t xml:space="preserve">Refer for investigation. Every allegation gets one. There is no discretion to decide one is unnecessary.</w:t>
      </w:r>
    </w:p>
    <w:p>
      <w:pPr>
        <w:pStyle w:val="ListParagraph"/>
        <w:numPr>
          <w:ilvl w:val="0"/>
          <w:numId w:val="1"/>
        </w:numPr>
        <w:spacing w:after="80" w:line="264"/>
      </w:pPr>
      <w:r>
        <w:rPr>
          <w:b w:val="false"/>
          <w:bCs w:val="false"/>
          <w:color w:val="1A1A1A"/>
        </w:rPr>
        <w:t xml:space="preserve">Tier 6 adds: law enforcement notification, forensic exam off site, and notice to the parent or guardian and counsel.</w:t>
      </w:r>
    </w:p>
    <w:p>
      <w:r>
        <w:br w:type="page"/>
      </w:r>
    </w:p>
    <w:p>
      <w:pPr>
        <w:pStyle w:val="Heading1"/>
      </w:pPr>
      <w:r>
        <w:t xml:space="preserve">The response sequence</w:t>
      </w:r>
    </w:p>
    <w:p>
      <w:pPr>
        <w:spacing w:after="120" w:line="276"/>
      </w:pPr>
      <w:r>
        <w:rPr>
          <w:color w:val="1A1A1A"/>
        </w:rPr>
        <w:t xml:space="preserve">Classifying it is the start, not the end. This is the sequence OO 1453 and the PREA Policy set out, in order. Provenance: OO 1453 was produced and read in full on 10/29, and every section number below is quoted from the order itself. Note the scope limiter the order carries throughout: every operative duty in it is keyed to "sexual assault", so on its face it does not reach harassment, exposure, or touching not characterised as assault.</w:t>
      </w:r>
    </w:p>
    <w:p>
      <w:pPr>
        <w:spacing w:after="180" w:line="264"/>
      </w:pPr>
      <w:r>
        <w:rPr>
          <w:i/>
          <w:iCs/>
          <w:color w:val="5A5A5A"/>
          <w:sz w:val="24"/>
          <w:szCs w:val="24"/>
        </w:rPr>
        <w:t xml:space="preserve">Supervisors who need only the classification decision work from the PREA Incident Classification Card. This section is the detail behind step 5 of that card, and it is where the detail belongs: it is read once, in advance, not at the door of a unit.</w:t>
      </w:r>
    </w:p>
    <w:p>
      <w:pPr>
        <w:pStyle w:val="Heading2"/>
      </w:pPr>
      <w:r>
        <w:t xml:space="preserve">1. First response, immediately</w:t>
      </w:r>
    </w:p>
    <w:p>
      <w:pPr>
        <w:spacing w:after="90"/>
      </w:pPr>
      <w:r>
        <w:rPr>
          <w:i/>
          <w:iCs/>
          <w:color w:val="5A5A5A"/>
          <w:sz w:val="24"/>
          <w:szCs w:val="24"/>
        </w:rPr>
        <w:t xml:space="preserve">OO 1453 I.A.1, I.A.3 to I.A.5</w:t>
      </w:r>
    </w:p>
    <w:p>
      <w:pPr>
        <w:pStyle w:val="ListParagraph"/>
        <w:numPr>
          <w:ilvl w:val="0"/>
          <w:numId w:val="1"/>
        </w:numPr>
        <w:spacing w:after="80" w:line="264"/>
      </w:pPr>
      <w:r>
        <w:rPr>
          <w:b w:val="false"/>
          <w:bCs w:val="false"/>
          <w:color w:val="1A1A1A"/>
        </w:rPr>
        <w:t xml:space="preserve">Separate victim and suspect. </w:t>
      </w:r>
      <w:r>
        <w:rPr>
          <w:b/>
          <w:bCs/>
          <w:color w:val="1A1A1A"/>
        </w:rPr>
        <w:t xml:space="preserve">No contact between them.</w:t>
      </w:r>
      <w:r>
        <w:rPr>
          <w:b w:val="false"/>
          <w:bCs w:val="false"/>
          <w:color w:val="1A1A1A"/>
        </w:rPr>
        <w:t xml:space="preserve"/>
      </w:r>
    </w:p>
    <w:p>
      <w:pPr>
        <w:pStyle w:val="ListParagraph"/>
        <w:numPr>
          <w:ilvl w:val="0"/>
          <w:numId w:val="1"/>
        </w:numPr>
        <w:spacing w:after="80" w:line="264"/>
      </w:pPr>
      <w:r>
        <w:rPr>
          <w:b w:val="false"/>
          <w:bCs w:val="false"/>
          <w:color w:val="1A1A1A"/>
        </w:rPr>
        <w:t xml:space="preserve">Protect the crime scene: the youth's room, the shower area, the laundry room. Seal it off and deny access to other staff and youth.</w:t>
      </w:r>
    </w:p>
    <w:p>
      <w:pPr>
        <w:pStyle w:val="ListParagraph"/>
        <w:numPr>
          <w:ilvl w:val="0"/>
          <w:numId w:val="1"/>
        </w:numPr>
        <w:spacing w:after="80" w:line="264"/>
      </w:pPr>
      <w:r>
        <w:rPr>
          <w:b w:val="false"/>
          <w:bCs w:val="false"/>
          <w:color w:val="1A1A1A"/>
        </w:rPr>
        <w:t xml:space="preserve"/>
      </w:r>
      <w:r>
        <w:rPr>
          <w:b/>
          <w:bCs/>
          <w:color w:val="1A1A1A"/>
        </w:rPr>
        <w:t xml:space="preserve">Neither youth showers, changes or cleans up.</w:t>
      </w:r>
      <w:r>
        <w:rPr>
          <w:b w:val="false"/>
          <w:bCs w:val="false"/>
          <w:color w:val="1A1A1A"/>
        </w:rPr>
        <w:t xml:space="preserve"/>
      </w:r>
    </w:p>
    <w:p>
      <w:pPr>
        <w:pStyle w:val="ListParagraph"/>
        <w:numPr>
          <w:ilvl w:val="0"/>
          <w:numId w:val="1"/>
        </w:numPr>
        <w:spacing w:after="80" w:line="264"/>
      </w:pPr>
      <w:r>
        <w:rPr>
          <w:b w:val="false"/>
          <w:bCs w:val="false"/>
          <w:color w:val="1A1A1A"/>
        </w:rPr>
        <w:t xml:space="preserve">Keep both out of the bathroom where you can. If one is used, collect the toilet tissue as evidence.</w:t>
      </w:r>
    </w:p>
    <w:p>
      <w:pPr>
        <w:pStyle w:val="Heading2"/>
      </w:pPr>
      <w:r>
        <w:t xml:space="preserve">2. Initial statement, and the trap in it</w:t>
      </w:r>
    </w:p>
    <w:p>
      <w:pPr>
        <w:spacing w:after="90"/>
      </w:pPr>
      <w:r>
        <w:rPr>
          <w:i/>
          <w:iCs/>
          <w:color w:val="5A5A5A"/>
          <w:sz w:val="24"/>
          <w:szCs w:val="24"/>
        </w:rPr>
        <w:t xml:space="preserve">OO 1453 I.A.6; WIC 625.6</w:t>
      </w:r>
    </w:p>
    <w:p>
      <w:pPr>
        <w:pStyle w:val="ListParagraph"/>
        <w:numPr>
          <w:ilvl w:val="0"/>
          <w:numId w:val="1"/>
        </w:numPr>
        <w:spacing w:after="80" w:line="264"/>
      </w:pPr>
      <w:r>
        <w:rPr>
          <w:b w:val="false"/>
          <w:bCs w:val="false"/>
          <w:color w:val="1A1A1A"/>
        </w:rPr>
        <w:t xml:space="preserve"/>
      </w:r>
      <w:r>
        <w:rPr>
          <w:b/>
          <w:bCs/>
          <w:color w:val="1A1A1A"/>
        </w:rPr>
        <w:t xml:space="preserve">I.A.6: "The duty supervisor shall take an initial statement from the victim and suspect."</w:t>
      </w:r>
      <w:r>
        <w:rPr>
          <w:b w:val="false"/>
          <w:bCs w:val="false"/>
          <w:color w:val="1A1A1A"/>
        </w:rPr>
        <w:t xml:space="preserve"> This is directed, not optional, and it is yours.</w:t>
      </w:r>
    </w:p>
    <w:p>
      <w:pPr>
        <w:pStyle w:val="ListParagraph"/>
        <w:numPr>
          <w:ilvl w:val="0"/>
          <w:numId w:val="1"/>
        </w:numPr>
        <w:spacing w:after="80" w:line="264"/>
      </w:pPr>
      <w:r>
        <w:rPr>
          <w:b w:val="false"/>
          <w:bCs w:val="false"/>
          <w:color w:val="1A1A1A"/>
        </w:rPr>
        <w:t xml:space="preserve"/>
      </w:r>
      <w:r>
        <w:rPr>
          <w:b/>
          <w:bCs/>
          <w:color w:val="1A1A1A"/>
        </w:rPr>
        <w:t xml:space="preserve">I.A.6 also says all suspects "shall be read a Miranda Warning, prior to any questioning."</w:t>
      </w:r>
      <w:r>
        <w:rPr>
          <w:b w:val="false"/>
          <w:bCs w:val="false"/>
          <w:color w:val="1A1A1A"/>
        </w:rPr>
        <w:t xml:space="preserve"/>
      </w:r>
    </w:p>
    <w:p>
      <w:pPr>
        <w:pStyle w:val="ListParagraph"/>
        <w:numPr>
          <w:ilvl w:val="0"/>
          <w:numId w:val="1"/>
        </w:numPr>
        <w:spacing w:after="80" w:line="264"/>
      </w:pPr>
      <w:r>
        <w:rPr>
          <w:b w:val="false"/>
          <w:bCs w:val="false"/>
          <w:color w:val="1A1A1A"/>
        </w:rPr>
        <w:t xml:space="preserve"/>
      </w:r>
      <w:r>
        <w:rPr>
          <w:b/>
          <w:bCs/>
          <w:color w:val="1A1A1A"/>
        </w:rPr>
        <w:t xml:space="preserve">STOP THERE IF THE SUSPECT IS 17 OR UNDER.</w:t>
      </w:r>
      <w:r>
        <w:rPr>
          <w:b w:val="false"/>
          <w:bCs w:val="false"/>
          <w:color w:val="1A1A1A"/>
        </w:rPr>
        <w:t xml:space="preserve"> WIC 625.6 requires that youth to consult legal counsel, in person, by telephone or by video, BEFORE any custodial interrogation and BEFORE waiving Miranda. </w:t>
      </w:r>
      <w:r>
        <w:rPr>
          <w:b/>
          <w:bCs/>
          <w:color w:val="1A1A1A"/>
        </w:rPr>
        <w:t xml:space="preserve">The consultation cannot be waived.</w:t>
      </w:r>
      <w:r>
        <w:rPr>
          <w:b w:val="false"/>
          <w:bCs w:val="false"/>
          <w:color w:val="1A1A1A"/>
        </w:rPr>
        <w:t xml:space="preserve"> The order predates that statute by more than a year and does not mention it. Get the consultation, then question, and write down that you did.</w:t>
      </w:r>
    </w:p>
    <w:p>
      <w:pPr>
        <w:pStyle w:val="ListParagraph"/>
        <w:numPr>
          <w:ilvl w:val="0"/>
          <w:numId w:val="1"/>
        </w:numPr>
        <w:spacing w:after="80" w:line="264"/>
      </w:pPr>
      <w:r>
        <w:rPr>
          <w:b w:val="false"/>
          <w:bCs w:val="false"/>
          <w:color w:val="1A1A1A"/>
        </w:rPr>
        <w:t xml:space="preserve">Note what this does not cover: canvassing other residents to test whether the allegation is true. The order does not direct that, and it is what belongs to a trained investigator.</w:t>
      </w:r>
    </w:p>
    <w:p>
      <w:pPr>
        <w:pStyle w:val="Heading2"/>
      </w:pPr>
      <w:r>
        <w:t xml:space="preserve">3. Notify, immediately</w:t>
      </w:r>
    </w:p>
    <w:p>
      <w:pPr>
        <w:spacing w:after="90"/>
      </w:pPr>
      <w:r>
        <w:rPr>
          <w:i/>
          <w:iCs/>
          <w:color w:val="5A5A5A"/>
          <w:sz w:val="24"/>
          <w:szCs w:val="24"/>
        </w:rPr>
        <w:t xml:space="preserve">OO 1453 I.A.8 to I.A.10; PC 11166(a)</w:t>
      </w:r>
    </w:p>
    <w:p>
      <w:pPr>
        <w:pStyle w:val="ListParagraph"/>
        <w:numPr>
          <w:ilvl w:val="0"/>
          <w:numId w:val="1"/>
        </w:numPr>
        <w:spacing w:after="80" w:line="264"/>
      </w:pPr>
      <w:r>
        <w:rPr>
          <w:b w:val="false"/>
          <w:bCs w:val="false"/>
          <w:color w:val="1A1A1A"/>
        </w:rPr>
        <w:t xml:space="preserve"/>
      </w:r>
      <w:r>
        <w:rPr>
          <w:b/>
          <w:bCs/>
          <w:color w:val="1A1A1A"/>
        </w:rPr>
        <w:t xml:space="preserve">Duty Supervisor notifies the Sheriff's Department immediately</w:t>
      </w:r>
      <w:r>
        <w:rPr>
          <w:b w:val="false"/>
          <w:bCs w:val="false"/>
          <w:color w:val="1A1A1A"/>
        </w:rPr>
        <w:t xml:space="preserve"> once it is believed a sexual assault occurred.</w:t>
      </w:r>
    </w:p>
    <w:p>
      <w:pPr>
        <w:pStyle w:val="ListParagraph"/>
        <w:numPr>
          <w:ilvl w:val="0"/>
          <w:numId w:val="1"/>
        </w:numPr>
        <w:spacing w:after="80" w:line="264"/>
      </w:pPr>
      <w:r>
        <w:rPr>
          <w:b w:val="false"/>
          <w:bCs w:val="false"/>
          <w:color w:val="1A1A1A"/>
        </w:rPr>
        <w:t xml:space="preserve"/>
      </w:r>
      <w:r>
        <w:rPr>
          <w:b/>
          <w:bCs/>
          <w:color w:val="1A1A1A"/>
        </w:rPr>
        <w:t xml:space="preserve">CPS by telephone immediately</w:t>
      </w:r>
      <w:r>
        <w:rPr>
          <w:b w:val="false"/>
          <w:bCs w:val="false"/>
          <w:color w:val="1A1A1A"/>
        </w:rPr>
        <w:t xml:space="preserve">, where the age chart says a report is due. Written report on SS 8572 within 36 hours. Note: PREA Policy V.A.4 and OO 1453 I.A.9 both say 24 hours. </w:t>
      </w:r>
      <w:r>
        <w:rPr>
          <w:b/>
          <w:bCs/>
          <w:color w:val="1A1A1A"/>
        </w:rPr>
        <w:t xml:space="preserve">That is wrong and the law controls.</w:t>
      </w:r>
      <w:r>
        <w:rPr>
          <w:b w:val="false"/>
          <w:bCs w:val="false"/>
          <w:color w:val="1A1A1A"/>
        </w:rPr>
        <w:t xml:space="preserve"/>
      </w:r>
    </w:p>
    <w:p>
      <w:pPr>
        <w:pStyle w:val="ListParagraph"/>
        <w:numPr>
          <w:ilvl w:val="0"/>
          <w:numId w:val="1"/>
        </w:numPr>
        <w:spacing w:after="80" w:line="264"/>
      </w:pPr>
      <w:r>
        <w:rPr>
          <w:b w:val="false"/>
          <w:bCs w:val="false"/>
          <w:color w:val="1A1A1A"/>
        </w:rPr>
        <w:t xml:space="preserve">The reporting or investigating officer briefs the responding Sheriff's officers and provides an interview room.</w:t>
      </w:r>
    </w:p>
    <w:p>
      <w:pPr>
        <w:pStyle w:val="Heading2"/>
      </w:pPr>
      <w:r>
        <w:t xml:space="preserve">4. Evidence, if the Sheriff cannot respond at once</w:t>
      </w:r>
    </w:p>
    <w:p>
      <w:pPr>
        <w:spacing w:after="90"/>
      </w:pPr>
      <w:r>
        <w:rPr>
          <w:i/>
          <w:iCs/>
          <w:color w:val="5A5A5A"/>
          <w:sz w:val="24"/>
          <w:szCs w:val="24"/>
        </w:rPr>
        <w:t xml:space="preserve">OO 1453 I.A.11</w:t>
      </w:r>
    </w:p>
    <w:p>
      <w:pPr>
        <w:pStyle w:val="ListParagraph"/>
        <w:numPr>
          <w:ilvl w:val="0"/>
          <w:numId w:val="1"/>
        </w:numPr>
        <w:spacing w:after="80" w:line="264"/>
      </w:pPr>
      <w:r>
        <w:rPr>
          <w:b w:val="false"/>
          <w:bCs w:val="false"/>
          <w:color w:val="1A1A1A"/>
        </w:rPr>
        <w:t xml:space="preserve">Duty Supervisor photographs the scene, gloves up, collects and marks each item with date, time, location, ownership and description.</w:t>
      </w:r>
    </w:p>
    <w:p>
      <w:pPr>
        <w:pStyle w:val="ListParagraph"/>
        <w:numPr>
          <w:ilvl w:val="0"/>
          <w:numId w:val="1"/>
        </w:numPr>
        <w:spacing w:after="80" w:line="264"/>
      </w:pPr>
      <w:r>
        <w:rPr>
          <w:b w:val="false"/>
          <w:bCs w:val="false"/>
          <w:color w:val="1A1A1A"/>
        </w:rPr>
        <w:t xml:space="preserve">Seal it, log it, place it in the evidence locker at Intake and Booking.</w:t>
      </w:r>
    </w:p>
    <w:p>
      <w:pPr>
        <w:pStyle w:val="Heading2"/>
      </w:pPr>
      <w:r>
        <w:t xml:space="preserve">5. Medical and advocate</w:t>
      </w:r>
    </w:p>
    <w:p>
      <w:pPr>
        <w:spacing w:after="90"/>
      </w:pPr>
      <w:r>
        <w:rPr>
          <w:i/>
          <w:iCs/>
          <w:color w:val="5A5A5A"/>
          <w:sz w:val="24"/>
          <w:szCs w:val="24"/>
        </w:rPr>
        <w:t xml:space="preserve">OO 1453 I.A.13; PREA Policy VIII.A and XV.A; PC 264.2, PC 679.04</w:t>
      </w:r>
    </w:p>
    <w:p>
      <w:pPr>
        <w:pStyle w:val="ListParagraph"/>
        <w:numPr>
          <w:ilvl w:val="0"/>
          <w:numId w:val="1"/>
        </w:numPr>
        <w:spacing w:after="80" w:line="264"/>
      </w:pPr>
      <w:r>
        <w:rPr>
          <w:b w:val="false"/>
          <w:bCs w:val="false"/>
          <w:color w:val="1A1A1A"/>
        </w:rPr>
        <w:t xml:space="preserve"/>
      </w:r>
      <w:r>
        <w:rPr>
          <w:b/>
          <w:bCs/>
          <w:color w:val="1A1A1A"/>
        </w:rPr>
        <w:t xml:space="preserve">Evidentiary examination happens off site</w:t>
      </w:r>
      <w:r>
        <w:rPr>
          <w:b w:val="false"/>
          <w:bCs w:val="false"/>
          <w:color w:val="1A1A1A"/>
        </w:rPr>
        <w:t xml:space="preserve">, at a health facility separate from the custodial facility.</w:t>
      </w:r>
    </w:p>
    <w:p>
      <w:pPr>
        <w:pStyle w:val="ListParagraph"/>
        <w:numPr>
          <w:ilvl w:val="0"/>
          <w:numId w:val="1"/>
        </w:numPr>
        <w:spacing w:after="80" w:line="264"/>
      </w:pPr>
      <w:r>
        <w:rPr>
          <w:b w:val="false"/>
          <w:bCs w:val="false"/>
          <w:color w:val="1A1A1A"/>
        </w:rPr>
        <w:t xml:space="preserve">Victim advocate, in most cases from a local Rape Crisis Center. The youth has a right to an advocate or support person during the medical examination and during investigatory interviews.</w:t>
      </w:r>
    </w:p>
    <w:p>
      <w:pPr>
        <w:pStyle w:val="ListParagraph"/>
        <w:numPr>
          <w:ilvl w:val="0"/>
          <w:numId w:val="1"/>
        </w:numPr>
        <w:spacing w:after="80" w:line="264"/>
      </w:pPr>
      <w:r>
        <w:rPr>
          <w:b w:val="false"/>
          <w:bCs w:val="false"/>
          <w:color w:val="1A1A1A"/>
        </w:rPr>
        <w:t xml:space="preserve">Crisis counseling.</w:t>
      </w:r>
    </w:p>
    <w:p>
      <w:pPr>
        <w:pStyle w:val="Heading2"/>
      </w:pPr>
      <w:r>
        <w:t xml:space="preserve">6. Investigation</w:t>
      </w:r>
    </w:p>
    <w:p>
      <w:pPr>
        <w:spacing w:after="90"/>
      </w:pPr>
      <w:r>
        <w:rPr>
          <w:i/>
          <w:iCs/>
          <w:color w:val="5A5A5A"/>
          <w:sz w:val="24"/>
          <w:szCs w:val="24"/>
        </w:rPr>
        <w:t xml:space="preserve">28 CFR 115.371(a); OO 1453 I.A.14</w:t>
      </w:r>
    </w:p>
    <w:p>
      <w:pPr>
        <w:pStyle w:val="ListParagraph"/>
        <w:numPr>
          <w:ilvl w:val="0"/>
          <w:numId w:val="1"/>
        </w:numPr>
        <w:spacing w:after="80" w:line="264"/>
      </w:pPr>
      <w:r>
        <w:rPr>
          <w:b w:val="false"/>
          <w:bCs w:val="false"/>
          <w:color w:val="1A1A1A"/>
        </w:rPr>
        <w:t xml:space="preserve"/>
      </w:r>
      <w:r>
        <w:rPr>
          <w:b/>
          <w:bCs/>
          <w:color w:val="1A1A1A"/>
        </w:rPr>
        <w:t xml:space="preserve">Every allegation gets an administrative or criminal investigation.</w:t>
      </w:r>
      <w:r>
        <w:rPr>
          <w:b w:val="false"/>
          <w:bCs w:val="false"/>
          <w:color w:val="1A1A1A"/>
        </w:rPr>
        <w:t xml:space="preserve"> There is no threshold of plausibility and no discretion to decide one is unnecessary.</w:t>
      </w:r>
    </w:p>
    <w:p>
      <w:pPr>
        <w:pStyle w:val="ListParagraph"/>
        <w:numPr>
          <w:ilvl w:val="0"/>
          <w:numId w:val="1"/>
        </w:numPr>
        <w:spacing w:after="80" w:line="264"/>
      </w:pPr>
      <w:r>
        <w:rPr>
          <w:b w:val="false"/>
          <w:bCs w:val="false"/>
          <w:color w:val="1A1A1A"/>
        </w:rPr>
        <w:t xml:space="preserve">Investigative reports route to the Supervising District Attorney and the Sheriff's Sexual Assaults Unit.</w:t>
      </w:r>
    </w:p>
    <w:p>
      <w:pPr>
        <w:pStyle w:val="Heading2"/>
      </w:pPr>
      <w:r>
        <w:t xml:space="preserve">7. Incident review, at the conclusion</w:t>
      </w:r>
    </w:p>
    <w:p>
      <w:pPr>
        <w:spacing w:after="90"/>
      </w:pPr>
      <w:r>
        <w:rPr>
          <w:i/>
          <w:iCs/>
          <w:color w:val="5A5A5A"/>
          <w:sz w:val="24"/>
          <w:szCs w:val="24"/>
        </w:rPr>
        <w:t xml:space="preserve">OO 1453 I.A.15; PREA Policy V.A.8; 28 CFR 115.386</w:t>
      </w:r>
    </w:p>
    <w:p>
      <w:pPr>
        <w:pStyle w:val="ListParagraph"/>
        <w:numPr>
          <w:ilvl w:val="0"/>
          <w:numId w:val="1"/>
        </w:numPr>
        <w:spacing w:after="80" w:line="264"/>
      </w:pPr>
      <w:r>
        <w:rPr>
          <w:b w:val="false"/>
          <w:bCs w:val="false"/>
          <w:color w:val="1A1A1A"/>
        </w:rPr>
        <w:t xml:space="preserve">Upper management conducts a review, with input from supervisors, investigators and medical or mental health staff.</w:t>
      </w:r>
    </w:p>
    <w:p>
      <w:pPr>
        <w:pStyle w:val="ListParagraph"/>
        <w:numPr>
          <w:ilvl w:val="0"/>
          <w:numId w:val="1"/>
        </w:numPr>
        <w:spacing w:after="80" w:line="264"/>
      </w:pPr>
      <w:r>
        <w:rPr>
          <w:b w:val="false"/>
          <w:bCs w:val="false"/>
          <w:color w:val="1A1A1A"/>
        </w:rPr>
        <w:t xml:space="preserve">A written report is generated and forwarded to the Department Chief.</w:t>
      </w:r>
    </w:p>
    <w:p>
      <w:pPr>
        <w:pStyle w:val="ListParagraph"/>
        <w:numPr>
          <w:ilvl w:val="0"/>
          <w:numId w:val="1"/>
        </w:numPr>
        <w:spacing w:after="80" w:line="264"/>
      </w:pPr>
      <w:r>
        <w:rPr>
          <w:b w:val="false"/>
          <w:bCs w:val="false"/>
          <w:color w:val="1A1A1A"/>
        </w:rPr>
        <w:t xml:space="preserve">The review is required for </w:t>
      </w:r>
      <w:r>
        <w:rPr>
          <w:b/>
          <w:bCs/>
          <w:color w:val="1A1A1A"/>
        </w:rPr>
        <w:t xml:space="preserve">unsubstantiated</w:t>
      </w:r>
      <w:r>
        <w:rPr>
          <w:b w:val="false"/>
          <w:bCs w:val="false"/>
          <w:color w:val="1A1A1A"/>
        </w:rPr>
        <w:t xml:space="preserve"> allegations too. Only an </w:t>
      </w:r>
      <w:r>
        <w:rPr>
          <w:b/>
          <w:bCs/>
          <w:color w:val="1A1A1A"/>
        </w:rPr>
        <w:t xml:space="preserve">unfounded</w:t>
      </w:r>
      <w:r>
        <w:rPr>
          <w:b w:val="false"/>
          <w:bCs w:val="false"/>
          <w:color w:val="1A1A1A"/>
        </w:rPr>
        <w:t xml:space="preserve"> finding switches it off.</w:t>
      </w:r>
    </w:p>
    <w:p>
      <w:pPr>
        <w:pStyle w:val="Heading2"/>
      </w:pPr>
      <w:r>
        <w:t xml:space="preserve">8. Ongoing, and the part most often missed</w:t>
      </w:r>
    </w:p>
    <w:p>
      <w:pPr>
        <w:spacing w:after="90"/>
      </w:pPr>
      <w:r>
        <w:rPr>
          <w:i/>
          <w:iCs/>
          <w:color w:val="5A5A5A"/>
          <w:sz w:val="24"/>
          <w:szCs w:val="24"/>
        </w:rPr>
        <w:t xml:space="preserve">28 CFR 115.362, 115.367; PREA Policy XVIII.B</w:t>
      </w:r>
    </w:p>
    <w:p>
      <w:pPr>
        <w:pStyle w:val="ListParagraph"/>
        <w:numPr>
          <w:ilvl w:val="0"/>
          <w:numId w:val="1"/>
        </w:numPr>
        <w:spacing w:after="80" w:line="264"/>
      </w:pPr>
      <w:r>
        <w:rPr>
          <w:b w:val="false"/>
          <w:bCs w:val="false"/>
          <w:color w:val="1A1A1A"/>
        </w:rPr>
        <w:t xml:space="preserve">Reassess classification and housing for both youth.</w:t>
      </w:r>
    </w:p>
    <w:p>
      <w:pPr>
        <w:pStyle w:val="ListParagraph"/>
        <w:numPr>
          <w:ilvl w:val="0"/>
          <w:numId w:val="1"/>
        </w:numPr>
        <w:spacing w:after="80" w:line="264"/>
      </w:pPr>
      <w:r>
        <w:rPr>
          <w:b w:val="false"/>
          <w:bCs w:val="false"/>
          <w:color w:val="1A1A1A"/>
        </w:rPr>
        <w:t xml:space="preserve"/>
      </w:r>
      <w:r>
        <w:rPr>
          <w:b/>
          <w:bCs/>
          <w:color w:val="1A1A1A"/>
        </w:rPr>
        <w:t xml:space="preserve">Retaliation monitoring for at least 90 days</w:t>
      </w:r>
      <w:r>
        <w:rPr>
          <w:b w:val="false"/>
          <w:bCs w:val="false"/>
          <w:color w:val="1A1A1A"/>
        </w:rPr>
        <w:t xml:space="preserve"> for anyone who reported or was the target, with periodic checks.</w:t>
      </w:r>
    </w:p>
    <w:p>
      <w:pPr>
        <w:pStyle w:val="ListParagraph"/>
        <w:numPr>
          <w:ilvl w:val="0"/>
          <w:numId w:val="1"/>
        </w:numPr>
        <w:spacing w:after="80" w:line="264"/>
      </w:pPr>
      <w:r>
        <w:rPr>
          <w:b w:val="false"/>
          <w:bCs w:val="false"/>
          <w:color w:val="1A1A1A"/>
        </w:rPr>
        <w:t xml:space="preserve">Records retained, and the incident enters the department's data.</w:t>
      </w:r>
    </w:p>
    <w:p>
      <w:pPr>
        <w:pStyle w:val="Heading2"/>
      </w:pPr>
      <w:r>
        <w:t xml:space="preserve">Four things current policy will not tell you</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pStyle w:val="ListParagraph"/>
              <w:numPr>
                <w:ilvl w:val="0"/>
                <w:numId w:val="1"/>
              </w:numPr>
              <w:spacing w:after="60" w:before="60" w:line="264"/>
            </w:pPr>
            <w:r>
              <w:rPr>
                <w:b w:val="false"/>
                <w:bCs w:val="false"/>
                <w:color w:val="1A1A1A"/>
              </w:rPr>
              <w:t xml:space="preserve"/>
            </w:r>
            <w:r>
              <w:rPr>
                <w:b/>
                <w:bCs/>
                <w:color w:val="1A1A1A"/>
              </w:rPr>
              <w:t xml:space="preserve">I.A.6 is a year and a half out of date and it can cost you the case.</w:t>
            </w:r>
            <w:r>
              <w:rPr>
                <w:b w:val="false"/>
                <w:bCs w:val="false"/>
                <w:color w:val="1A1A1A"/>
              </w:rPr>
              <w:t xml:space="preserve"> It directs a Miranda warning before questioning a suspect and says nothing about the WIC 625.6 counsel consultation, which has been mandatory and unwaivable for youth 17 and under since 01/01/2021. The order was last revised 12/09/2019. Courts weigh noncompliance on admissibility, and weigh a willful violation against the officer's credibility.</w:t>
            </w:r>
          </w:p>
          <w:p>
            <w:pPr>
              <w:pStyle w:val="ListParagraph"/>
              <w:numPr>
                <w:ilvl w:val="0"/>
                <w:numId w:val="1"/>
              </w:numPr>
              <w:spacing w:after="60" w:before="40" w:line="264"/>
            </w:pPr>
            <w:r>
              <w:rPr>
                <w:b w:val="false"/>
                <w:bCs w:val="false"/>
                <w:color w:val="1A1A1A"/>
              </w:rPr>
              <w:t xml:space="preserve"/>
            </w:r>
            <w:r>
              <w:rPr>
                <w:b/>
                <w:bCs/>
                <w:color w:val="1A1A1A"/>
              </w:rPr>
              <w:t xml:space="preserve">The CPS timeline in policy is wrong.</w:t>
            </w:r>
            <w:r>
              <w:rPr>
                <w:b w:val="false"/>
                <w:bCs w:val="false"/>
                <w:color w:val="1A1A1A"/>
              </w:rPr>
              <w:t xml:space="preserve"> PREA Policy V.A.4 and OO 1453 I.A.9 say 24 hours. PC 11166(a) says immediately. Follow the law. The exposure for a late report falls on the employee.</w:t>
            </w:r>
          </w:p>
          <w:p>
            <w:pPr>
              <w:pStyle w:val="ListParagraph"/>
              <w:numPr>
                <w:ilvl w:val="0"/>
                <w:numId w:val="1"/>
              </w:numPr>
              <w:spacing w:after="60" w:before="40" w:line="264"/>
            </w:pPr>
            <w:r>
              <w:rPr>
                <w:b w:val="false"/>
                <w:bCs w:val="false"/>
                <w:color w:val="1A1A1A"/>
              </w:rPr>
              <w:t xml:space="preserve"/>
            </w:r>
            <w:r>
              <w:rPr>
                <w:b/>
                <w:bCs/>
                <w:color w:val="1A1A1A"/>
              </w:rPr>
              <w:t xml:space="preserve">The incident review report has nowhere to go.</w:t>
            </w:r>
            <w:r>
              <w:rPr>
                <w:b w:val="false"/>
                <w:bCs w:val="false"/>
                <w:color w:val="1A1A1A"/>
              </w:rPr>
              <w:t xml:space="preserve"> OO 1453 I.A.15 directs it to "the PREA Coordinator," a position the department does not have. Send it to the Department Chief and say in the report that the Coordinator role is vacant.</w:t>
            </w:r>
          </w:p>
          <w:p>
            <w:pPr>
              <w:pStyle w:val="ListParagraph"/>
              <w:numPr>
                <w:ilvl w:val="0"/>
                <w:numId w:val="1"/>
              </w:numPr>
              <w:spacing w:after="60" w:before="40" w:line="264"/>
            </w:pPr>
            <w:r>
              <w:rPr>
                <w:b w:val="false"/>
                <w:bCs w:val="false"/>
                <w:color w:val="1A1A1A"/>
              </w:rPr>
              <w:t xml:space="preserve"/>
            </w:r>
            <w:r>
              <w:rPr>
                <w:b/>
                <w:bCs/>
                <w:color w:val="1A1A1A"/>
              </w:rPr>
              <w:t xml:space="preserve">There is no retaliation monitoring program.</w:t>
            </w:r>
            <w:r>
              <w:rPr>
                <w:b w:val="false"/>
                <w:bCs w:val="false"/>
                <w:color w:val="1A1A1A"/>
              </w:rPr>
              <w:t xml:space="preserve"> 115.367 requires a designated monitor and at least 90 days. Nothing in current policy sets one up, so if you do not run it yourself it does not happen.</w:t>
            </w:r>
          </w:p>
          <w:p>
            <w:pPr>
              <w:pStyle w:val="ListParagraph"/>
              <w:numPr>
                <w:ilvl w:val="0"/>
                <w:numId w:val="1"/>
              </w:numPr>
              <w:spacing w:after="60" w:before="40" w:line="264"/>
            </w:pPr>
            <w:r>
              <w:rPr>
                <w:b w:val="false"/>
                <w:bCs w:val="false"/>
                <w:color w:val="1A1A1A"/>
              </w:rPr>
              <w:t xml:space="preserve"/>
            </w:r>
            <w:r>
              <w:rPr>
                <w:b/>
                <w:bCs/>
                <w:color w:val="1A1A1A"/>
              </w:rPr>
              <w:t xml:space="preserve">Cross-facility notification is wrong.</w:t>
            </w:r>
            <w:r>
              <w:rPr>
                <w:b w:val="false"/>
                <w:bCs w:val="false"/>
                <w:color w:val="1A1A1A"/>
              </w:rPr>
              <w:t xml:space="preserve"> If the youth says the abuse happened at another facility, PREA Policy V.A.7 gives 14 days. The standard is </w:t>
            </w:r>
            <w:r>
              <w:rPr>
                <w:b/>
                <w:bCs/>
                <w:color w:val="1A1A1A"/>
              </w:rPr>
              <w:t xml:space="preserve">72 hours</w:t>
            </w:r>
            <w:r>
              <w:rPr>
                <w:b w:val="false"/>
                <w:bCs w:val="false"/>
                <w:color w:val="1A1A1A"/>
              </w:rPr>
              <w:t xml:space="preserve">.</w:t>
            </w:r>
          </w:p>
        </w:tc>
      </w:tr>
    </w:tbl>
    <w:p>
      <w:r>
        <w:br w:type="page"/>
      </w:r>
    </w:p>
    <w:p>
      <w:pPr>
        <w:pStyle w:val="Heading1"/>
      </w:pPr>
      <w:r>
        <w:t xml:space="preserve">Who does what, and where you stop</w:t>
      </w:r>
    </w:p>
    <w:p>
      <w:pPr>
        <w:spacing w:after="120" w:line="276"/>
      </w:pPr>
      <w:r>
        <w:rPr>
          <w:color w:val="1A1A1A"/>
        </w:rPr>
        <w:t xml:space="preserve">Classification and protection are yours. Fact finding is not. The distinction matters most in the middle of the chart, tiers 2 through 5, where there is no criminal callout and it feels like nobody else is coming. Somebody else is supposed to be coming. Read the decision note at the end of this section, because the department has not yet said who.</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3740"/>
        <w:gridCol w:w="3740"/>
      </w:tblGrid>
      <w:tr>
        <w:trPr>
          <w:tblHeader/>
        </w:trPr>
        <w:tc>
          <w:tcPr>
            <w:tcW w:type="dxa" w:w="2600"/>
            <w:shd w:fill="E8E8E8" w:color="auto" w:val="clear"/>
            <w:tcMar>
              <w:top w:type="dxa" w:w="60"/>
              <w:left w:type="dxa" w:w="100"/>
              <w:bottom w:type="dxa" w:w="60"/>
              <w:right w:type="dxa" w:w="100"/>
            </w:tcMar>
          </w:tcPr>
          <w:p>
            <w:pPr>
              <w:spacing w:after="40" w:before="40" w:line="240"/>
            </w:pPr>
            <w:r>
              <w:rPr>
                <w:b/>
                <w:bCs/>
                <w:color w:val="1A1A1A"/>
                <w:sz w:val="24"/>
                <w:szCs w:val="24"/>
              </w:rPr>
              <w:t xml:space="preserve">Role</w:t>
            </w:r>
          </w:p>
        </w:tc>
        <w:tc>
          <w:tcPr>
            <w:tcW w:type="dxa" w:w="3740"/>
            <w:shd w:fill="E8E8E8" w:color="auto" w:val="clear"/>
            <w:tcMar>
              <w:top w:type="dxa" w:w="60"/>
              <w:left w:type="dxa" w:w="100"/>
              <w:bottom w:type="dxa" w:w="60"/>
              <w:right w:type="dxa" w:w="100"/>
            </w:tcMar>
          </w:tcPr>
          <w:p>
            <w:pPr>
              <w:spacing w:after="40" w:before="40" w:line="240"/>
            </w:pPr>
            <w:r>
              <w:rPr>
                <w:b/>
                <w:bCs/>
                <w:color w:val="1A1A1A"/>
                <w:sz w:val="24"/>
                <w:szCs w:val="24"/>
              </w:rPr>
              <w:t xml:space="preserve">Does</w:t>
            </w:r>
          </w:p>
        </w:tc>
        <w:tc>
          <w:tcPr>
            <w:tcW w:type="dxa" w:w="3740"/>
            <w:shd w:fill="E8E8E8" w:color="auto" w:val="clear"/>
            <w:tcMar>
              <w:top w:type="dxa" w:w="60"/>
              <w:left w:type="dxa" w:w="100"/>
              <w:bottom w:type="dxa" w:w="60"/>
              <w:right w:type="dxa" w:w="100"/>
            </w:tcMar>
          </w:tcPr>
          <w:p>
            <w:pPr>
              <w:spacing w:after="40" w:before="40" w:line="240"/>
            </w:pPr>
            <w:r>
              <w:rPr>
                <w:b/>
                <w:bCs/>
                <w:color w:val="1A1A1A"/>
                <w:sz w:val="24"/>
                <w:szCs w:val="24"/>
              </w:rPr>
              <w:t xml:space="preserve">Does not</w:t>
            </w:r>
          </w:p>
        </w:tc>
      </w:tr>
      <w:tr>
        <w:tc>
          <w:tcPr>
            <w:tcW w:type="dxa" w:w="2600"/>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Line staff</w:t>
            </w:r>
            <w:r>
              <w:rPr>
                <w:b w:val="false"/>
                <w:bCs w:val="false"/>
                <w:color w:val="1A1A1A"/>
                <w:sz w:val="24"/>
                <w:szCs w:val="24"/>
              </w:rPr>
              <w:t xml:space="preserve">, whoever learns of it first</w:t>
            </w:r>
          </w:p>
        </w:tc>
        <w:tc>
          <w:tcPr>
            <w:tcW w:type="dxa" w:w="3740"/>
            <w:tcMar>
              <w:top w:type="dxa" w:w="60"/>
              <w:left w:type="dxa" w:w="100"/>
              <w:bottom w:type="dxa" w:w="60"/>
              <w:right w:type="dxa" w:w="100"/>
            </w:tcMar>
          </w:tcPr>
          <w:p>
            <w:pPr>
              <w:spacing w:after="40" w:before="40" w:line="240"/>
            </w:pPr>
            <w:r>
              <w:rPr>
                <w:b w:val="false"/>
                <w:bCs w:val="false"/>
                <w:color w:val="1A1A1A"/>
                <w:sz w:val="24"/>
                <w:szCs w:val="24"/>
              </w:rPr>
              <w:t xml:space="preserve">Reports to the Duty Supervisor </w:t>
            </w:r>
            <w:r>
              <w:rPr>
                <w:b/>
                <w:bCs/>
                <w:color w:val="1A1A1A"/>
                <w:sz w:val="24"/>
                <w:szCs w:val="24"/>
              </w:rPr>
              <w:t xml:space="preserve">immediately</w:t>
            </w:r>
            <w:r>
              <w:rPr>
                <w:b w:val="false"/>
                <w:bCs w:val="false"/>
                <w:color w:val="1A1A1A"/>
                <w:sz w:val="24"/>
                <w:szCs w:val="24"/>
              </w:rPr>
              <w:t xml:space="preserve">. Separates the youth. Preserves the scene and the clothing. Writes the incident report with </w:t>
            </w:r>
            <w:r>
              <w:rPr>
                <w:b/>
                <w:bCs/>
                <w:color w:val="1A1A1A"/>
                <w:sz w:val="24"/>
                <w:szCs w:val="24"/>
              </w:rPr>
              <w:t xml:space="preserve">the words used verbatim</w:t>
            </w:r>
            <w:r>
              <w:rPr>
                <w:b w:val="false"/>
                <w:bCs w:val="false"/>
                <w:color w:val="1A1A1A"/>
                <w:sz w:val="24"/>
                <w:szCs w:val="24"/>
              </w:rPr>
              <w:t xml:space="preserve">. Makes their own CANRA report if they formed the suspicion.</w:t>
            </w:r>
          </w:p>
        </w:tc>
        <w:tc>
          <w:tcPr>
            <w:tcW w:type="dxa" w:w="3740"/>
            <w:tcMar>
              <w:top w:type="dxa" w:w="60"/>
              <w:left w:type="dxa" w:w="100"/>
              <w:bottom w:type="dxa" w:w="60"/>
              <w:right w:type="dxa" w:w="100"/>
            </w:tcMar>
          </w:tcPr>
          <w:p>
            <w:pPr>
              <w:spacing w:after="40" w:before="40" w:line="240"/>
            </w:pPr>
            <w:r>
              <w:rPr>
                <w:b w:val="false"/>
                <w:bCs w:val="false"/>
                <w:color w:val="1A1A1A"/>
                <w:sz w:val="24"/>
                <w:szCs w:val="24"/>
              </w:rPr>
              <w:t xml:space="preserve">Does not interview anyone. Does not decide whether it is PREA. Does not wait to be asked.</w:t>
            </w:r>
          </w:p>
        </w:tc>
      </w:tr>
      <w:tr>
        <w:tc>
          <w:tcPr>
            <w:tcW w:type="dxa" w:w="2600"/>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Duty Supervisor</w:t>
            </w:r>
            <w:r>
              <w:rPr>
                <w:b w:val="false"/>
                <w:bCs w:val="false"/>
                <w:color w:val="1A1A1A"/>
                <w:sz w:val="24"/>
                <w:szCs w:val="24"/>
              </w:rPr>
              <w:t xml:space="preserve">, you</w:t>
            </w:r>
          </w:p>
        </w:tc>
        <w:tc>
          <w:tcPr>
            <w:tcW w:type="dxa" w:w="3740"/>
            <w:tcMar>
              <w:top w:type="dxa" w:w="60"/>
              <w:left w:type="dxa" w:w="100"/>
              <w:bottom w:type="dxa" w:w="60"/>
              <w:right w:type="dxa" w:w="100"/>
            </w:tcMar>
          </w:tcPr>
          <w:p>
            <w:pPr>
              <w:spacing w:after="40" w:before="40" w:line="240"/>
            </w:pPr>
            <w:r>
              <w:rPr>
                <w:b w:val="false"/>
                <w:bCs w:val="false"/>
                <w:color w:val="1A1A1A"/>
                <w:sz w:val="24"/>
                <w:szCs w:val="24"/>
              </w:rPr>
              <w:t xml:space="preserve">Classifies the incident against the tier chart. Protects: separation, housing, the 115.362 call. Preserves evidence and video. </w:t>
            </w:r>
            <w:r>
              <w:rPr>
                <w:b/>
                <w:bCs/>
                <w:color w:val="1A1A1A"/>
                <w:sz w:val="24"/>
                <w:szCs w:val="24"/>
              </w:rPr>
              <w:t xml:space="preserve">Takes the initial statement from the victim and the suspect, which OO 1453 I.A.6 directs.</w:t>
            </w:r>
            <w:r>
              <w:rPr>
                <w:b w:val="false"/>
                <w:bCs w:val="false"/>
                <w:color w:val="1A1A1A"/>
                <w:sz w:val="24"/>
                <w:szCs w:val="24"/>
              </w:rPr>
              <w:t xml:space="preserve"> Notifies out. Documents and hands off.</w:t>
            </w:r>
          </w:p>
        </w:tc>
        <w:tc>
          <w:tcPr>
            <w:tcW w:type="dxa" w:w="3740"/>
            <w:tcMar>
              <w:top w:type="dxa" w:w="60"/>
              <w:left w:type="dxa" w:w="100"/>
              <w:bottom w:type="dxa" w:w="60"/>
              <w:right w:type="dxa" w:w="100"/>
            </w:tcMar>
          </w:tcPr>
          <w:p>
            <w:pPr>
              <w:spacing w:after="40" w:before="40" w:line="240"/>
            </w:pPr>
            <w:r>
              <w:rPr>
                <w:b w:val="false"/>
                <w:bCs w:val="false"/>
                <w:color w:val="1A1A1A"/>
                <w:sz w:val="24"/>
                <w:szCs w:val="24"/>
              </w:rPr>
              <w:t xml:space="preserve">Does not canvass further witnesses to test whether the allegation is true. That is not directed anywhere in the order and it is what belongs to a trained investigator. Does not identify residents who asked to stay anonymous. Does not decide the case. </w:t>
            </w:r>
            <w:r>
              <w:rPr>
                <w:b/>
                <w:bCs/>
                <w:color w:val="1A1A1A"/>
                <w:sz w:val="24"/>
                <w:szCs w:val="24"/>
              </w:rPr>
              <w:t xml:space="preserve">And does not Mirandize and question a suspect aged 17 or under without the WIC 625.6 counsel consultation, which I.A.6 does not mention. See the warning below.</w:t>
            </w:r>
            <w:r>
              <w:rPr>
                <w:b w:val="false"/>
                <w:bCs w:val="false"/>
                <w:color w:val="1A1A1A"/>
                <w:sz w:val="24"/>
                <w:szCs w:val="24"/>
              </w:rPr>
              <w:t xml:space="preserve"/>
            </w:r>
          </w:p>
        </w:tc>
      </w:tr>
      <w:tr>
        <w:tc>
          <w:tcPr>
            <w:tcW w:type="dxa" w:w="260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Administrative investigator</w:t>
            </w:r>
            <w:r>
              <w:rPr>
                <w:b w:val="false"/>
                <w:bCs w:val="false"/>
                <w:color w:val="1A1A1A"/>
                <w:sz w:val="24"/>
                <w:szCs w:val="24"/>
              </w:rPr>
              <w:t xml:space="preserve"> for youth-on-youth</w:t>
            </w:r>
          </w:p>
        </w:tc>
        <w:tc>
          <w:tcPr>
            <w:tcW w:type="dxa" w:w="37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Conducts the 115.371(a) administrative investigation. Trained under 115.334. Interviews with the advocate rights attached. Reaches substantiated, unsubstantiated or unfounded.</w:t>
            </w:r>
          </w:p>
        </w:tc>
        <w:tc>
          <w:tcPr>
            <w:tcW w:type="dxa" w:w="37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NOT CURRENTLY DESIGNATED. This is the hole.</w:t>
            </w:r>
            <w:r>
              <w:rPr>
                <w:b w:val="false"/>
                <w:bCs w:val="false"/>
                <w:color w:val="1A1A1A"/>
                <w:sz w:val="24"/>
                <w:szCs w:val="24"/>
              </w:rPr>
              <w:t xml:space="preserve"> See the decision note below.</w:t>
            </w:r>
          </w:p>
        </w:tc>
      </w:tr>
      <w:tr>
        <w:tc>
          <w:tcPr>
            <w:tcW w:type="dxa" w:w="2600"/>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Internal Affairs</w:t>
            </w:r>
            <w:r>
              <w:rPr>
                <w:b w:val="false"/>
                <w:bCs w:val="false"/>
                <w:color w:val="1A1A1A"/>
                <w:sz w:val="24"/>
                <w:szCs w:val="24"/>
              </w:rPr>
              <w:t xml:space="preserve"/>
            </w:r>
          </w:p>
        </w:tc>
        <w:tc>
          <w:tcPr>
            <w:tcW w:type="dxa" w:w="3740"/>
            <w:tcMar>
              <w:top w:type="dxa" w:w="60"/>
              <w:left w:type="dxa" w:w="100"/>
              <w:bottom w:type="dxa" w:w="60"/>
              <w:right w:type="dxa" w:w="100"/>
            </w:tcMar>
          </w:tcPr>
          <w:p>
            <w:pPr>
              <w:spacing w:after="40" w:before="40" w:line="240"/>
            </w:pPr>
            <w:r>
              <w:rPr>
                <w:b w:val="false"/>
                <w:bCs w:val="false"/>
                <w:color w:val="1A1A1A"/>
                <w:sz w:val="24"/>
                <w:szCs w:val="24"/>
              </w:rPr>
              <w:t xml:space="preserve">Investigates staff misconduct, with the Lybarger process, the one year clock and the IA disposition taxonomy. Receives the mandatory route for staff reporting.</w:t>
            </w:r>
          </w:p>
        </w:tc>
        <w:tc>
          <w:tcPr>
            <w:tcW w:type="dxa" w:w="3740"/>
            <w:tcMar>
              <w:top w:type="dxa" w:w="60"/>
              <w:left w:type="dxa" w:w="100"/>
              <w:bottom w:type="dxa" w:w="60"/>
              <w:right w:type="dxa" w:w="100"/>
            </w:tcMar>
          </w:tcPr>
          <w:p>
            <w:pPr>
              <w:spacing w:after="40" w:before="40" w:line="240"/>
            </w:pPr>
            <w:r>
              <w:rPr>
                <w:b w:val="false"/>
                <w:bCs w:val="false"/>
                <w:color w:val="1A1A1A"/>
                <w:sz w:val="24"/>
                <w:szCs w:val="24"/>
              </w:rPr>
              <w:t xml:space="preserve">Is not built for youth-on-youth. Its preponderance standard is written for employee cases only. Its discretion to decide no formal investigation is necessary has no carve-out for sexual abuse.</w:t>
            </w:r>
          </w:p>
        </w:tc>
      </w:tr>
      <w:tr>
        <w:tc>
          <w:tcPr>
            <w:tcW w:type="dxa" w:w="2600"/>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Sheriff's Department</w:t>
            </w:r>
            <w:r>
              <w:rPr>
                <w:b w:val="false"/>
                <w:bCs w:val="false"/>
                <w:color w:val="1A1A1A"/>
                <w:sz w:val="24"/>
                <w:szCs w:val="24"/>
              </w:rPr>
              <w:t xml:space="preserve"/>
            </w:r>
          </w:p>
        </w:tc>
        <w:tc>
          <w:tcPr>
            <w:tcW w:type="dxa" w:w="3740"/>
            <w:tcMar>
              <w:top w:type="dxa" w:w="60"/>
              <w:left w:type="dxa" w:w="100"/>
              <w:bottom w:type="dxa" w:w="60"/>
              <w:right w:type="dxa" w:w="100"/>
            </w:tcMar>
          </w:tcPr>
          <w:p>
            <w:pPr>
              <w:spacing w:after="40" w:before="40" w:line="240"/>
            </w:pPr>
            <w:r>
              <w:rPr>
                <w:b w:val="false"/>
                <w:bCs w:val="false"/>
                <w:color w:val="1A1A1A"/>
                <w:sz w:val="24"/>
                <w:szCs w:val="24"/>
              </w:rPr>
              <w:t xml:space="preserve">Criminal investigation. Notified </w:t>
            </w:r>
            <w:r>
              <w:rPr>
                <w:b/>
                <w:bCs/>
                <w:color w:val="1A1A1A"/>
                <w:sz w:val="24"/>
                <w:szCs w:val="24"/>
              </w:rPr>
              <w:t xml:space="preserve">immediately</w:t>
            </w:r>
            <w:r>
              <w:rPr>
                <w:b w:val="false"/>
                <w:bCs w:val="false"/>
                <w:color w:val="1A1A1A"/>
                <w:sz w:val="24"/>
                <w:szCs w:val="24"/>
              </w:rPr>
              <w:t xml:space="preserve"> by the Duty Supervisor once it is believed a sexual assault occurred. Briefed by the reporting officer, given an interview room.</w:t>
            </w:r>
          </w:p>
        </w:tc>
        <w:tc>
          <w:tcPr>
            <w:tcW w:type="dxa" w:w="3740"/>
            <w:tcMar>
              <w:top w:type="dxa" w:w="60"/>
              <w:left w:type="dxa" w:w="100"/>
              <w:bottom w:type="dxa" w:w="60"/>
              <w:right w:type="dxa" w:w="100"/>
            </w:tcMar>
          </w:tcPr>
          <w:p>
            <w:pPr>
              <w:spacing w:after="40" w:before="40" w:line="240"/>
            </w:pPr>
            <w:r>
              <w:rPr>
                <w:b w:val="false"/>
                <w:bCs w:val="false"/>
                <w:color w:val="1A1A1A"/>
                <w:sz w:val="24"/>
                <w:szCs w:val="24"/>
              </w:rPr>
              <w:t xml:space="preserve">Not the answer for the middle band. A touching or exposure case is usually an administrative matter, and the absence of a Sheriff response does not remove the duty to investigate.</w:t>
            </w:r>
          </w:p>
        </w:tc>
      </w:tr>
      <w:tr>
        <w:tc>
          <w:tcPr>
            <w:tcW w:type="dxa" w:w="2600"/>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Chief Deputy and Assistant Chief Deputies</w:t>
            </w:r>
            <w:r>
              <w:rPr>
                <w:b w:val="false"/>
                <w:bCs w:val="false"/>
                <w:color w:val="1A1A1A"/>
                <w:sz w:val="24"/>
                <w:szCs w:val="24"/>
              </w:rPr>
              <w:t xml:space="preserve"/>
            </w:r>
          </w:p>
        </w:tc>
        <w:tc>
          <w:tcPr>
            <w:tcW w:type="dxa" w:w="3740"/>
            <w:tcMar>
              <w:top w:type="dxa" w:w="60"/>
              <w:left w:type="dxa" w:w="100"/>
              <w:bottom w:type="dxa" w:w="60"/>
              <w:right w:type="dxa" w:w="100"/>
            </w:tcMar>
          </w:tcPr>
          <w:p>
            <w:pPr>
              <w:spacing w:after="40" w:before="40" w:line="240"/>
            </w:pPr>
            <w:r>
              <w:rPr>
                <w:b w:val="false"/>
                <w:bCs w:val="false"/>
                <w:color w:val="1A1A1A"/>
                <w:sz w:val="24"/>
                <w:szCs w:val="24"/>
              </w:rPr>
              <w:t xml:space="preserve">Receive the memo. Make the agency-level calls. Own the cross-facility notification where a youth reports abuse at another facility, which is </w:t>
            </w:r>
            <w:r>
              <w:rPr>
                <w:b/>
                <w:bCs/>
                <w:color w:val="1A1A1A"/>
                <w:sz w:val="24"/>
                <w:szCs w:val="24"/>
              </w:rPr>
              <w:t xml:space="preserve">72 hours</w:t>
            </w:r>
            <w:r>
              <w:rPr>
                <w:b w:val="false"/>
                <w:bCs w:val="false"/>
                <w:color w:val="1A1A1A"/>
                <w:sz w:val="24"/>
                <w:szCs w:val="24"/>
              </w:rPr>
              <w:t xml:space="preserve">, not the 14 days current policy states.</w:t>
            </w:r>
          </w:p>
        </w:tc>
        <w:tc>
          <w:tcPr>
            <w:tcW w:type="dxa" w:w="3740"/>
            <w:tcMar>
              <w:top w:type="dxa" w:w="60"/>
              <w:left w:type="dxa" w:w="100"/>
              <w:bottom w:type="dxa" w:w="60"/>
              <w:right w:type="dxa" w:w="100"/>
            </w:tcMar>
          </w:tcPr>
          <w:p>
            <w:pPr>
              <w:spacing w:after="40" w:before="40" w:line="240"/>
            </w:pPr>
            <w:r>
              <w:rPr>
                <w:b w:val="false"/>
                <w:bCs w:val="false"/>
                <w:color w:val="1A1A1A"/>
                <w:sz w:val="24"/>
                <w:szCs w:val="24"/>
              </w:rPr>
              <w:t xml:space="preserve">Should not be the first point at which anyone decides whether the incident was PREA. That call is made and written down on the unit.</w:t>
            </w:r>
          </w:p>
        </w:tc>
      </w:tr>
      <w:tr>
        <w:tc>
          <w:tcPr>
            <w:tcW w:type="dxa" w:w="260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PREA Coordinator and facility Compliance Manager</w:t>
            </w:r>
            <w:r>
              <w:rPr>
                <w:b w:val="false"/>
                <w:bCs w:val="false"/>
                <w:color w:val="1A1A1A"/>
                <w:sz w:val="24"/>
                <w:szCs w:val="24"/>
              </w:rPr>
              <w:t xml:space="preserve"/>
            </w:r>
          </w:p>
        </w:tc>
        <w:tc>
          <w:tcPr>
            <w:tcW w:type="dxa" w:w="37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Would own the data, the incident reviews, the corrective action loop, and the consistency of classification across shifts. OO 1453 I.A.15 already addresses the review report to this role.</w:t>
            </w:r>
          </w:p>
        </w:tc>
        <w:tc>
          <w:tcPr>
            <w:tcW w:type="dxa" w:w="37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DOES NOT EXIST.</w:t>
            </w:r>
            <w:r>
              <w:rPr>
                <w:b w:val="false"/>
                <w:bCs w:val="false"/>
                <w:color w:val="1A1A1A"/>
                <w:sz w:val="24"/>
                <w:szCs w:val="24"/>
              </w:rPr>
              <w:t xml:space="preserve"> The order routes a required report to a position the department does not have, so the review currently terminates in a dead letter.</w:t>
            </w:r>
          </w:p>
        </w:tc>
      </w:tr>
      <w:tr>
        <w:tc>
          <w:tcPr>
            <w:tcW w:type="dxa" w:w="2600"/>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Medical and Mental Health</w:t>
            </w:r>
            <w:r>
              <w:rPr>
                <w:b w:val="false"/>
                <w:bCs w:val="false"/>
                <w:color w:val="1A1A1A"/>
                <w:sz w:val="24"/>
                <w:szCs w:val="24"/>
              </w:rPr>
              <w:t xml:space="preserve"/>
            </w:r>
          </w:p>
        </w:tc>
        <w:tc>
          <w:tcPr>
            <w:tcW w:type="dxa" w:w="3740"/>
            <w:tcMar>
              <w:top w:type="dxa" w:w="60"/>
              <w:left w:type="dxa" w:w="100"/>
              <w:bottom w:type="dxa" w:w="60"/>
              <w:right w:type="dxa" w:w="100"/>
            </w:tcMar>
          </w:tcPr>
          <w:p>
            <w:pPr>
              <w:spacing w:after="40" w:before="40" w:line="240"/>
            </w:pPr>
            <w:r>
              <w:rPr>
                <w:b w:val="false"/>
                <w:bCs w:val="false"/>
                <w:color w:val="1A1A1A"/>
                <w:sz w:val="24"/>
                <w:szCs w:val="24"/>
              </w:rPr>
              <w:t xml:space="preserve">Crisis counseling, evaluation and treatment, referral. Clinical input into the incident review.</w:t>
            </w:r>
          </w:p>
        </w:tc>
        <w:tc>
          <w:tcPr>
            <w:tcW w:type="dxa" w:w="3740"/>
            <w:tcMar>
              <w:top w:type="dxa" w:w="60"/>
              <w:left w:type="dxa" w:w="100"/>
              <w:bottom w:type="dxa" w:w="60"/>
              <w:right w:type="dxa" w:w="100"/>
            </w:tcMar>
          </w:tcPr>
          <w:p>
            <w:pPr>
              <w:spacing w:after="40" w:before="40" w:line="240"/>
            </w:pPr>
            <w:r>
              <w:rPr>
                <w:b w:val="false"/>
                <w:bCs w:val="false"/>
                <w:color w:val="1A1A1A"/>
                <w:sz w:val="24"/>
                <w:szCs w:val="24"/>
              </w:rPr>
              <w:t xml:space="preserve">A mental health referral is not a protection plan and does not discharge the 115.362 duty.</w:t>
            </w:r>
          </w:p>
        </w:tc>
      </w:tr>
      <w:tr>
        <w:tc>
          <w:tcPr>
            <w:tcW w:type="dxa" w:w="2600"/>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Victim advocate</w:t>
            </w:r>
            <w:r>
              <w:rPr>
                <w:b w:val="false"/>
                <w:bCs w:val="false"/>
                <w:color w:val="1A1A1A"/>
                <w:sz w:val="24"/>
                <w:szCs w:val="24"/>
              </w:rPr>
              <w:t xml:space="preserve">, usually a Rape Crisis Center</w:t>
            </w:r>
          </w:p>
        </w:tc>
        <w:tc>
          <w:tcPr>
            <w:tcW w:type="dxa" w:w="3740"/>
            <w:tcMar>
              <w:top w:type="dxa" w:w="60"/>
              <w:left w:type="dxa" w:w="100"/>
              <w:bottom w:type="dxa" w:w="60"/>
              <w:right w:type="dxa" w:w="100"/>
            </w:tcMar>
          </w:tcPr>
          <w:p>
            <w:pPr>
              <w:spacing w:after="40" w:before="40" w:line="240"/>
            </w:pPr>
            <w:r>
              <w:rPr>
                <w:b w:val="false"/>
                <w:bCs w:val="false"/>
                <w:color w:val="1A1A1A"/>
                <w:sz w:val="24"/>
                <w:szCs w:val="24"/>
              </w:rPr>
              <w:t xml:space="preserve">Accompanies the youth through the medical examination (PC 264.2) and through investigatory interviews </w:t>
            </w:r>
            <w:r>
              <w:rPr>
                <w:b/>
                <w:bCs/>
                <w:color w:val="1A1A1A"/>
                <w:sz w:val="24"/>
                <w:szCs w:val="24"/>
              </w:rPr>
              <w:t xml:space="preserve">conducted by law enforcement, the district attorney or defense counsel</w:t>
            </w:r>
            <w:r>
              <w:rPr>
                <w:b w:val="false"/>
                <w:bCs w:val="false"/>
                <w:color w:val="1A1A1A"/>
                <w:sz w:val="24"/>
                <w:szCs w:val="24"/>
              </w:rPr>
              <w:t xml:space="preserve"> (PC 679.04). OO 1453 I.A.13 recites both.</w:t>
            </w:r>
          </w:p>
        </w:tc>
        <w:tc>
          <w:tcPr>
            <w:tcW w:type="dxa" w:w="3740"/>
            <w:tcMar>
              <w:top w:type="dxa" w:w="60"/>
              <w:left w:type="dxa" w:w="100"/>
              <w:bottom w:type="dxa" w:w="60"/>
              <w:right w:type="dxa" w:w="100"/>
            </w:tcMar>
          </w:tcPr>
          <w:p>
            <w:pPr>
              <w:spacing w:after="40" w:before="40" w:line="240"/>
            </w:pPr>
            <w:r>
              <w:rPr>
                <w:b w:val="false"/>
                <w:bCs w:val="false"/>
                <w:color w:val="1A1A1A"/>
                <w:sz w:val="24"/>
                <w:szCs w:val="24"/>
              </w:rPr>
              <w:t xml:space="preserve">Does not, on the face of the statute, attach to the I.A.6 initial statement taken by the duty supervisor. The one interview the order assigns to facility staff is the only one in the sequence with no advocate right attached. Cannot be offered after the fact either: if an interview already happened without one, the right was already spent.</w:t>
            </w:r>
          </w:p>
        </w:tc>
      </w:tr>
      <w:tr>
        <w:tc>
          <w:tcPr>
            <w:tcW w:type="dxa" w:w="260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Retaliation monitor</w:t>
            </w:r>
            <w:r>
              <w:rPr>
                <w:b w:val="false"/>
                <w:bCs w:val="false"/>
                <w:color w:val="1A1A1A"/>
                <w:sz w:val="24"/>
                <w:szCs w:val="24"/>
              </w:rPr>
              <w:t xml:space="preserve"/>
            </w:r>
          </w:p>
        </w:tc>
        <w:tc>
          <w:tcPr>
            <w:tcW w:type="dxa" w:w="37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Watches the reporter, the target and any corroborating witness for at least </w:t>
            </w:r>
            <w:r>
              <w:rPr>
                <w:b/>
                <w:bCs/>
                <w:color w:val="1A1A1A"/>
                <w:sz w:val="24"/>
                <w:szCs w:val="24"/>
              </w:rPr>
              <w:t xml:space="preserve">90 days</w:t>
            </w:r>
            <w:r>
              <w:rPr>
                <w:b w:val="false"/>
                <w:bCs w:val="false"/>
                <w:color w:val="1A1A1A"/>
                <w:sz w:val="24"/>
                <w:szCs w:val="24"/>
              </w:rPr>
              <w:t xml:space="preserve">, with periodic status checks.</w:t>
            </w:r>
          </w:p>
        </w:tc>
        <w:tc>
          <w:tcPr>
            <w:tcW w:type="dxa" w:w="3740"/>
            <w:shd w:fill="F2DEDE" w:color="auto" w:val="clear"/>
            <w:tcMar>
              <w:top w:type="dxa" w:w="60"/>
              <w:left w:type="dxa" w:w="100"/>
              <w:bottom w:type="dxa" w:w="60"/>
              <w:right w:type="dxa" w:w="100"/>
            </w:tcMar>
          </w:tcPr>
          <w:p>
            <w:pPr>
              <w:spacing w:after="40" w:before="40" w:line="240"/>
            </w:pPr>
            <w:r>
              <w:rPr>
                <w:b w:val="false"/>
                <w:bCs w:val="false"/>
                <w:color w:val="1A1A1A"/>
                <w:sz w:val="24"/>
                <w:szCs w:val="24"/>
              </w:rPr>
              <w:t xml:space="preserve"/>
            </w:r>
            <w:r>
              <w:rPr>
                <w:b/>
                <w:bCs/>
                <w:color w:val="1A1A1A"/>
                <w:sz w:val="24"/>
                <w:szCs w:val="24"/>
              </w:rPr>
              <w:t xml:space="preserve">NOT DESIGNATED, and no monitoring period exists in policy.</w:t>
            </w:r>
            <w:r>
              <w:rPr>
                <w:b w:val="false"/>
                <w:bCs w:val="false"/>
                <w:color w:val="1A1A1A"/>
                <w:sz w:val="24"/>
                <w:szCs w:val="24"/>
              </w:rPr>
              <w:t xml:space="preserve"> If the supervisor does not run it, nobody does.</w:t>
            </w:r>
          </w:p>
        </w:tc>
      </w:tr>
    </w:tbl>
    <w:p>
      <w:pPr>
        <w:pStyle w:val="Heading2"/>
      </w:pPr>
      <w:r>
        <w:t xml:space="preserve">The stop-point, corrected against OO 1453</w:t>
      </w:r>
    </w:p>
    <w:p>
      <w:pPr>
        <w:pStyle w:val="ListParagraph"/>
        <w:numPr>
          <w:ilvl w:val="0"/>
          <w:numId w:val="1"/>
        </w:numPr>
        <w:spacing w:after="80" w:line="264"/>
      </w:pPr>
      <w:r>
        <w:rPr>
          <w:b w:val="false"/>
          <w:bCs w:val="false"/>
          <w:color w:val="1A1A1A"/>
        </w:rPr>
        <w:t xml:space="preserve"/>
      </w:r>
      <w:r>
        <w:rPr>
          <w:b/>
          <w:bCs/>
          <w:color w:val="1A1A1A"/>
        </w:rPr>
        <w:t xml:space="preserve">Corrected on 10/29.</w:t>
      </w:r>
      <w:r>
        <w:rPr>
          <w:b w:val="false"/>
          <w:bCs w:val="false"/>
          <w:color w:val="1A1A1A"/>
        </w:rPr>
        <w:t xml:space="preserve"> An earlier version of this matrix told supervisors they do not conduct fact finding and do not interview. </w:t>
      </w:r>
      <w:r>
        <w:rPr>
          <w:b/>
          <w:bCs/>
          <w:color w:val="1A1A1A"/>
        </w:rPr>
        <w:t xml:space="preserve">OO 1453 I.A.6 says otherwise:</w:t>
      </w:r>
      <w:r>
        <w:rPr>
          <w:b w:val="false"/>
          <w:bCs w:val="false"/>
          <w:color w:val="1A1A1A"/>
        </w:rPr>
        <w:t xml:space="preserve"> "The duty supervisor shall take an initial statement from the victim and suspect." The order had not been produced when that was written. The stop-point moves; it does not disappear.</w:t>
      </w:r>
    </w:p>
    <w:p>
      <w:pPr>
        <w:pStyle w:val="ListParagraph"/>
        <w:numPr>
          <w:ilvl w:val="0"/>
          <w:numId w:val="1"/>
        </w:numPr>
        <w:spacing w:after="80" w:line="264"/>
      </w:pPr>
      <w:r>
        <w:rPr>
          <w:b w:val="false"/>
          <w:bCs w:val="false"/>
          <w:color w:val="1A1A1A"/>
        </w:rPr>
        <w:t xml:space="preserve">You classify. You protect. You preserve. </w:t>
      </w:r>
      <w:r>
        <w:rPr>
          <w:b/>
          <w:bCs/>
          <w:color w:val="1A1A1A"/>
        </w:rPr>
        <w:t xml:space="preserve">You take the initial statement from the victim and the suspect, because I.A.6 directs it.</w:t>
      </w:r>
      <w:r>
        <w:rPr>
          <w:b w:val="false"/>
          <w:bCs w:val="false"/>
          <w:color w:val="1A1A1A"/>
        </w:rPr>
        <w:t xml:space="preserve"> You notify. You document. </w:t>
      </w:r>
      <w:r>
        <w:rPr>
          <w:b/>
          <w:bCs/>
          <w:color w:val="1A1A1A"/>
        </w:rPr>
        <w:t xml:space="preserve">Then you stop and hand off.</w:t>
      </w:r>
      <w:r>
        <w:rPr>
          <w:b w:val="false"/>
          <w:bCs w:val="false"/>
          <w:color w:val="1A1A1A"/>
        </w:rPr>
        <w:t xml:space="preserve"/>
      </w:r>
    </w:p>
    <w:p>
      <w:pPr>
        <w:pStyle w:val="ListParagraph"/>
        <w:numPr>
          <w:ilvl w:val="0"/>
          <w:numId w:val="1"/>
        </w:numPr>
        <w:spacing w:after="80" w:line="264"/>
      </w:pPr>
      <w:r>
        <w:rPr>
          <w:b w:val="false"/>
          <w:bCs w:val="false"/>
          <w:color w:val="1A1A1A"/>
        </w:rPr>
        <w:t xml:space="preserve"/>
      </w:r>
      <w:r>
        <w:rPr>
          <w:b/>
          <w:bCs/>
          <w:color w:val="1A1A1A"/>
        </w:rPr>
        <w:t xml:space="preserve">What is still on the far side of the line:</w:t>
      </w:r>
      <w:r>
        <w:rPr>
          <w:b w:val="false"/>
          <w:bCs w:val="false"/>
          <w:color w:val="1A1A1A"/>
        </w:rPr>
        <w:t xml:space="preserve"> canvassing further witnesses to find out whether the allegation is true. Nothing in the order directs that, and it is what belongs to a trained investigator under 115.334. Taking a statement from the two people involved is first response. Working the unit to test the account is investigation.</w:t>
      </w:r>
    </w:p>
    <w:p>
      <w:pPr>
        <w:pStyle w:val="ListParagraph"/>
        <w:numPr>
          <w:ilvl w:val="0"/>
          <w:numId w:val="1"/>
        </w:numPr>
        <w:spacing w:after="80" w:line="264"/>
      </w:pPr>
      <w:r>
        <w:rPr>
          <w:b w:val="false"/>
          <w:bCs w:val="false"/>
          <w:color w:val="1A1A1A"/>
        </w:rPr>
        <w:t xml:space="preserve"/>
      </w:r>
      <w:r>
        <w:rPr>
          <w:b/>
          <w:bCs/>
          <w:color w:val="1A1A1A"/>
        </w:rPr>
        <w:t xml:space="preserve">Anonymity is the practical test.</w:t>
      </w:r>
      <w:r>
        <w:rPr>
          <w:b w:val="false"/>
          <w:bCs w:val="false"/>
          <w:color w:val="1A1A1A"/>
        </w:rPr>
        <w:t xml:space="preserve"> If residents asked not to be identified, do not go and find them. Identifying them burns the witnesses and creates the retaliation exposure 115.367 exists to prevent, and it is not something I.A.6 asks of you.</w:t>
      </w:r>
    </w:p>
    <w:p>
      <w:pPr>
        <w:pStyle w:val="Heading2"/>
      </w:pPr>
      <w:r>
        <w:t xml:space="preserve">Two things the department has to fix, one urgent</w:t>
      </w:r>
    </w:p>
    <w:tbl>
      <w:tblPr>
        <w:tblW w:type="dxa" w:w="10080"/>
        <w:tblBorders>
          <w:top w:val="single" w:color="BFBFBF" w:sz="2"/>
          <w:left w:val="single" w:color="BFBFBF" w:sz="2"/>
          <w:bottom w:val="single" w:color="BFBFBF" w:sz="2"/>
          <w:right w:val="single" w:color="BFBFBF" w:sz="2"/>
          <w:insideH w:val="single" w:color="BFBFBF" w:sz="2"/>
          <w:insideV w:val="single" w:color="BFBFBF" w:sz="2"/>
        </w:tblBorders>
      </w:tblPr>
      <w:tblGrid>
        <w:gridCol w:w="10080"/>
      </w:tblGrid>
      <w:tr>
        <w:tc>
          <w:tcPr>
            <w:tcW w:type="dxa" w:w="10080"/>
            <w:shd w:fill="FCF0DC" w:color="auto" w:val="clear"/>
            <w:tcMar>
              <w:top w:type="dxa" w:w="60"/>
              <w:left w:type="dxa" w:w="100"/>
              <w:bottom w:type="dxa" w:w="60"/>
              <w:right w:type="dxa" w:w="100"/>
            </w:tcMar>
          </w:tcPr>
          <w:p>
            <w:pPr>
              <w:spacing w:after="60" w:before="60" w:line="264"/>
            </w:pPr>
            <w:r>
              <w:rPr>
                <w:b w:val="false"/>
                <w:bCs w:val="false"/>
                <w:color w:val="1A1A1A"/>
              </w:rPr>
              <w:t xml:space="preserve"/>
            </w:r>
            <w:r>
              <w:rPr>
                <w:b/>
                <w:bCs/>
                <w:color w:val="1A1A1A"/>
              </w:rPr>
              <w:t xml:space="preserve">URGENT, AND IT IS A LEGAL EXPOSURE ON THE SUPERVISOR PERSONALLY.</w:t>
            </w:r>
            <w:r>
              <w:rPr>
                <w:b w:val="false"/>
                <w:bCs w:val="false"/>
                <w:color w:val="1A1A1A"/>
              </w:rPr>
              <w:t xml:space="preserve"> I.A.6 directs a Miranda warning before questioning a suspect. It says nothing about </w:t>
            </w:r>
            <w:r>
              <w:rPr>
                <w:b/>
                <w:bCs/>
                <w:color w:val="1A1A1A"/>
              </w:rPr>
              <w:t xml:space="preserve">WIC 625.6</w:t>
            </w:r>
            <w:r>
              <w:rPr>
                <w:b w:val="false"/>
                <w:bCs w:val="false"/>
                <w:color w:val="1A1A1A"/>
              </w:rPr>
              <w:t xml:space="preserve">, which since 01/01/2021 requires a youth </w:t>
            </w:r>
            <w:r>
              <w:rPr>
                <w:b/>
                <w:bCs/>
                <w:color w:val="1A1A1A"/>
              </w:rPr>
              <w:t xml:space="preserve">17 or younger</w:t>
            </w:r>
            <w:r>
              <w:rPr>
                <w:b w:val="false"/>
                <w:bCs w:val="false"/>
                <w:color w:val="1A1A1A"/>
              </w:rPr>
              <w:t xml:space="preserve"> to consult legal counsel, in person, by telephone or by video, </w:t>
            </w:r>
            <w:r>
              <w:rPr>
                <w:b/>
                <w:bCs/>
                <w:color w:val="1A1A1A"/>
              </w:rPr>
              <w:t xml:space="preserve">before</w:t>
            </w:r>
            <w:r>
              <w:rPr>
                <w:b w:val="false"/>
                <w:bCs w:val="false"/>
                <w:color w:val="1A1A1A"/>
              </w:rPr>
              <w:t xml:space="preserve"> a custodial interrogation and </w:t>
            </w:r>
            <w:r>
              <w:rPr>
                <w:b/>
                <w:bCs/>
                <w:color w:val="1A1A1A"/>
              </w:rPr>
              <w:t xml:space="preserve">before</w:t>
            </w:r>
            <w:r>
              <w:rPr>
                <w:b w:val="false"/>
                <w:bCs w:val="false"/>
                <w:color w:val="1A1A1A"/>
              </w:rPr>
              <w:t xml:space="preserve"> waiving Miranda, and which provides that the consultation </w:t>
            </w:r>
            <w:r>
              <w:rPr>
                <w:b/>
                <w:bCs/>
                <w:color w:val="1A1A1A"/>
              </w:rPr>
              <w:t xml:space="preserve">may not be waived</w:t>
            </w:r>
            <w:r>
              <w:rPr>
                <w:b w:val="false"/>
                <w:bCs w:val="false"/>
                <w:color w:val="1A1A1A"/>
              </w:rPr>
              <w:t xml:space="preserve">. OO 1453 was last revised 12/09/2019, more than a year before that took effect. WIC 625.6(b) directs courts to weigh noncompliance when deciding whether the youth's statements come in, and to weigh a willful violation against the officer's credibility under Evidence Code 780. Until I.A.6 is amended, get the 625.6 consultation before any questioning of a suspect aged 17 or under, and record that you did. </w:t>
            </w:r>
            <w:r>
              <w:rPr>
                <w:b/>
                <w:bCs/>
                <w:color w:val="1A1A1A"/>
              </w:rPr>
              <w:t xml:space="preserve">Second, and structural:</w:t>
            </w:r>
            <w:r>
              <w:rPr>
                <w:b w:val="false"/>
                <w:bCs w:val="false"/>
                <w:color w:val="1A1A1A"/>
              </w:rPr>
              <w:t xml:space="preserve"> 115.371(a) requires an administrative or criminal investigation for every allegation. The Sheriff covers the criminal branch. Nothing names who runs the administrative branch for youth-on-youth allegations, and Internal Affairs is written for employee misconduct. Register rows 60 and 91.</w:t>
            </w:r>
          </w:p>
        </w:tc>
      </w:tr>
    </w:tbl>
    <w:p>
      <w:pPr>
        <w:pStyle w:val="Heading1"/>
      </w:pPr>
      <w:r>
        <w:t xml:space="preserve">What the PREA definitions do and do not contain</w:t>
      </w:r>
    </w:p>
    <w:p>
      <w:pPr>
        <w:spacing w:after="120" w:line="276"/>
      </w:pPr>
      <w:r>
        <w:rPr>
          <w:color w:val="1A1A1A"/>
        </w:rPr>
        <w:t xml:space="preserve">Checked the same way the CANRA sections were, because the two columns carry different risks and both have to be auditable. The reason tiers 1 through 4 are not sexual abuse is not an inference from the absence of contact. It is that the prongs which would otherwise catch them exist only for staff.</w:t>
      </w:r>
    </w:p>
    <w:p>
      <w:pPr>
        <w:pStyle w:val="ListParagraph"/>
        <w:numPr>
          <w:ilvl w:val="0"/>
          <w:numId w:val="1"/>
        </w:numPr>
        <w:spacing w:after="80" w:line="264"/>
      </w:pPr>
      <w:r>
        <w:rPr>
          <w:b w:val="false"/>
          <w:bCs w:val="false"/>
          <w:color w:val="1A1A1A"/>
        </w:rPr>
        <w:t xml:space="preserve"/>
      </w:r>
      <w:r>
        <w:rPr>
          <w:b/>
          <w:bCs/>
          <w:color w:val="1A1A1A"/>
        </w:rPr>
        <w:t xml:space="preserve">Resident-on-resident sexual abuse</w:t>
      </w:r>
      <w:r>
        <w:rPr>
          <w:b w:val="false"/>
          <w:bCs w:val="false"/>
          <w:color w:val="1A1A1A"/>
        </w:rPr>
        <w:t xml:space="preserve"> has four prongs, all requiring contact: penis to vulva or anus, mouth to penis, vulva or anus, penetration of the anal or genital opening by a hand, finger, object or instrument, and any other intentional touching, directly or through the clothing, of the genitalia, anus, groin, breast, inner thigh or buttocks, excluding contact incidental to a physical altercation.</w:t>
      </w:r>
    </w:p>
    <w:p>
      <w:pPr>
        <w:pStyle w:val="ListParagraph"/>
        <w:numPr>
          <w:ilvl w:val="0"/>
          <w:numId w:val="1"/>
        </w:numPr>
        <w:spacing w:after="80" w:line="264"/>
      </w:pPr>
      <w:r>
        <w:rPr>
          <w:b w:val="false"/>
          <w:bCs w:val="false"/>
          <w:color w:val="1A1A1A"/>
        </w:rPr>
        <w:t xml:space="preserve"/>
      </w:r>
      <w:r>
        <w:rPr>
          <w:b/>
          <w:bCs/>
          <w:color w:val="1A1A1A"/>
        </w:rPr>
        <w:t xml:space="preserve">All four are gated by the same element:</w:t>
      </w:r>
      <w:r>
        <w:rPr>
          <w:b w:val="false"/>
          <w:bCs w:val="false"/>
          <w:color w:val="1A1A1A"/>
        </w:rPr>
        <w:t xml:space="preserve"> the act counts where the victim does not consent, is coerced into it by overt or implied threats of violence, or is unable to consent or refuse.</w:t>
      </w:r>
    </w:p>
    <w:p>
      <w:pPr>
        <w:pStyle w:val="ListParagraph"/>
        <w:numPr>
          <w:ilvl w:val="0"/>
          <w:numId w:val="1"/>
        </w:numPr>
        <w:spacing w:after="80" w:line="264"/>
      </w:pPr>
      <w:r>
        <w:rPr>
          <w:b w:val="false"/>
          <w:bCs w:val="false"/>
          <w:color w:val="1A1A1A"/>
        </w:rPr>
        <w:t xml:space="preserve"/>
      </w:r>
      <w:r>
        <w:rPr>
          <w:b/>
          <w:bCs/>
          <w:color w:val="1A1A1A"/>
        </w:rPr>
        <w:t xml:space="preserve">There is no attempt, threat or request prong for resident-on-resident conduct.</w:t>
      </w:r>
      <w:r>
        <w:rPr>
          <w:b w:val="false"/>
          <w:bCs w:val="false"/>
          <w:color w:val="1A1A1A"/>
        </w:rPr>
        <w:t xml:space="preserve"> That prong exists, but only for staff. This is why tier 1 is not sexual abuse: a youth announcing an intention to perform a sex act on another youth would be a threat to engage in a listed act, and if the speaker were a staff member it would be sexual abuse on that basis. Between youth the definition does not reach it.</w:t>
      </w:r>
    </w:p>
    <w:p>
      <w:pPr>
        <w:pStyle w:val="ListParagraph"/>
        <w:numPr>
          <w:ilvl w:val="0"/>
          <w:numId w:val="1"/>
        </w:numPr>
        <w:spacing w:after="80" w:line="264"/>
      </w:pPr>
      <w:r>
        <w:rPr>
          <w:b w:val="false"/>
          <w:bCs w:val="false"/>
          <w:color w:val="1A1A1A"/>
        </w:rPr>
        <w:t xml:space="preserve"/>
      </w:r>
      <w:r>
        <w:rPr>
          <w:b/>
          <w:bCs/>
          <w:color w:val="1A1A1A"/>
        </w:rPr>
        <w:t xml:space="preserve">There is no display or voyeurism prong for resident-on-resident conduct either.</w:t>
      </w:r>
      <w:r>
        <w:rPr>
          <w:b w:val="false"/>
          <w:bCs w:val="false"/>
          <w:color w:val="1A1A1A"/>
        </w:rPr>
        <w:t xml:space="preserve"> Display of uncovered genitalia in the presence of a resident, and voyeurism, are staff-only prongs. That is why tiers 3 and 4 are not sexual abuse no matter how many times they happen, and it is also why the same two acts by a staff member would be.</w:t>
      </w:r>
    </w:p>
    <w:p>
      <w:pPr>
        <w:pStyle w:val="ListParagraph"/>
        <w:numPr>
          <w:ilvl w:val="0"/>
          <w:numId w:val="1"/>
        </w:numPr>
        <w:spacing w:after="80" w:line="264"/>
      </w:pPr>
      <w:r>
        <w:rPr>
          <w:b w:val="false"/>
          <w:bCs w:val="false"/>
          <w:color w:val="1A1A1A"/>
        </w:rPr>
        <w:t xml:space="preserve"/>
      </w:r>
      <w:r>
        <w:rPr>
          <w:b/>
          <w:bCs/>
          <w:color w:val="1A1A1A"/>
        </w:rPr>
        <w:t xml:space="preserve">Sexual harassment</w:t>
      </w:r>
      <w:r>
        <w:rPr>
          <w:b w:val="false"/>
          <w:bCs w:val="false"/>
          <w:color w:val="1A1A1A"/>
        </w:rPr>
        <w:t xml:space="preserve"> is the only prong that reaches speech, and prong one requires conduct that is repeated and unwelcome, directed by one resident toward another. That repetition element is what tiers 1 and 2 turn on.</w:t>
      </w:r>
    </w:p>
    <w:p>
      <w:pPr>
        <w:pStyle w:val="ListParagraph"/>
        <w:numPr>
          <w:ilvl w:val="0"/>
          <w:numId w:val="1"/>
        </w:numPr>
        <w:spacing w:after="80" w:line="264"/>
      </w:pPr>
      <w:r>
        <w:rPr>
          <w:b w:val="false"/>
          <w:bCs w:val="false"/>
          <w:color w:val="1A1A1A"/>
        </w:rPr>
        <w:t xml:space="preserve"/>
      </w:r>
      <w:r>
        <w:rPr>
          <w:b/>
          <w:bCs/>
          <w:color w:val="1A1A1A"/>
        </w:rPr>
        <w:t xml:space="preserve">Staff sexual abuse</w:t>
      </w:r>
      <w:r>
        <w:rPr>
          <w:b w:val="false"/>
          <w:bCs w:val="false"/>
          <w:color w:val="1A1A1A"/>
        </w:rPr>
        <w:t xml:space="preserve"> adds to the four contact prongs: contact with any body part where the staff member has the intent to abuse, arouse or gratify sexual desire; the attempt, threat or request prong; display of uncovered genitalia, buttocks or breast in a resident's presence; and voyeurism. The touching prong for staff is qualified by being unrelated to official duties or carrying that intent, which is the whole of the search analysis in the section above.</w:t>
      </w:r>
    </w:p>
    <w:p>
      <w:pPr>
        <w:pStyle w:val="Heading1"/>
      </w:pPr>
      <w:r>
        <w:t xml:space="preserve">The CANRA sections this guide rests on</w:t>
      </w:r>
    </w:p>
    <w:p>
      <w:pPr>
        <w:spacing w:after="120" w:line="276"/>
      </w:pPr>
      <w:r>
        <w:rPr>
          <w:color w:val="1A1A1A"/>
        </w:rPr>
        <w:t xml:space="preserve">Checked rather than recalled, because the CPS column is the part of this document that carries personal exposure for the employee who gets it wrong.</w:t>
      </w:r>
    </w:p>
    <w:p>
      <w:pPr>
        <w:pStyle w:val="ListParagraph"/>
        <w:numPr>
          <w:ilvl w:val="0"/>
          <w:numId w:val="1"/>
        </w:numPr>
        <w:spacing w:after="80" w:line="264"/>
      </w:pPr>
      <w:r>
        <w:rPr>
          <w:b w:val="false"/>
          <w:bCs w:val="false"/>
          <w:color w:val="1A1A1A"/>
        </w:rPr>
        <w:t xml:space="preserve"/>
      </w:r>
      <w:r>
        <w:rPr>
          <w:b/>
          <w:bCs/>
          <w:color w:val="1A1A1A"/>
        </w:rPr>
        <w:t xml:space="preserve">11165.1(a)</w:t>
      </w:r>
      <w:r>
        <w:rPr>
          <w:b w:val="false"/>
          <w:bCs w:val="false"/>
          <w:color w:val="1A1A1A"/>
        </w:rPr>
        <w:t xml:space="preserve"> defines sexual assault by reference to enumerated offenses: Penal Code 261, 261.5(d), 264.1, 285, 286, 287, 288(a), (b) and (c)(1), 289, and 647.6. It excludes voluntary conduct violating 286, 287 or 289 where there are no indicators of abuse, unless between a person 21 or older and a minor under 16.</w:t>
      </w:r>
    </w:p>
    <w:p>
      <w:pPr>
        <w:pStyle w:val="ListParagraph"/>
        <w:numPr>
          <w:ilvl w:val="0"/>
          <w:numId w:val="1"/>
        </w:numPr>
        <w:spacing w:after="80" w:line="264"/>
      </w:pPr>
      <w:r>
        <w:rPr>
          <w:b w:val="false"/>
          <w:bCs w:val="false"/>
          <w:color w:val="1A1A1A"/>
        </w:rPr>
        <w:t xml:space="preserve"/>
      </w:r>
      <w:r>
        <w:rPr>
          <w:b/>
          <w:bCs/>
          <w:color w:val="1A1A1A"/>
        </w:rPr>
        <w:t xml:space="preserve">11165.1(b)</w:t>
      </w:r>
      <w:r>
        <w:rPr>
          <w:b w:val="false"/>
          <w:bCs w:val="false"/>
          <w:color w:val="1A1A1A"/>
        </w:rPr>
        <w:t xml:space="preserve"> is the part that decides most of this chart, and it is easy to miss because it operates independently of the (a) list. Conduct described as sexual assault includes, but is not limited to, penetration however slight, oral contact with genitals, intrusion into the genitals or anal opening, </w:t>
      </w:r>
      <w:r>
        <w:rPr>
          <w:b/>
          <w:bCs/>
          <w:color w:val="1A1A1A"/>
        </w:rPr>
        <w:t xml:space="preserve">(4)</w:t>
      </w:r>
      <w:r>
        <w:rPr>
          <w:b w:val="false"/>
          <w:bCs w:val="false"/>
          <w:color w:val="1A1A1A"/>
        </w:rPr>
        <w:t xml:space="preserve"> the intentional touching of genitals or intimate parts including the breasts, genital area, groin, inner thighs and buttocks, or the clothing covering them, for purposes of sexual arousal or gratification, and </w:t>
      </w:r>
      <w:r>
        <w:rPr>
          <w:b/>
          <w:bCs/>
          <w:color w:val="1A1A1A"/>
        </w:rPr>
        <w:t xml:space="preserve">(5)</w:t>
      </w:r>
      <w:r>
        <w:rPr>
          <w:b w:val="false"/>
          <w:bCs w:val="false"/>
          <w:color w:val="1A1A1A"/>
        </w:rPr>
        <w:t xml:space="preserve"> the intentional masturbation of the perpetrator's genitals in the presence of a child.</w:t>
      </w:r>
    </w:p>
    <w:p>
      <w:pPr>
        <w:pStyle w:val="ListParagraph"/>
        <w:numPr>
          <w:ilvl w:val="0"/>
          <w:numId w:val="1"/>
        </w:numPr>
        <w:spacing w:after="80" w:line="264"/>
      </w:pPr>
      <w:r>
        <w:rPr>
          <w:b w:val="false"/>
          <w:bCs w:val="false"/>
          <w:color w:val="1A1A1A"/>
        </w:rPr>
        <w:t xml:space="preserve"/>
      </w:r>
      <w:r>
        <w:rPr>
          <w:b/>
          <w:bCs/>
          <w:color w:val="1A1A1A"/>
        </w:rPr>
        <w:t xml:space="preserve">11165.1(c)</w:t>
      </w:r>
      <w:r>
        <w:rPr>
          <w:b w:val="false"/>
          <w:bCs w:val="false"/>
          <w:color w:val="1A1A1A"/>
        </w:rPr>
        <w:t xml:space="preserve"> defines sexual exploitation, which covers obscene matter depicting a minor and inducing a child into prostitution or a live obscene performance. Nothing on this chart is sexual exploitation.</w:t>
      </w:r>
    </w:p>
    <w:p>
      <w:pPr>
        <w:pStyle w:val="ListParagraph"/>
        <w:numPr>
          <w:ilvl w:val="0"/>
          <w:numId w:val="1"/>
        </w:numPr>
        <w:spacing w:after="80" w:line="264"/>
      </w:pPr>
      <w:r>
        <w:rPr>
          <w:b w:val="false"/>
          <w:bCs w:val="false"/>
          <w:color w:val="1A1A1A"/>
        </w:rPr>
        <w:t xml:space="preserve"/>
      </w:r>
      <w:r>
        <w:rPr>
          <w:b/>
          <w:bCs/>
          <w:color w:val="1A1A1A"/>
        </w:rPr>
        <w:t xml:space="preserve">11165.5</w:t>
      </w:r>
      <w:r>
        <w:rPr>
          <w:b w:val="false"/>
          <w:bCs w:val="false"/>
          <w:color w:val="1A1A1A"/>
        </w:rPr>
        <w:t xml:space="preserve"> defines abuse or neglect in out-of-home care, which captures abuse where the responsible person is an employee of an institution caring for children. That is the staff-on-youth category and it is not on this chart.</w:t>
      </w:r>
    </w:p>
    <w:p>
      <w:pPr>
        <w:pStyle w:val="ListParagraph"/>
        <w:numPr>
          <w:ilvl w:val="0"/>
          <w:numId w:val="1"/>
        </w:numPr>
        <w:spacing w:after="80" w:line="264"/>
      </w:pPr>
      <w:r>
        <w:rPr>
          <w:b w:val="false"/>
          <w:bCs w:val="false"/>
          <w:color w:val="1A1A1A"/>
        </w:rPr>
        <w:t xml:space="preserve"/>
      </w:r>
      <w:r>
        <w:rPr>
          <w:b/>
          <w:bCs/>
          <w:color w:val="1A1A1A"/>
        </w:rPr>
        <w:t xml:space="preserve">11165.6</w:t>
      </w:r>
      <w:r>
        <w:rPr>
          <w:b w:val="false"/>
          <w:bCs w:val="false"/>
          <w:color w:val="1A1A1A"/>
        </w:rPr>
        <w:t xml:space="preserve"> defines child abuse or neglect overall and expressly excludes a mutual affray between minors, and injury from reasonable and necessary force by a peace officer acting in the course and scope of employment.</w:t>
      </w:r>
    </w:p>
    <w:p>
      <w:pPr>
        <w:pStyle w:val="ListParagraph"/>
        <w:numPr>
          <w:ilvl w:val="0"/>
          <w:numId w:val="1"/>
        </w:numPr>
        <w:spacing w:after="80" w:line="264"/>
      </w:pPr>
      <w:r>
        <w:rPr>
          <w:b w:val="false"/>
          <w:bCs w:val="false"/>
          <w:color w:val="1A1A1A"/>
        </w:rPr>
        <w:t xml:space="preserve"/>
      </w:r>
      <w:r>
        <w:rPr>
          <w:b/>
          <w:bCs/>
          <w:color w:val="1A1A1A"/>
        </w:rPr>
        <w:t xml:space="preserve">11165.7</w:t>
      </w:r>
      <w:r>
        <w:rPr>
          <w:b w:val="false"/>
          <w:bCs w:val="false"/>
          <w:color w:val="1A1A1A"/>
        </w:rPr>
        <w:t xml:space="preserve"> lists mandated reporters and includes a probation officer.</w:t>
      </w:r>
    </w:p>
    <w:p>
      <w:pPr>
        <w:pStyle w:val="ListParagraph"/>
        <w:numPr>
          <w:ilvl w:val="0"/>
          <w:numId w:val="1"/>
        </w:numPr>
        <w:spacing w:after="80" w:line="264"/>
      </w:pPr>
      <w:r>
        <w:rPr>
          <w:b w:val="false"/>
          <w:bCs w:val="false"/>
          <w:color w:val="1A1A1A"/>
        </w:rPr>
        <w:t xml:space="preserve"/>
      </w:r>
      <w:r>
        <w:rPr>
          <w:b/>
          <w:bCs/>
          <w:color w:val="1A1A1A"/>
        </w:rPr>
        <w:t xml:space="preserve">11165.9</w:t>
      </w:r>
      <w:r>
        <w:rPr>
          <w:b w:val="false"/>
          <w:bCs w:val="false"/>
          <w:color w:val="1A1A1A"/>
        </w:rPr>
        <w:t xml:space="preserve"> names the agencies that may receive a report. </w:t>
      </w:r>
      <w:r>
        <w:rPr>
          <w:b/>
          <w:bCs/>
          <w:color w:val="1A1A1A"/>
        </w:rPr>
        <w:t xml:space="preserve">11166(a)</w:t>
      </w:r>
      <w:r>
        <w:rPr>
          <w:b w:val="false"/>
          <w:bCs w:val="false"/>
          <w:color w:val="1A1A1A"/>
        </w:rPr>
        <w:t xml:space="preserve"> sets the timing. </w:t>
      </w:r>
      <w:r>
        <w:rPr>
          <w:b/>
          <w:bCs/>
          <w:color w:val="1A1A1A"/>
        </w:rPr>
        <w:t xml:space="preserve">11166(i)(1)</w:t>
      </w:r>
      <w:r>
        <w:rPr>
          <w:b w:val="false"/>
          <w:bCs w:val="false"/>
          <w:color w:val="1A1A1A"/>
        </w:rPr>
        <w:t xml:space="preserve"> makes the duty individual and bars any supervisor from impeding it. </w:t>
      </w:r>
      <w:r>
        <w:rPr>
          <w:b/>
          <w:bCs/>
          <w:color w:val="1A1A1A"/>
        </w:rPr>
        <w:t xml:space="preserve">11166(j)</w:t>
      </w:r>
      <w:r>
        <w:rPr>
          <w:b w:val="false"/>
          <w:bCs w:val="false"/>
          <w:color w:val="1A1A1A"/>
        </w:rPr>
        <w:t xml:space="preserve"> imposes the cross-report duty on a county probation department that receives a report. </w:t>
      </w:r>
      <w:r>
        <w:rPr>
          <w:b/>
          <w:bCs/>
          <w:color w:val="1A1A1A"/>
        </w:rPr>
        <w:t xml:space="preserve">11172(a)</w:t>
      </w:r>
      <w:r>
        <w:rPr>
          <w:b w:val="false"/>
          <w:bCs w:val="false"/>
          <w:color w:val="1A1A1A"/>
        </w:rPr>
        <w:t xml:space="preserve"> gives immunity to reporters. </w:t>
      </w:r>
      <w:r>
        <w:rPr>
          <w:b/>
          <w:bCs/>
          <w:color w:val="1A1A1A"/>
        </w:rPr>
        <w:t xml:space="preserve">11166(c)</w:t>
      </w:r>
      <w:r>
        <w:rPr>
          <w:b w:val="false"/>
          <w:bCs w:val="false"/>
          <w:color w:val="1A1A1A"/>
        </w:rPr>
        <w:t xml:space="preserve"> penalizes failure to report.</w:t>
      </w:r>
    </w:p>
    <w:p>
      <w:pPr>
        <w:pStyle w:val="ListParagraph"/>
        <w:numPr>
          <w:ilvl w:val="0"/>
          <w:numId w:val="1"/>
        </w:numPr>
        <w:spacing w:after="80" w:line="264"/>
      </w:pPr>
      <w:r>
        <w:rPr>
          <w:b w:val="false"/>
          <w:bCs w:val="false"/>
          <w:color w:val="1A1A1A"/>
        </w:rPr>
        <w:t xml:space="preserve"/>
      </w:r>
      <w:r>
        <w:rPr>
          <w:b/>
          <w:bCs/>
          <w:color w:val="1A1A1A"/>
        </w:rPr>
        <w:t xml:space="preserve">11166.05</w:t>
      </w:r>
      <w:r>
        <w:rPr>
          <w:b w:val="false"/>
          <w:bCs w:val="false"/>
          <w:color w:val="1A1A1A"/>
        </w:rPr>
        <w:t xml:space="preserve"> permits, but does not require, a report where a child is suffering or at substantial risk of serious emotional damage. Worth knowing for a youth who is the repeated target in tiers 1 to 3 and is visibly deteriorating.</w:t>
      </w:r>
    </w:p>
    <w:p>
      <w:pPr>
        <w:pStyle w:val="Heading1"/>
      </w:pPr>
      <w:r>
        <w:t xml:space="preserve">Six things in current departmental documents that will mislead a supervisor</w:t>
      </w:r>
    </w:p>
    <w:p>
      <w:pPr>
        <w:spacing w:after="120" w:line="276"/>
      </w:pPr>
      <w:r>
        <w:rPr>
          <w:color w:val="1A1A1A"/>
        </w:rPr>
        <w:t xml:space="preserve">These are open findings in the gap register. A supervisor following current policy will get the first one wrong.</w:t>
      </w:r>
    </w:p>
    <w:p>
      <w:pPr>
        <w:pStyle w:val="Heading2"/>
      </w:pPr>
      <w:r>
        <w:t xml:space="preserve">The CPS timeline in policy is wrong. Register row 48, Critical.</w:t>
      </w:r>
    </w:p>
    <w:p>
      <w:pPr>
        <w:spacing w:after="120" w:line="276"/>
      </w:pPr>
      <w:r>
        <w:rPr>
          <w:color w:val="1A1A1A"/>
        </w:rPr>
        <w:t xml:space="preserve">PREA Policy V.A.4 and OO 1453 I.A.9 both state a 24-hour verbal report to Child Protective Services. Penal Code 11166(a) requires the telephone report immediately or as soon as is practicably possible. A supervisor who follows the order as written is instructing an employee to miss a statutory deadline, and the exposure for that falls on the employee. The Code of Conduct at VII.A.1 states it correctly.</w:t>
      </w:r>
    </w:p>
    <w:p>
      <w:pPr>
        <w:pStyle w:val="Heading2"/>
      </w:pPr>
      <w:r>
        <w:t xml:space="preserve">"Sexual misconduct" is a major rule violation and is nowhere defined. Register row 64.</w:t>
      </w:r>
    </w:p>
    <w:p>
      <w:pPr>
        <w:spacing w:after="120" w:line="276"/>
      </w:pPr>
      <w:r>
        <w:rPr>
          <w:color w:val="1A1A1A"/>
        </w:rPr>
        <w:t xml:space="preserve">OO 1390/1391 II.B.4 lists it. Nothing in the order says whether it covers a comment, exposure, or touching, and nothing distinguishes coerced from non-coerced conduct. Two supervisors will charge the same incident differently, and neither will be wrong on the face of the order.</w:t>
      </w:r>
    </w:p>
    <w:p>
      <w:pPr>
        <w:pStyle w:val="Heading2"/>
      </w:pPr>
      <w:r>
        <w:t xml:space="preserve">The disciplinary hearing may not attach. Register row 64.</w:t>
      </w:r>
    </w:p>
    <w:p>
      <w:pPr>
        <w:spacing w:after="120" w:line="276"/>
      </w:pPr>
      <w:r>
        <w:rPr>
          <w:color w:val="1A1A1A"/>
        </w:rPr>
        <w:t xml:space="preserve">OO 1390/1391 IV.A requires the due process hearing only where the recommended discipline is Program Separation. 15 CCR 1391(f) requires those protections for major rule violations as a class. Charge sexual misconduct and give point loss or a level demotion, and the youth receives none of the state-required process. Citation note: 1391(f) is the numbering in the edition effective 01/01/2019. The 04/01/2014 edition had these elements at 1391(e). Revision 6 corrected the register to match, so the two now agree.</w:t>
      </w:r>
    </w:p>
    <w:p>
      <w:pPr>
        <w:pStyle w:val="Heading2"/>
      </w:pPr>
      <w:r>
        <w:t xml:space="preserve">There is no emergency grievance track. Register row 42.</w:t>
      </w:r>
    </w:p>
    <w:p>
      <w:pPr>
        <w:spacing w:after="120" w:line="276"/>
      </w:pPr>
      <w:r>
        <w:rPr>
          <w:color w:val="1A1A1A"/>
        </w:rPr>
        <w:t xml:space="preserve">115.352 requires an emergency grievance route for an allegation of substantial risk of imminent sexual abuse, with a 48-hour initial response and a 5-calendar-day final decision. OO 1361 has no such track. A frightened youth has no expedited route.</w:t>
      </w:r>
    </w:p>
    <w:p>
      <w:pPr>
        <w:pStyle w:val="Heading2"/>
      </w:pPr>
      <w:r>
        <w:t xml:space="preserve">There is no retaliation monitoring. Register row 56, Critical.</w:t>
      </w:r>
    </w:p>
    <w:p>
      <w:pPr>
        <w:spacing w:after="120" w:line="276"/>
      </w:pPr>
      <w:r>
        <w:rPr>
          <w:color w:val="1A1A1A"/>
        </w:rPr>
        <w:t xml:space="preserve">115.367 requires a designated monitor and at least 90 days of monitoring for youth and staff who report. The department has a referral route through Internal Complaints for grievance-related retaliation and nothing on the monitoring side. Tiers 2 through 5 above all assume monitoring that does not currently exist.</w:t>
      </w:r>
    </w:p>
    <w:p>
      <w:pPr>
        <w:pStyle w:val="Heading2"/>
      </w:pPr>
      <w:r>
        <w:t xml:space="preserve">No written rule separates a 13 year old from a 25 year old. Register rows 84 and 86.</w:t>
      </w:r>
    </w:p>
    <w:p>
      <w:pPr>
        <w:spacing w:after="120" w:line="276"/>
      </w:pPr>
      <w:r>
        <w:rPr>
          <w:color w:val="1A1A1A"/>
        </w:rPr>
        <w:t xml:space="preserve">The facility groups boys by age and keeps a resident under 16 away from one over 18 in all but uncommon cases. Neither practice appears in any document reviewed, and neither is required by Title 15 or by 28 CFR Part 115, which contain no age-based housing rule for a juvenile facility at all. The department is therefore running a control that is better than the standard and recording none of it. For a supervisor that means there is no written rule to apply when the units are full, no written authority to authorize an exception, and nothing to point to afterwards. Ask for the rule in writing, including who approves a mixed pairing and where that approval is recorded.</w:t>
      </w:r>
    </w:p>
    <w:p>
      <w:pPr>
        <w:pStyle w:val="Heading1"/>
      </w:pPr>
      <w:r>
        <w:t xml:space="preserve">What County Counsel needs to confirm before this issues</w:t>
      </w:r>
    </w:p>
    <w:p>
      <w:pPr>
        <w:pStyle w:val="ListParagraph"/>
        <w:numPr>
          <w:ilvl w:val="0"/>
          <w:numId w:val="1"/>
        </w:numPr>
        <w:spacing w:after="80" w:line="264"/>
      </w:pPr>
      <w:r>
        <w:rPr>
          <w:b w:val="false"/>
          <w:bCs w:val="false"/>
          <w:color w:val="1A1A1A"/>
        </w:rPr>
        <w:t xml:space="preserve">The purpose element in tier 5. Penal Code 11165.1(b)(4) requires the touching be for sexual arousal or gratification, and staff will have to form a view on that in the moment. Confirm how the department wants that judged and recorded, and confirm that the practical answer is to report and let the investigation sort purpose out rather than to decline on an untested inference about motive.</w:t>
      </w:r>
    </w:p>
    <w:p>
      <w:pPr>
        <w:pStyle w:val="ListParagraph"/>
        <w:numPr>
          <w:ilvl w:val="0"/>
          <w:numId w:val="1"/>
        </w:numPr>
        <w:spacing w:after="80" w:line="264"/>
      </w:pPr>
      <w:r>
        <w:rPr>
          <w:b w:val="false"/>
          <w:bCs w:val="false"/>
          <w:color w:val="1A1A1A"/>
        </w:rPr>
        <w:t xml:space="preserve">The boundary between the Penal Code 11165.6 exclusion for a mutual affray between minors and contact that happens to occur during a fight but is sexual in purpose. That line decides whether tier 5 reports.</w:t>
      </w:r>
    </w:p>
    <w:p>
      <w:pPr>
        <w:pStyle w:val="ListParagraph"/>
        <w:numPr>
          <w:ilvl w:val="0"/>
          <w:numId w:val="1"/>
        </w:numPr>
        <w:spacing w:after="80" w:line="264"/>
      </w:pPr>
      <w:r>
        <w:rPr>
          <w:b w:val="false"/>
          <w:bCs w:val="false"/>
          <w:color w:val="1A1A1A"/>
        </w:rPr>
        <w:t xml:space="preserve">Whether the Penal Code 11165.1(a) exception for voluntary conduct violating 286, 287 or 289 where there are no indicators of abuse can ever apply between detained youth, given that custody makes voluntariness difficult to establish.</w:t>
      </w:r>
    </w:p>
    <w:p>
      <w:pPr>
        <w:pStyle w:val="ListParagraph"/>
        <w:numPr>
          <w:ilvl w:val="0"/>
          <w:numId w:val="1"/>
        </w:numPr>
        <w:spacing w:after="80" w:line="264"/>
      </w:pPr>
      <w:r>
        <w:rPr>
          <w:b w:val="false"/>
          <w:bCs w:val="false"/>
          <w:color w:val="1A1A1A"/>
        </w:rPr>
        <w:t xml:space="preserve">Whether Penal Code 647.6 can reach directed sexualized conduct between detained minors, which is the only route by which tiers 1 to 3 could become reportable on their own facts.</w:t>
      </w:r>
    </w:p>
    <w:p>
      <w:pPr>
        <w:pStyle w:val="ListParagraph"/>
        <w:numPr>
          <w:ilvl w:val="0"/>
          <w:numId w:val="1"/>
        </w:numPr>
        <w:spacing w:after="80" w:line="264"/>
      </w:pPr>
      <w:r>
        <w:rPr>
          <w:b w:val="false"/>
          <w:bCs w:val="false"/>
          <w:color w:val="1A1A1A"/>
        </w:rPr>
        <w:t xml:space="preserve">Whether the department is designated under Penal Code 11165.9 to receive mandated reports, which determines whether the Penal Code 11166(j) cross-reporting duty applies to the department itself.</w:t>
      </w:r>
    </w:p>
    <w:p>
      <w:pPr>
        <w:pStyle w:val="ListParagraph"/>
        <w:numPr>
          <w:ilvl w:val="0"/>
          <w:numId w:val="1"/>
        </w:numPr>
        <w:spacing w:after="80" w:line="264"/>
      </w:pPr>
      <w:r>
        <w:rPr>
          <w:b w:val="false"/>
          <w:bCs w:val="false"/>
          <w:color w:val="1A1A1A"/>
        </w:rPr>
        <w:t xml:space="preserve">Whether any of this should be stated in a department-wide General Order on child abuse reporting rather than in a facility job aid. That order is already recommended as change 3.</w:t>
      </w:r>
    </w:p>
    <w:p>
      <w:pPr>
        <w:pStyle w:val="ListParagraph"/>
        <w:numPr>
          <w:ilvl w:val="0"/>
          <w:numId w:val="1"/>
        </w:numPr>
        <w:spacing w:after="80" w:line="264"/>
      </w:pPr>
      <w:r>
        <w:rPr>
          <w:b w:val="false"/>
          <w:bCs w:val="false"/>
          <w:color w:val="1A1A1A"/>
        </w:rPr>
        <w:t xml:space="preserve">Whether a resident over 18 who carries the OO 1352 </w:t>
      </w:r>
      <w:r>
        <w:rPr>
          <w:b/>
          <w:bCs/>
          <w:color w:val="1A1A1A"/>
        </w:rPr>
        <w:t xml:space="preserve">S-5 Mental Health classification</w:t>
      </w:r>
      <w:r>
        <w:rPr>
          <w:b w:val="false"/>
          <w:bCs w:val="false"/>
          <w:color w:val="1A1A1A"/>
        </w:rPr>
        <w:t xml:space="preserve"> is a dependent adult under Welfare and Institutions Code 15610.23(a). The department has stated it does not treat residents aged 18 to 25 as dependent adults, and as a general position that is defensible: 15610.23(b) reaches 18 to 64 year olds admitted as inpatients to a 24-hour health facility, and a juvenile hall is not one. But 15610.23(a) is an individualized test, reaching a person 18 to 64 with physical or mental limitations restricting their ability to carry out normal activities or to protect their rights, expressly including developmental disabilities. OO 1352 S-5 covers limited functioning abilities, youth on prescribed psychotropic medication, and youth susceptible to victimization due to limited functioning or psychological problems. That is the 15610.23(a) description almost word for word, so the department's own classification system already identifies the residents for whom the categorical position is weakest. Narrow question, not a broad one.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color w:val="5A5A5A"/>
        <w:sz w:val="18"/>
        <w:szCs w:val="18"/>
      </w:rPr>
      <w:t xml:space="preserve">Supervisor decision guide. YDF. DRAFT, not for issuance.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A1A1A"/>
      <w:sz w:val="34"/>
      <w:szCs w:val="34"/>
    </w:rPr>
  </w:style>
  <w:style w:type="paragraph" w:styleId="Heading2">
    <w:name w:val="Heading 2"/>
    <w:basedOn w:val="Normal"/>
    <w:next w:val="Normal"/>
    <w:qFormat/>
    <w:pPr>
      <w:spacing w:after="140" w:before="300"/>
    </w:pPr>
    <w:rPr>
      <w:rFonts w:ascii="Calibri" w:cs="Calibri" w:eastAsia="Calibri" w:hAnsi="Calibri"/>
      <w:b/>
      <w:bCs/>
      <w:color w:val="1A1A1A"/>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2026-10-30T17:28:16.016Z</dcterms:created>
  <dcterms:modified xsi:type="dcterms:W3CDTF">2026-10-30T17:28:16.017Z</dcterms:modified>
</cp:coreProperties>
</file>

<file path=docProps/custom.xml><?xml version="1.0" encoding="utf-8"?>
<Properties xmlns="http://schemas.openxmlformats.org/officeDocument/2006/custom-properties" xmlns:vt="http://schemas.openxmlformats.org/officeDocument/2006/docPropsVTypes"/>
</file>