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center"/>
      </w:pPr>
      <w:r>
        <w:rPr>
          <w:b/>
          <w:bCs/>
          <w:color w:val="1A1A1A"/>
          <w:sz w:val="48"/>
          <w:szCs w:val="48"/>
        </w:rPr>
        <w:t xml:space="preserve">Redlines</w:t>
      </w:r>
    </w:p>
    <w:p>
      <w:pPr>
        <w:spacing w:after="500"/>
        <w:jc w:val="center"/>
      </w:pPr>
      <w:r>
        <w:rPr>
          <w:color w:val="5A5A5A"/>
          <w:sz w:val="32"/>
          <w:szCs w:val="32"/>
        </w:rPr>
        <w:t xml:space="preserve">Recommended changes 1 to 7</w:t>
      </w:r>
    </w:p>
    <w:p>
      <w:pPr>
        <w:spacing w:after="60"/>
        <w:jc w:val="center"/>
      </w:pPr>
      <w:r>
        <w:rPr>
          <w:color w:val="1A1A1A"/>
          <w:sz w:val="26"/>
          <w:szCs w:val="26"/>
        </w:rPr>
        <w:t xml:space="preserve">Sacramento County Probation Department</w:t>
      </w:r>
    </w:p>
    <w:p>
      <w:pPr>
        <w:spacing w:after="400"/>
        <w:jc w:val="center"/>
      </w:pPr>
      <w:r>
        <w:rPr>
          <w:color w:val="1A1A1A"/>
          <w:sz w:val="26"/>
          <w:szCs w:val="26"/>
        </w:rPr>
        <w:t xml:space="preserve">Youth Detention Facility</w:t>
      </w:r>
    </w:p>
    <w:p>
      <w:pPr>
        <w:spacing w:after="900"/>
        <w:jc w:val="center"/>
      </w:pPr>
      <w:r>
        <w:rPr>
          <w:color w:val="5A5A5A"/>
          <w:sz w:val="26"/>
          <w:szCs w:val="26"/>
        </w:rPr>
        <w:t xml:space="preserve">Amendment language for the seven changes correctable without new policy. Drawn from gap register Revision 11.</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5F5F5" w:color="auto" w:val="clear"/>
            <w:tcMar>
              <w:top w:type="dxa" w:w="60"/>
              <w:left w:type="dxa" w:w="100"/>
              <w:bottom w:type="dxa" w:w="60"/>
              <w:right w:type="dxa" w:w="100"/>
            </w:tcMar>
          </w:tcPr>
          <w:p>
            <w:pPr>
              <w:spacing w:after="60" w:before="60" w:line="260"/>
            </w:pPr>
            <w:r>
              <w:rPr>
                <w:b/>
                <w:bCs/>
                <w:color w:val="1A1A1A"/>
                <w:sz w:val="24"/>
                <w:szCs w:val="24"/>
              </w:rPr>
              <w:t xml:space="preserve">This is not legal advice. </w:t>
            </w:r>
            <w:r>
              <w:rPr>
                <w:color w:val="1A1A1A"/>
                <w:sz w:val="24"/>
                <w:szCs w:val="24"/>
              </w:rPr>
              <w:t xml:space="preserve">It is proposed amendment language prepared for internal remediation planning. Statutory questions, and every item in a Before adoption block, route to County Counsel.</w:t>
            </w:r>
          </w:p>
        </w:tc>
      </w:tr>
    </w:tbl>
    <w:p>
      <w:r>
        <w:br w:type="page"/>
      </w:r>
    </w:p>
    <w:p>
      <w:pPr>
        <w:pStyle w:val="Heading1"/>
        <w:spacing w:after="2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How to read a redline</w:t>
      </w:r>
    </w:p>
    <w:p>
      <w:pPr>
        <w:spacing w:after="120" w:line="276"/>
      </w:pPr>
      <w:r>
        <w:rPr>
          <w:color w:val="1A1A1A"/>
        </w:rPr>
        <w:t xml:space="preserve">Each change gives the provision to strike, the language to insert in its place, the conforming edits the amendment needs to be complete, and a Before adoption block. Read that block first.</w:t>
      </w:r>
    </w:p>
    <w:p>
      <w:pPr>
        <w:spacing w:after="120" w:line="276"/>
      </w:pPr>
      <w:r>
        <w:rPr>
          <w:color w:val="1A1A1A"/>
        </w:rPr>
        <w:t xml:space="preserve">Struck text is shaded and struck through. Where the source order has not been produced to this review, the struck text is a reconstruction of what the register describes, not a quotation, and each item says which it is. Inserted language is shaded and is written to be pasted into the order with its own numbering.</w:t>
      </w:r>
    </w:p>
    <w:p>
      <w:pPr>
        <w:spacing w:after="120" w:line="276"/>
      </w:pPr>
      <w:r>
        <w:rPr>
          <w:color w:val="1A1A1A"/>
        </w:rPr>
        <w:t xml:space="preserve">Items 1 through 7 require no new policy and can be completed on an amendment cycle. They are ordered as they appear in the master report.</w:t>
      </w:r>
    </w:p>
    <w:p>
      <w:pPr>
        <w:pStyle w:val="Heading2"/>
      </w:pPr>
      <w:r>
        <w:t xml:space="preserve">Source documents</w:t>
      </w:r>
    </w:p>
    <w:p>
      <w:pPr>
        <w:spacing w:after="120" w:line="276"/>
      </w:pPr>
      <w:r>
        <w:rPr>
          <w:color w:val="1A1A1A"/>
        </w:rPr>
        <w:t xml:space="preserve">Produced and read directly:</w:t>
      </w:r>
    </w:p>
    <w:p>
      <w:pPr>
        <w:pStyle w:val="ListParagraph"/>
        <w:numPr>
          <w:ilvl w:val="0"/>
          <w:numId w:val="1"/>
        </w:numPr>
        <w:spacing w:after="80" w:line="264"/>
      </w:pPr>
      <w:r>
        <w:rPr>
          <w:color w:val="1A1A1A"/>
        </w:rPr>
        <w:t xml:space="preserve">OO 1354.5 Room Confinement</w:t>
      </w:r>
    </w:p>
    <w:p>
      <w:pPr>
        <w:pStyle w:val="ListParagraph"/>
        <w:numPr>
          <w:ilvl w:val="0"/>
          <w:numId w:val="1"/>
        </w:numPr>
        <w:spacing w:after="80" w:line="264"/>
      </w:pPr>
      <w:r>
        <w:rPr>
          <w:color w:val="1A1A1A"/>
        </w:rPr>
        <w:t xml:space="preserve">OO 1390/1391 Discipline and Discipline Process</w:t>
      </w:r>
    </w:p>
    <w:p>
      <w:pPr>
        <w:pStyle w:val="ListParagraph"/>
        <w:numPr>
          <w:ilvl w:val="0"/>
          <w:numId w:val="1"/>
        </w:numPr>
        <w:spacing w:after="80" w:line="264"/>
      </w:pPr>
      <w:r>
        <w:rPr>
          <w:color w:val="1A1A1A"/>
        </w:rPr>
        <w:t xml:space="preserve">Internal Complaints (Administrative P&amp;P Manual)</w:t>
      </w:r>
    </w:p>
    <w:p>
      <w:pPr>
        <w:pStyle w:val="ListParagraph"/>
        <w:numPr>
          <w:ilvl w:val="0"/>
          <w:numId w:val="1"/>
        </w:numPr>
        <w:spacing w:after="80" w:line="264"/>
      </w:pPr>
      <w:r>
        <w:rPr>
          <w:color w:val="1A1A1A"/>
        </w:rPr>
        <w:t xml:space="preserve">Title 15, Minimum Standards for Juvenile Facilities, rev. 04/01/2014</w:t>
      </w:r>
    </w:p>
    <w:p>
      <w:pPr>
        <w:pStyle w:val="ListParagraph"/>
        <w:numPr>
          <w:ilvl w:val="0"/>
          <w:numId w:val="1"/>
        </w:numPr>
        <w:spacing w:after="80" w:line="264"/>
      </w:pPr>
      <w:r>
        <w:rPr>
          <w:color w:val="1A1A1A"/>
        </w:rPr>
        <w:t xml:space="preserve">OO 1352 Classification, eff. 12/09/2019, rev. 02/27/2020 (produced and read in full in Revision 9)</w:t>
      </w:r>
    </w:p>
    <w:p>
      <w:pPr>
        <w:pStyle w:val="ListParagraph"/>
        <w:numPr>
          <w:ilvl w:val="0"/>
          <w:numId w:val="1"/>
        </w:numPr>
        <w:spacing w:after="80" w:line="264"/>
      </w:pPr>
      <w:r>
        <w:rPr>
          <w:color w:val="1A1A1A"/>
        </w:rPr>
        <w:t xml:space="preserve">Title 15, Minimum Standards for Juvenile Facilities, eff. 01/01/2019</w:t>
      </w:r>
    </w:p>
    <w:p>
      <w:pPr>
        <w:pStyle w:val="ListParagraph"/>
        <w:numPr>
          <w:ilvl w:val="0"/>
          <w:numId w:val="1"/>
        </w:numPr>
        <w:spacing w:after="80" w:line="264"/>
      </w:pPr>
      <w:r>
        <w:rPr>
          <w:color w:val="1A1A1A"/>
        </w:rPr>
        <w:t xml:space="preserve">OO 1453 Sexual Assault, eff. 04/25/2013, rev. 12/09/2019 (produced and read in full in Revision 10)</w:t>
      </w:r>
    </w:p>
    <w:p>
      <w:pPr>
        <w:spacing w:after="120" w:line="276"/>
      </w:pPr>
      <w:r>
        <w:rPr>
          <w:color w:val="1A1A1A"/>
        </w:rPr>
        <w:t xml:space="preserve">Not produced. Every provision cited in these documents traces to the register, which traces to the earlier review that read them. Confirm each section number and its wording against the PDF before any of this is circulated:</w:t>
      </w:r>
    </w:p>
    <w:p>
      <w:pPr>
        <w:pStyle w:val="ListParagraph"/>
        <w:numPr>
          <w:ilvl w:val="0"/>
          <w:numId w:val="1"/>
        </w:numPr>
        <w:spacing w:after="80" w:line="264"/>
      </w:pPr>
      <w:r>
        <w:rPr>
          <w:color w:val="1A1A1A"/>
        </w:rPr>
        <w:t xml:space="preserve">OO 1352.5 Transgender and Intersex Youth</w:t>
      </w:r>
    </w:p>
    <w:p>
      <w:pPr>
        <w:pStyle w:val="ListParagraph"/>
        <w:numPr>
          <w:ilvl w:val="0"/>
          <w:numId w:val="1"/>
        </w:numPr>
        <w:spacing w:after="80" w:line="264"/>
      </w:pPr>
      <w:r>
        <w:rPr>
          <w:color w:val="1A1A1A"/>
        </w:rPr>
        <w:t xml:space="preserve">PREA Policy and Procedure, Juvenile Institutions</w:t>
      </w:r>
    </w:p>
    <w:p>
      <w:pPr>
        <w:pStyle w:val="ListParagraph"/>
        <w:numPr>
          <w:ilvl w:val="0"/>
          <w:numId w:val="1"/>
        </w:numPr>
        <w:spacing w:after="80" w:line="264"/>
      </w:pPr>
      <w:r>
        <w:rPr>
          <w:color w:val="1A1A1A"/>
        </w:rPr>
        <w:t xml:space="preserve">Internal Affairs Administrative Investigations</w:t>
      </w:r>
    </w:p>
    <w:p>
      <w:pPr>
        <w:pStyle w:val="Heading2"/>
      </w:pPr>
      <w:r>
        <w:t xml:space="preserve">The seven changes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620"/>
        <w:gridCol w:w="5200"/>
        <w:gridCol w:w="1200"/>
        <w:gridCol w:w="3060"/>
      </w:tblGrid>
      <w:tr>
        <w:trPr>
          <w:tblHeader/>
        </w:trPr>
        <w:tc>
          <w:tcPr>
            <w:tcW w:type="dxa" w:w="620"/>
            <w:shd w:fill="E8E8E8" w:color="auto" w:val="clear"/>
            <w:tcMar>
              <w:top w:type="dxa" w:w="60"/>
              <w:left w:type="dxa" w:w="100"/>
              <w:bottom w:type="dxa" w:w="60"/>
              <w:right w:type="dxa" w:w="100"/>
            </w:tcMar>
          </w:tcPr>
          <w:p>
            <w:pPr>
              <w:spacing w:after="40" w:before="40" w:line="240"/>
            </w:pPr>
            <w:r>
              <w:rPr>
                <w:b/>
                <w:bCs/>
                <w:color w:val="1A1A1A"/>
                <w:sz w:val="24"/>
                <w:szCs w:val="24"/>
              </w:rPr>
              <w:t xml:space="preserve">#</w:t>
            </w:r>
          </w:p>
        </w:tc>
        <w:tc>
          <w:tcPr>
            <w:tcW w:type="dxa" w:w="5200"/>
            <w:shd w:fill="E8E8E8" w:color="auto" w:val="clear"/>
            <w:tcMar>
              <w:top w:type="dxa" w:w="60"/>
              <w:left w:type="dxa" w:w="100"/>
              <w:bottom w:type="dxa" w:w="60"/>
              <w:right w:type="dxa" w:w="100"/>
            </w:tcMar>
          </w:tcPr>
          <w:p>
            <w:pPr>
              <w:spacing w:after="40" w:before="40" w:line="240"/>
            </w:pPr>
            <w:r>
              <w:rPr>
                <w:b/>
                <w:bCs/>
                <w:color w:val="1A1A1A"/>
                <w:sz w:val="24"/>
                <w:szCs w:val="24"/>
              </w:rPr>
              <w:t xml:space="preserve">Change</w:t>
            </w:r>
          </w:p>
        </w:tc>
        <w:tc>
          <w:tcPr>
            <w:tcW w:type="dxa" w:w="1200"/>
            <w:shd w:fill="E8E8E8" w:color="auto" w:val="clear"/>
            <w:tcMar>
              <w:top w:type="dxa" w:w="60"/>
              <w:left w:type="dxa" w:w="100"/>
              <w:bottom w:type="dxa" w:w="60"/>
              <w:right w:type="dxa" w:w="100"/>
            </w:tcMar>
          </w:tcPr>
          <w:p>
            <w:pPr>
              <w:spacing w:after="40" w:before="40" w:line="240"/>
            </w:pPr>
            <w:r>
              <w:rPr>
                <w:b/>
                <w:bCs/>
                <w:color w:val="1A1A1A"/>
                <w:sz w:val="24"/>
                <w:szCs w:val="24"/>
              </w:rPr>
              <w:t xml:space="preserve">Priority</w:t>
            </w:r>
          </w:p>
        </w:tc>
        <w:tc>
          <w:tcPr>
            <w:tcW w:type="dxa" w:w="3060"/>
            <w:shd w:fill="E8E8E8" w:color="auto" w:val="clear"/>
            <w:tcMar>
              <w:top w:type="dxa" w:w="60"/>
              <w:left w:type="dxa" w:w="100"/>
              <w:bottom w:type="dxa" w:w="60"/>
              <w:right w:type="dxa" w:w="100"/>
            </w:tcMar>
          </w:tcPr>
          <w:p>
            <w:pPr>
              <w:spacing w:after="40" w:before="40" w:line="240"/>
            </w:pPr>
            <w:r>
              <w:rPr>
                <w:b/>
                <w:bCs/>
                <w:color w:val="1A1A1A"/>
                <w:sz w:val="24"/>
                <w:szCs w:val="24"/>
              </w:rPr>
              <w:t xml:space="preserve">Document</w:t>
            </w:r>
          </w:p>
        </w:tc>
      </w:tr>
      <w:tr>
        <w:tc>
          <w:tcPr>
            <w:tcW w:type="dxa" w:w="620"/>
            <w:tcMar>
              <w:top w:type="dxa" w:w="60"/>
              <w:left w:type="dxa" w:w="100"/>
              <w:bottom w:type="dxa" w:w="60"/>
              <w:right w:type="dxa" w:w="100"/>
            </w:tcMar>
          </w:tcPr>
          <w:p>
            <w:pPr>
              <w:spacing w:after="40" w:before="40" w:line="240"/>
            </w:pPr>
            <w:r>
              <w:rPr>
                <w:b w:val="false"/>
                <w:bCs w:val="false"/>
                <w:color w:val="1A1A1A"/>
                <w:sz w:val="24"/>
                <w:szCs w:val="24"/>
              </w:rPr>
              <w:t xml:space="preserve">1</w:t>
            </w:r>
          </w:p>
        </w:tc>
        <w:tc>
          <w:tcPr>
            <w:tcW w:type="dxa" w:w="5200"/>
            <w:tcMar>
              <w:top w:type="dxa" w:w="60"/>
              <w:left w:type="dxa" w:w="100"/>
              <w:bottom w:type="dxa" w:w="60"/>
              <w:right w:type="dxa" w:w="100"/>
            </w:tcMar>
          </w:tcPr>
          <w:p>
            <w:pPr>
              <w:spacing w:after="40" w:before="40" w:line="240"/>
            </w:pPr>
            <w:r>
              <w:rPr>
                <w:b w:val="false"/>
                <w:bCs w:val="false"/>
                <w:color w:val="1A1A1A"/>
                <w:sz w:val="24"/>
                <w:szCs w:val="24"/>
              </w:rPr>
              <w:t xml:space="preserve">Rescind the S-8 single-room mandate</w:t>
            </w:r>
          </w:p>
        </w:tc>
        <w:tc>
          <w:tcPr>
            <w:tcW w:type="dxa" w:w="1200"/>
            <w:tcMar>
              <w:top w:type="dxa" w:w="60"/>
              <w:left w:type="dxa" w:w="100"/>
              <w:bottom w:type="dxa" w:w="60"/>
              <w:right w:type="dxa" w:w="100"/>
            </w:tcMar>
          </w:tcPr>
          <w:p>
            <w:pPr>
              <w:spacing w:after="40" w:before="40" w:line="240"/>
            </w:pPr>
            <w:r>
              <w:rPr>
                <w:b w:val="false"/>
                <w:bCs w:val="false"/>
                <w:color w:val="1A1A1A"/>
                <w:sz w:val="24"/>
                <w:szCs w:val="24"/>
              </w:rPr>
              <w:t xml:space="preserve">Critical</w:t>
            </w:r>
          </w:p>
        </w:tc>
        <w:tc>
          <w:tcPr>
            <w:tcW w:type="dxa" w:w="3060"/>
            <w:tcMar>
              <w:top w:type="dxa" w:w="60"/>
              <w:left w:type="dxa" w:w="100"/>
              <w:bottom w:type="dxa" w:w="60"/>
              <w:right w:type="dxa" w:w="100"/>
            </w:tcMar>
          </w:tcPr>
          <w:p>
            <w:pPr>
              <w:spacing w:after="40" w:before="40" w:line="240"/>
            </w:pPr>
            <w:r>
              <w:rPr>
                <w:b w:val="false"/>
                <w:bCs w:val="false"/>
                <w:color w:val="1A1A1A"/>
                <w:sz w:val="24"/>
                <w:szCs w:val="24"/>
              </w:rPr>
              <w:t xml:space="preserve">OO 1352 Classification (eff. 12/09/2019, rev. 02/27/2020), II.M, III.E, III.I</w:t>
            </w:r>
          </w:p>
        </w:tc>
      </w:tr>
      <w:tr>
        <w:tc>
          <w:tcPr>
            <w:tcW w:type="dxa" w:w="620"/>
            <w:shd w:fill="F5F5F5" w:color="auto" w:val="clear"/>
            <w:tcMar>
              <w:top w:type="dxa" w:w="60"/>
              <w:left w:type="dxa" w:w="100"/>
              <w:bottom w:type="dxa" w:w="60"/>
              <w:right w:type="dxa" w:w="100"/>
            </w:tcMar>
          </w:tcPr>
          <w:p>
            <w:pPr>
              <w:spacing w:after="40" w:before="40" w:line="240"/>
            </w:pPr>
            <w:r>
              <w:rPr>
                <w:b w:val="false"/>
                <w:bCs w:val="false"/>
                <w:color w:val="1A1A1A"/>
                <w:sz w:val="24"/>
                <w:szCs w:val="24"/>
              </w:rPr>
              <w:t xml:space="preserve">2</w:t>
            </w:r>
          </w:p>
        </w:tc>
        <w:tc>
          <w:tcPr>
            <w:tcW w:type="dxa" w:w="5200"/>
            <w:shd w:fill="F5F5F5" w:color="auto" w:val="clear"/>
            <w:tcMar>
              <w:top w:type="dxa" w:w="60"/>
              <w:left w:type="dxa" w:w="100"/>
              <w:bottom w:type="dxa" w:w="60"/>
              <w:right w:type="dxa" w:w="100"/>
            </w:tcMar>
          </w:tcPr>
          <w:p>
            <w:pPr>
              <w:spacing w:after="40" w:before="40" w:line="240"/>
            </w:pPr>
            <w:r>
              <w:rPr>
                <w:b w:val="false"/>
                <w:bCs w:val="false"/>
                <w:color w:val="1A1A1A"/>
                <w:sz w:val="24"/>
                <w:szCs w:val="24"/>
              </w:rPr>
              <w:t xml:space="preserve">Convert the transgender and intersex single-room rule to a presumptive, documented outcome</w:t>
            </w:r>
          </w:p>
        </w:tc>
        <w:tc>
          <w:tcPr>
            <w:tcW w:type="dxa" w:w="1200"/>
            <w:shd w:fill="F5F5F5" w:color="auto" w:val="clear"/>
            <w:tcMar>
              <w:top w:type="dxa" w:w="60"/>
              <w:left w:type="dxa" w:w="100"/>
              <w:bottom w:type="dxa" w:w="60"/>
              <w:right w:type="dxa" w:w="100"/>
            </w:tcMar>
          </w:tcPr>
          <w:p>
            <w:pPr>
              <w:spacing w:after="40" w:before="40" w:line="240"/>
            </w:pPr>
            <w:r>
              <w:rPr>
                <w:b w:val="false"/>
                <w:bCs w:val="false"/>
                <w:color w:val="1A1A1A"/>
                <w:sz w:val="24"/>
                <w:szCs w:val="24"/>
              </w:rPr>
              <w:t xml:space="preserve">Critical</w:t>
            </w:r>
          </w:p>
        </w:tc>
        <w:tc>
          <w:tcPr>
            <w:tcW w:type="dxa" w:w="3060"/>
            <w:shd w:fill="F5F5F5" w:color="auto" w:val="clear"/>
            <w:tcMar>
              <w:top w:type="dxa" w:w="60"/>
              <w:left w:type="dxa" w:w="100"/>
              <w:bottom w:type="dxa" w:w="60"/>
              <w:right w:type="dxa" w:w="100"/>
            </w:tcMar>
          </w:tcPr>
          <w:p>
            <w:pPr>
              <w:spacing w:after="40" w:before="40" w:line="240"/>
            </w:pPr>
            <w:r>
              <w:rPr>
                <w:b w:val="false"/>
                <w:bCs w:val="false"/>
                <w:color w:val="1A1A1A"/>
                <w:sz w:val="24"/>
                <w:szCs w:val="24"/>
              </w:rPr>
              <w:t xml:space="preserve">OO 1352.5 Transgender and Intersex Youth (eff. 03/01/2019), III.I</w:t>
            </w:r>
          </w:p>
        </w:tc>
      </w:tr>
      <w:tr>
        <w:tc>
          <w:tcPr>
            <w:tcW w:type="dxa" w:w="620"/>
            <w:tcMar>
              <w:top w:type="dxa" w:w="60"/>
              <w:left w:type="dxa" w:w="100"/>
              <w:bottom w:type="dxa" w:w="60"/>
              <w:right w:type="dxa" w:w="100"/>
            </w:tcMar>
          </w:tcPr>
          <w:p>
            <w:pPr>
              <w:spacing w:after="40" w:before="40" w:line="240"/>
            </w:pPr>
            <w:r>
              <w:rPr>
                <w:b w:val="false"/>
                <w:bCs w:val="false"/>
                <w:color w:val="1A1A1A"/>
                <w:sz w:val="24"/>
                <w:szCs w:val="24"/>
              </w:rPr>
              <w:t xml:space="preserve">3</w:t>
            </w:r>
          </w:p>
        </w:tc>
        <w:tc>
          <w:tcPr>
            <w:tcW w:type="dxa" w:w="5200"/>
            <w:tcMar>
              <w:top w:type="dxa" w:w="60"/>
              <w:left w:type="dxa" w:w="100"/>
              <w:bottom w:type="dxa" w:w="60"/>
              <w:right w:type="dxa" w:w="100"/>
            </w:tcMar>
          </w:tcPr>
          <w:p>
            <w:pPr>
              <w:spacing w:after="40" w:before="40" w:line="240"/>
            </w:pPr>
            <w:r>
              <w:rPr>
                <w:b w:val="false"/>
                <w:bCs w:val="false"/>
                <w:color w:val="1A1A1A"/>
                <w:sz w:val="24"/>
                <w:szCs w:val="24"/>
              </w:rPr>
              <w:t xml:space="preserve">Correct the mandated child abuse reporting standard and relocate the duty</w:t>
            </w:r>
          </w:p>
        </w:tc>
        <w:tc>
          <w:tcPr>
            <w:tcW w:type="dxa" w:w="1200"/>
            <w:tcMar>
              <w:top w:type="dxa" w:w="60"/>
              <w:left w:type="dxa" w:w="100"/>
              <w:bottom w:type="dxa" w:w="60"/>
              <w:right w:type="dxa" w:w="100"/>
            </w:tcMar>
          </w:tcPr>
          <w:p>
            <w:pPr>
              <w:spacing w:after="40" w:before="40" w:line="240"/>
            </w:pPr>
            <w:r>
              <w:rPr>
                <w:b w:val="false"/>
                <w:bCs w:val="false"/>
                <w:color w:val="1A1A1A"/>
                <w:sz w:val="24"/>
                <w:szCs w:val="24"/>
              </w:rPr>
              <w:t xml:space="preserve">Critical</w:t>
            </w:r>
          </w:p>
        </w:tc>
        <w:tc>
          <w:tcPr>
            <w:tcW w:type="dxa" w:w="3060"/>
            <w:tcMar>
              <w:top w:type="dxa" w:w="60"/>
              <w:left w:type="dxa" w:w="100"/>
              <w:bottom w:type="dxa" w:w="60"/>
              <w:right w:type="dxa" w:w="100"/>
            </w:tcMar>
          </w:tcPr>
          <w:p>
            <w:pPr>
              <w:spacing w:after="40" w:before="40" w:line="240"/>
            </w:pPr>
            <w:r>
              <w:rPr>
                <w:b w:val="false"/>
                <w:bCs w:val="false"/>
                <w:color w:val="1A1A1A"/>
                <w:sz w:val="24"/>
                <w:szCs w:val="24"/>
              </w:rPr>
              <w:t xml:space="preserve">PREA Policy and Procedure, Juvenile Institutions, V.A.4</w:t>
            </w:r>
          </w:p>
        </w:tc>
      </w:tr>
      <w:tr>
        <w:tc>
          <w:tcPr>
            <w:tcW w:type="dxa" w:w="620"/>
            <w:shd w:fill="F5F5F5" w:color="auto" w:val="clear"/>
            <w:tcMar>
              <w:top w:type="dxa" w:w="60"/>
              <w:left w:type="dxa" w:w="100"/>
              <w:bottom w:type="dxa" w:w="60"/>
              <w:right w:type="dxa" w:w="100"/>
            </w:tcMar>
          </w:tcPr>
          <w:p>
            <w:pPr>
              <w:spacing w:after="40" w:before="40" w:line="240"/>
            </w:pPr>
            <w:r>
              <w:rPr>
                <w:b w:val="false"/>
                <w:bCs w:val="false"/>
                <w:color w:val="1A1A1A"/>
                <w:sz w:val="24"/>
                <w:szCs w:val="24"/>
              </w:rPr>
              <w:t xml:space="preserve">4</w:t>
            </w:r>
          </w:p>
        </w:tc>
        <w:tc>
          <w:tcPr>
            <w:tcW w:type="dxa" w:w="5200"/>
            <w:shd w:fill="F5F5F5" w:color="auto" w:val="clear"/>
            <w:tcMar>
              <w:top w:type="dxa" w:w="60"/>
              <w:left w:type="dxa" w:w="100"/>
              <w:bottom w:type="dxa" w:w="60"/>
              <w:right w:type="dxa" w:w="100"/>
            </w:tcMar>
          </w:tcPr>
          <w:p>
            <w:pPr>
              <w:spacing w:after="40" w:before="40" w:line="240"/>
            </w:pPr>
            <w:r>
              <w:rPr>
                <w:b w:val="false"/>
                <w:bCs w:val="false"/>
                <w:color w:val="1A1A1A"/>
                <w:sz w:val="24"/>
                <w:szCs w:val="24"/>
              </w:rPr>
              <w:t xml:space="preserve">Correct the cross-facility notification timeline</w:t>
            </w:r>
          </w:p>
        </w:tc>
        <w:tc>
          <w:tcPr>
            <w:tcW w:type="dxa" w:w="1200"/>
            <w:shd w:fill="F5F5F5" w:color="auto" w:val="clear"/>
            <w:tcMar>
              <w:top w:type="dxa" w:w="60"/>
              <w:left w:type="dxa" w:w="100"/>
              <w:bottom w:type="dxa" w:w="60"/>
              <w:right w:type="dxa" w:w="100"/>
            </w:tcMar>
          </w:tcPr>
          <w:p>
            <w:pPr>
              <w:spacing w:after="40" w:before="40" w:line="240"/>
            </w:pPr>
            <w:r>
              <w:rPr>
                <w:b w:val="false"/>
                <w:bCs w:val="false"/>
                <w:color w:val="1A1A1A"/>
                <w:sz w:val="24"/>
                <w:szCs w:val="24"/>
              </w:rPr>
              <w:t xml:space="preserve">Critical</w:t>
            </w:r>
          </w:p>
        </w:tc>
        <w:tc>
          <w:tcPr>
            <w:tcW w:type="dxa" w:w="3060"/>
            <w:shd w:fill="F5F5F5" w:color="auto" w:val="clear"/>
            <w:tcMar>
              <w:top w:type="dxa" w:w="60"/>
              <w:left w:type="dxa" w:w="100"/>
              <w:bottom w:type="dxa" w:w="60"/>
              <w:right w:type="dxa" w:w="100"/>
            </w:tcMar>
          </w:tcPr>
          <w:p>
            <w:pPr>
              <w:spacing w:after="40" w:before="40" w:line="240"/>
            </w:pPr>
            <w:r>
              <w:rPr>
                <w:b w:val="false"/>
                <w:bCs w:val="false"/>
                <w:color w:val="1A1A1A"/>
                <w:sz w:val="24"/>
                <w:szCs w:val="24"/>
              </w:rPr>
              <w:t xml:space="preserve">PREA Policy and Procedure, Juvenile Institutions, V.A.7</w:t>
            </w:r>
          </w:p>
        </w:tc>
      </w:tr>
      <w:tr>
        <w:tc>
          <w:tcPr>
            <w:tcW w:type="dxa" w:w="620"/>
            <w:tcMar>
              <w:top w:type="dxa" w:w="60"/>
              <w:left w:type="dxa" w:w="100"/>
              <w:bottom w:type="dxa" w:w="60"/>
              <w:right w:type="dxa" w:w="100"/>
            </w:tcMar>
          </w:tcPr>
          <w:p>
            <w:pPr>
              <w:spacing w:after="40" w:before="40" w:line="240"/>
            </w:pPr>
            <w:r>
              <w:rPr>
                <w:b w:val="false"/>
                <w:bCs w:val="false"/>
                <w:color w:val="1A1A1A"/>
                <w:sz w:val="24"/>
                <w:szCs w:val="24"/>
              </w:rPr>
              <w:t xml:space="preserve">5</w:t>
            </w:r>
          </w:p>
        </w:tc>
        <w:tc>
          <w:tcPr>
            <w:tcW w:type="dxa" w:w="5200"/>
            <w:tcMar>
              <w:top w:type="dxa" w:w="60"/>
              <w:left w:type="dxa" w:w="100"/>
              <w:bottom w:type="dxa" w:w="60"/>
              <w:right w:type="dxa" w:w="100"/>
            </w:tcMar>
          </w:tcPr>
          <w:p>
            <w:pPr>
              <w:spacing w:after="40" w:before="40" w:line="240"/>
            </w:pPr>
            <w:r>
              <w:rPr>
                <w:b w:val="false"/>
                <w:bCs w:val="false"/>
                <w:color w:val="1A1A1A"/>
                <w:sz w:val="24"/>
                <w:szCs w:val="24"/>
              </w:rPr>
              <w:t xml:space="preserve">Rewrite the false allegations provision to a bad-faith standard</w:t>
            </w:r>
          </w:p>
        </w:tc>
        <w:tc>
          <w:tcPr>
            <w:tcW w:type="dxa" w:w="1200"/>
            <w:tcMar>
              <w:top w:type="dxa" w:w="60"/>
              <w:left w:type="dxa" w:w="100"/>
              <w:bottom w:type="dxa" w:w="60"/>
              <w:right w:type="dxa" w:w="100"/>
            </w:tcMar>
          </w:tcPr>
          <w:p>
            <w:pPr>
              <w:spacing w:after="40" w:before="40" w:line="240"/>
            </w:pPr>
            <w:r>
              <w:rPr>
                <w:b w:val="false"/>
                <w:bCs w:val="false"/>
                <w:color w:val="1A1A1A"/>
                <w:sz w:val="24"/>
                <w:szCs w:val="24"/>
              </w:rPr>
              <w:t xml:space="preserve">Critical</w:t>
            </w:r>
          </w:p>
        </w:tc>
        <w:tc>
          <w:tcPr>
            <w:tcW w:type="dxa" w:w="3060"/>
            <w:tcMar>
              <w:top w:type="dxa" w:w="60"/>
              <w:left w:type="dxa" w:w="100"/>
              <w:bottom w:type="dxa" w:w="60"/>
              <w:right w:type="dxa" w:w="100"/>
            </w:tcMar>
          </w:tcPr>
          <w:p>
            <w:pPr>
              <w:spacing w:after="40" w:before="40" w:line="240"/>
            </w:pPr>
            <w:r>
              <w:rPr>
                <w:b w:val="false"/>
                <w:bCs w:val="false"/>
                <w:color w:val="1A1A1A"/>
                <w:sz w:val="24"/>
                <w:szCs w:val="24"/>
              </w:rPr>
              <w:t xml:space="preserve">PREA Policy and Procedure, Juvenile Institutions, XIV.A</w:t>
            </w:r>
          </w:p>
        </w:tc>
      </w:tr>
      <w:tr>
        <w:tc>
          <w:tcPr>
            <w:tcW w:type="dxa" w:w="620"/>
            <w:shd w:fill="F5F5F5" w:color="auto" w:val="clear"/>
            <w:tcMar>
              <w:top w:type="dxa" w:w="60"/>
              <w:left w:type="dxa" w:w="100"/>
              <w:bottom w:type="dxa" w:w="60"/>
              <w:right w:type="dxa" w:w="100"/>
            </w:tcMar>
          </w:tcPr>
          <w:p>
            <w:pPr>
              <w:spacing w:after="40" w:before="40" w:line="240"/>
            </w:pPr>
            <w:r>
              <w:rPr>
                <w:b w:val="false"/>
                <w:bCs w:val="false"/>
                <w:color w:val="1A1A1A"/>
                <w:sz w:val="24"/>
                <w:szCs w:val="24"/>
              </w:rPr>
              <w:t xml:space="preserve">6</w:t>
            </w:r>
          </w:p>
        </w:tc>
        <w:tc>
          <w:tcPr>
            <w:tcW w:type="dxa" w:w="5200"/>
            <w:shd w:fill="F5F5F5" w:color="auto" w:val="clear"/>
            <w:tcMar>
              <w:top w:type="dxa" w:w="60"/>
              <w:left w:type="dxa" w:w="100"/>
              <w:bottom w:type="dxa" w:w="60"/>
              <w:right w:type="dxa" w:w="100"/>
            </w:tcMar>
          </w:tcPr>
          <w:p>
            <w:pPr>
              <w:spacing w:after="40" w:before="40" w:line="240"/>
            </w:pPr>
            <w:r>
              <w:rPr>
                <w:b w:val="false"/>
                <w:bCs w:val="false"/>
                <w:color w:val="1A1A1A"/>
                <w:sz w:val="24"/>
                <w:szCs w:val="24"/>
              </w:rPr>
              <w:t xml:space="preserve">Delete the S-4 victim-to-perpetrator inference and split the code</w:t>
            </w:r>
          </w:p>
        </w:tc>
        <w:tc>
          <w:tcPr>
            <w:tcW w:type="dxa" w:w="1200"/>
            <w:shd w:fill="F5F5F5" w:color="auto" w:val="clear"/>
            <w:tcMar>
              <w:top w:type="dxa" w:w="60"/>
              <w:left w:type="dxa" w:w="100"/>
              <w:bottom w:type="dxa" w:w="60"/>
              <w:right w:type="dxa" w:w="100"/>
            </w:tcMar>
          </w:tcPr>
          <w:p>
            <w:pPr>
              <w:spacing w:after="40" w:before="40" w:line="240"/>
            </w:pPr>
            <w:r>
              <w:rPr>
                <w:b w:val="false"/>
                <w:bCs w:val="false"/>
                <w:color w:val="1A1A1A"/>
                <w:sz w:val="24"/>
                <w:szCs w:val="24"/>
              </w:rPr>
              <w:t xml:space="preserve">High</w:t>
            </w:r>
          </w:p>
        </w:tc>
        <w:tc>
          <w:tcPr>
            <w:tcW w:type="dxa" w:w="3060"/>
            <w:shd w:fill="F5F5F5" w:color="auto" w:val="clear"/>
            <w:tcMar>
              <w:top w:type="dxa" w:w="60"/>
              <w:left w:type="dxa" w:w="100"/>
              <w:bottom w:type="dxa" w:w="60"/>
              <w:right w:type="dxa" w:w="100"/>
            </w:tcMar>
          </w:tcPr>
          <w:p>
            <w:pPr>
              <w:spacing w:after="40" w:before="40" w:line="240"/>
            </w:pPr>
            <w:r>
              <w:rPr>
                <w:b w:val="false"/>
                <w:bCs w:val="false"/>
                <w:color w:val="1A1A1A"/>
                <w:sz w:val="24"/>
                <w:szCs w:val="24"/>
              </w:rPr>
              <w:t xml:space="preserve">OO 1352 Classification, II.F.2 and its note, II.G, II.H, III.E</w:t>
            </w:r>
          </w:p>
        </w:tc>
      </w:tr>
      <w:tr>
        <w:tc>
          <w:tcPr>
            <w:tcW w:type="dxa" w:w="620"/>
            <w:tcMar>
              <w:top w:type="dxa" w:w="60"/>
              <w:left w:type="dxa" w:w="100"/>
              <w:bottom w:type="dxa" w:w="60"/>
              <w:right w:type="dxa" w:w="100"/>
            </w:tcMar>
          </w:tcPr>
          <w:p>
            <w:pPr>
              <w:spacing w:after="40" w:before="40" w:line="240"/>
            </w:pPr>
            <w:r>
              <w:rPr>
                <w:b w:val="false"/>
                <w:bCs w:val="false"/>
                <w:color w:val="1A1A1A"/>
                <w:sz w:val="24"/>
                <w:szCs w:val="24"/>
              </w:rPr>
              <w:t xml:space="preserve">7</w:t>
            </w:r>
          </w:p>
        </w:tc>
        <w:tc>
          <w:tcPr>
            <w:tcW w:type="dxa" w:w="5200"/>
            <w:tcMar>
              <w:top w:type="dxa" w:w="60"/>
              <w:left w:type="dxa" w:w="100"/>
              <w:bottom w:type="dxa" w:w="60"/>
              <w:right w:type="dxa" w:w="100"/>
            </w:tcMar>
          </w:tcPr>
          <w:p>
            <w:pPr>
              <w:spacing w:after="40" w:before="40" w:line="240"/>
            </w:pPr>
            <w:r>
              <w:rPr>
                <w:b w:val="false"/>
                <w:bCs w:val="false"/>
                <w:color w:val="1A1A1A"/>
                <w:sz w:val="24"/>
                <w:szCs w:val="24"/>
              </w:rPr>
              <w:t xml:space="preserve">Adopt a single reconciled records retention schedule</w:t>
            </w:r>
          </w:p>
        </w:tc>
        <w:tc>
          <w:tcPr>
            <w:tcW w:type="dxa" w:w="1200"/>
            <w:tcMar>
              <w:top w:type="dxa" w:w="60"/>
              <w:left w:type="dxa" w:w="100"/>
              <w:bottom w:type="dxa" w:w="60"/>
              <w:right w:type="dxa" w:w="100"/>
            </w:tcMar>
          </w:tcPr>
          <w:p>
            <w:pPr>
              <w:spacing w:after="40" w:before="40" w:line="240"/>
            </w:pPr>
            <w:r>
              <w:rPr>
                <w:b w:val="false"/>
                <w:bCs w:val="false"/>
                <w:color w:val="1A1A1A"/>
                <w:sz w:val="24"/>
                <w:szCs w:val="24"/>
              </w:rPr>
              <w:t xml:space="preserve">Critical</w:t>
            </w:r>
          </w:p>
        </w:tc>
        <w:tc>
          <w:tcPr>
            <w:tcW w:type="dxa" w:w="3060"/>
            <w:tcMar>
              <w:top w:type="dxa" w:w="60"/>
              <w:left w:type="dxa" w:w="100"/>
              <w:bottom w:type="dxa" w:w="60"/>
              <w:right w:type="dxa" w:w="100"/>
            </w:tcMar>
          </w:tcPr>
          <w:p>
            <w:pPr>
              <w:spacing w:after="40" w:before="40" w:line="240"/>
            </w:pPr>
            <w:r>
              <w:rPr>
                <w:b w:val="false"/>
                <w:bCs w:val="false"/>
                <w:color w:val="1A1A1A"/>
                <w:sz w:val="24"/>
                <w:szCs w:val="24"/>
              </w:rPr>
              <w:t xml:space="preserve">Internal Affairs Administrative Investigations, XI.C.1</w:t>
            </w:r>
          </w:p>
        </w:tc>
      </w:tr>
    </w:tbl>
    <w:p>
      <w:r>
        <w:br w:type="page"/>
      </w:r>
    </w:p>
    <w:p>
      <w:pPr>
        <w:pStyle w:val="Heading1"/>
      </w:pPr>
      <w:r>
        <w:t xml:space="preserve">1. Rescind the S-8 single-room mandate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000"/>
        <w:gridCol w:w="8080"/>
      </w:tblGrid>
      <w:tr>
        <w:tc>
          <w:tcPr>
            <w:tcW w:type="dxa" w:w="2000"/>
            <w:shd w:fill="F5F5F5" w:color="auto" w:val="clear"/>
            <w:tcMar>
              <w:top w:type="dxa" w:w="60"/>
              <w:left w:type="dxa" w:w="100"/>
              <w:bottom w:type="dxa" w:w="60"/>
              <w:right w:type="dxa" w:w="100"/>
            </w:tcMar>
          </w:tcPr>
          <w:p>
            <w:pPr>
              <w:spacing w:after="40" w:before="40" w:line="240"/>
            </w:pPr>
            <w:r>
              <w:rPr>
                <w:b/>
                <w:bCs/>
                <w:color w:val="1A1A1A"/>
                <w:sz w:val="24"/>
                <w:szCs w:val="24"/>
              </w:rPr>
              <w:t xml:space="preserve">Priority</w:t>
            </w:r>
          </w:p>
        </w:tc>
        <w:tc>
          <w:tcPr>
            <w:tcW w:type="dxa" w:w="8080"/>
            <w:tcMar>
              <w:top w:type="dxa" w:w="60"/>
              <w:left w:type="dxa" w:w="100"/>
              <w:bottom w:type="dxa" w:w="60"/>
              <w:right w:type="dxa" w:w="100"/>
            </w:tcMar>
          </w:tcPr>
          <w:p>
            <w:pPr>
              <w:spacing w:after="40" w:before="40" w:line="240"/>
            </w:pPr>
            <w:r>
              <w:rPr>
                <w:color w:val="1A1A1A"/>
                <w:sz w:val="24"/>
                <w:szCs w:val="24"/>
              </w:rPr>
              <w:t xml:space="preserve">Critical</w:t>
            </w:r>
          </w:p>
        </w:tc>
      </w:tr>
      <w:tr>
        <w:tc>
          <w:tcPr>
            <w:tcW w:type="dxa" w:w="2000"/>
            <w:shd w:fill="F5F5F5" w:color="auto" w:val="clear"/>
            <w:tcMar>
              <w:top w:type="dxa" w:w="60"/>
              <w:left w:type="dxa" w:w="100"/>
              <w:bottom w:type="dxa" w:w="60"/>
              <w:right w:type="dxa" w:w="100"/>
            </w:tcMar>
          </w:tcPr>
          <w:p>
            <w:pPr>
              <w:spacing w:after="40" w:before="40" w:line="240"/>
            </w:pPr>
            <w:r>
              <w:rPr>
                <w:b/>
                <w:bCs/>
                <w:color w:val="1A1A1A"/>
                <w:sz w:val="24"/>
                <w:szCs w:val="24"/>
              </w:rPr>
              <w:t xml:space="preserve">Document</w:t>
            </w:r>
          </w:p>
        </w:tc>
        <w:tc>
          <w:tcPr>
            <w:tcW w:type="dxa" w:w="8080"/>
            <w:tcMar>
              <w:top w:type="dxa" w:w="60"/>
              <w:left w:type="dxa" w:w="100"/>
              <w:bottom w:type="dxa" w:w="60"/>
              <w:right w:type="dxa" w:w="100"/>
            </w:tcMar>
          </w:tcPr>
          <w:p>
            <w:pPr>
              <w:spacing w:after="40" w:before="40" w:line="240"/>
            </w:pPr>
            <w:r>
              <w:rPr>
                <w:color w:val="1A1A1A"/>
                <w:sz w:val="24"/>
                <w:szCs w:val="24"/>
              </w:rPr>
              <w:t xml:space="preserve">OO 1352 Classification (eff. 12/09/2019, rev. 02/27/2020), II.M, III.E, III.I</w:t>
            </w:r>
          </w:p>
        </w:tc>
      </w:tr>
      <w:tr>
        <w:tc>
          <w:tcPr>
            <w:tcW w:type="dxa" w:w="2000"/>
            <w:shd w:fill="F5F5F5" w:color="auto" w:val="clear"/>
            <w:tcMar>
              <w:top w:type="dxa" w:w="60"/>
              <w:left w:type="dxa" w:w="100"/>
              <w:bottom w:type="dxa" w:w="60"/>
              <w:right w:type="dxa" w:w="100"/>
            </w:tcMar>
          </w:tcPr>
          <w:p>
            <w:pPr>
              <w:spacing w:after="40" w:before="40" w:line="240"/>
            </w:pPr>
            <w:r>
              <w:rPr>
                <w:b/>
                <w:bCs/>
                <w:color w:val="1A1A1A"/>
                <w:sz w:val="24"/>
                <w:szCs w:val="24"/>
              </w:rPr>
              <w:t xml:space="preserve">Authority</w:t>
            </w:r>
          </w:p>
        </w:tc>
        <w:tc>
          <w:tcPr>
            <w:tcW w:type="dxa" w:w="8080"/>
            <w:tcMar>
              <w:top w:type="dxa" w:w="60"/>
              <w:left w:type="dxa" w:w="100"/>
              <w:bottom w:type="dxa" w:w="60"/>
              <w:right w:type="dxa" w:w="100"/>
            </w:tcMar>
          </w:tcPr>
          <w:p>
            <w:pPr>
              <w:spacing w:after="40" w:before="40" w:line="240"/>
            </w:pPr>
            <w:r>
              <w:rPr>
                <w:color w:val="1A1A1A"/>
                <w:sz w:val="24"/>
                <w:szCs w:val="24"/>
              </w:rPr>
              <w:t xml:space="preserve">28 CFR 115.342(c)</w:t>
            </w:r>
          </w:p>
          <w:p>
            <w:pPr>
              <w:spacing w:after="40" w:before="20" w:line="240"/>
            </w:pPr>
            <w:r>
              <w:rPr>
                <w:color w:val="1A1A1A"/>
                <w:sz w:val="24"/>
                <w:szCs w:val="24"/>
              </w:rPr>
              <w:t xml:space="preserve">15 CCR 1352(e), verified against the edition effective 04/01/2014</w:t>
            </w:r>
          </w:p>
          <w:p>
            <w:pPr>
              <w:spacing w:after="40" w:before="20" w:line="240"/>
            </w:pPr>
            <w:r>
              <w:rPr>
                <w:color w:val="1A1A1A"/>
                <w:sz w:val="24"/>
                <w:szCs w:val="24"/>
              </w:rPr>
              <w:t xml:space="preserve">15 CCR 1324(k), verified against the edition effective 01/01/2019. Revision 5 cited this as 1324(h) from the 04/01/2014 edition; the 2019 rewrite renumbered it and broadened it</w:t>
            </w:r>
          </w:p>
          <w:p>
            <w:pPr>
              <w:spacing w:after="40" w:before="20" w:line="240"/>
            </w:pPr>
            <w:r>
              <w:rPr>
                <w:color w:val="1A1A1A"/>
                <w:sz w:val="24"/>
                <w:szCs w:val="24"/>
              </w:rPr>
              <w:t xml:space="preserve">15 CCR 1352(f), verified against the edition effective 01/01/2019, a third and independent hook</w:t>
            </w:r>
          </w:p>
        </w:tc>
      </w:tr>
      <w:tr>
        <w:tc>
          <w:tcPr>
            <w:tcW w:type="dxa" w:w="2000"/>
            <w:shd w:fill="F5F5F5" w:color="auto" w:val="clear"/>
            <w:tcMar>
              <w:top w:type="dxa" w:w="60"/>
              <w:left w:type="dxa" w:w="100"/>
              <w:bottom w:type="dxa" w:w="60"/>
              <w:right w:type="dxa" w:w="100"/>
            </w:tcMar>
          </w:tcPr>
          <w:p>
            <w:pPr>
              <w:spacing w:after="40" w:before="40" w:line="240"/>
            </w:pPr>
            <w:r>
              <w:rPr>
                <w:b/>
                <w:bCs/>
                <w:color w:val="1A1A1A"/>
                <w:sz w:val="24"/>
                <w:szCs w:val="24"/>
              </w:rPr>
              <w:t xml:space="preserve">Register rows</w:t>
            </w:r>
          </w:p>
        </w:tc>
        <w:tc>
          <w:tcPr>
            <w:tcW w:type="dxa" w:w="8080"/>
            <w:tcMar>
              <w:top w:type="dxa" w:w="60"/>
              <w:left w:type="dxa" w:w="100"/>
              <w:bottom w:type="dxa" w:w="60"/>
              <w:right w:type="dxa" w:w="100"/>
            </w:tcMar>
          </w:tcPr>
          <w:p>
            <w:pPr>
              <w:spacing w:after="40" w:before="40" w:line="240"/>
            </w:pPr>
            <w:r>
              <w:rPr>
                <w:color w:val="1A1A1A"/>
                <w:sz w:val="24"/>
                <w:szCs w:val="24"/>
              </w:rPr>
              <w:t xml:space="preserve">36, 75</w:t>
            </w:r>
          </w:p>
        </w:tc>
      </w:tr>
    </w:tbl>
    <w:p>
      <w:pPr>
        <w:pStyle w:val="Heading2"/>
      </w:pPr>
      <w:r>
        <w:t xml:space="preserve">The defect</w:t>
      </w:r>
    </w:p>
    <w:p>
      <w:pPr>
        <w:spacing w:after="120" w:line="276"/>
      </w:pPr>
      <w:r>
        <w:rPr>
          <w:color w:val="1A1A1A"/>
        </w:rPr>
        <w:t xml:space="preserve">OO 1352 II.M creates classification S-8 for any LGBTQI youth, and III.I requires single-room housing at all times for S-8. 15 CCR 1352(e) prohibits exactly that, and it has done so since at least April 1, 2014, which is verified against the produced text. S-8 was created December 9, 2019 and retained on the February 27, 2020 revision, five and a half years after the state rule was already in force. The provision also contradicts the Purpose and Scope paragraph of OO 1352 itself, PREA Policy III.E, and OO 1352.5 III.H, which took effect March 1, 2019 and states that staff shall not consider a youth's sexual orientation or gender identity as a reason to isolate or withhold program options. S-8 is materially broader than the OO 1352.5 III.I provision, because it sweeps in lesbian, gay, bisexual, and questioning youth for whom no anatomical privacy rationale exists at all. 15 CCR 1324(k), verified against the edition effective 01/01/2019, supplies a second and independent hook: the policy and procedure manual must itself bar classification and restrictive housing decisions made solely on these bases, so S-8 is a defect in the required contents of the manual as well as an operational violation.</w:t>
      </w:r>
    </w:p>
    <w:p>
      <w:pPr>
        <w:pStyle w:val="Heading2"/>
      </w:pPr>
      <w:r>
        <w:t xml:space="preserve">Strike</w:t>
      </w:r>
    </w:p>
    <w:p>
      <w:pPr>
        <w:spacing w:after="60"/>
      </w:pPr>
      <w:r>
        <w:rPr>
          <w:b/>
          <w:bCs/>
          <w:color w:val="1A1A1A"/>
        </w:rPr>
        <w:t xml:space="preserve">OO 1352 II.M</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2DEDE" w:color="auto" w:val="clear"/>
            <w:tcMar>
              <w:top w:type="dxa" w:w="60"/>
              <w:left w:type="dxa" w:w="100"/>
              <w:bottom w:type="dxa" w:w="60"/>
              <w:right w:type="dxa" w:w="100"/>
            </w:tcMar>
          </w:tcPr>
          <w:p>
            <w:pPr>
              <w:spacing w:after="60" w:before="60" w:line="260"/>
            </w:pPr>
            <w:r>
              <w:rPr>
                <w:strike/>
                <w:color w:val="1A1A1A"/>
              </w:rPr>
              <w:t xml:space="preserve">Any Lesbian, Gay, Bisexual, Transgender, Questioning and Intersex (LGBTQI) youth to further protect against victimization/discrimination within the unit setting. a. See the Transgender and Intersex Youth Policy for housing guidelines.</w:t>
            </w:r>
          </w:p>
        </w:tc>
      </w:tr>
    </w:tbl>
    <w:p>
      <w:pPr>
        <w:spacing w:after="200" w:before="60"/>
      </w:pPr>
      <w:r>
        <w:rPr>
          <w:i/>
          <w:iCs/>
          <w:color w:val="5A5A5A"/>
          <w:sz w:val="24"/>
          <w:szCs w:val="24"/>
        </w:rPr>
        <w:t xml:space="preserve">VERIFIED in Revision 9 against OO 1352 as produced, eff. 12/09/2019, rev. 02/27/2020. This is the order's actual text.</w:t>
      </w:r>
    </w:p>
    <w:p>
      <w:pPr>
        <w:spacing w:after="60"/>
      </w:pPr>
      <w:r>
        <w:rPr>
          <w:b/>
          <w:bCs/>
          <w:color w:val="1A1A1A"/>
        </w:rPr>
        <w:t xml:space="preserve">OO 1352 III.I</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2DEDE" w:color="auto" w:val="clear"/>
            <w:tcMar>
              <w:top w:type="dxa" w:w="60"/>
              <w:left w:type="dxa" w:w="100"/>
              <w:bottom w:type="dxa" w:w="60"/>
              <w:right w:type="dxa" w:w="100"/>
            </w:tcMar>
          </w:tcPr>
          <w:p>
            <w:pPr>
              <w:spacing w:after="60" w:before="60" w:line="260"/>
            </w:pPr>
            <w:r>
              <w:rPr>
                <w:strike/>
                <w:color w:val="1A1A1A"/>
              </w:rPr>
              <w:t xml:space="preserve">Any youth classified S-8 will require a single room (no roommate) housing at all times.</w:t>
            </w:r>
          </w:p>
        </w:tc>
      </w:tr>
    </w:tbl>
    <w:p>
      <w:pPr>
        <w:spacing w:after="200" w:before="60"/>
      </w:pPr>
      <w:r>
        <w:rPr>
          <w:i/>
          <w:iCs/>
          <w:color w:val="5A5A5A"/>
          <w:sz w:val="24"/>
          <w:szCs w:val="24"/>
        </w:rPr>
        <w:t xml:space="preserve">VERIFIED in Revision 9 against OO 1352 as produced, eff. 12/09/2019, rev. 02/27/2020. This is the order's actual text.</w:t>
      </w:r>
    </w:p>
    <w:p>
      <w:pPr>
        <w:spacing w:after="60"/>
      </w:pPr>
      <w:r>
        <w:rPr>
          <w:b/>
          <w:bCs/>
          <w:color w:val="1A1A1A"/>
        </w:rPr>
        <w:t xml:space="preserve">OO 1352 III.E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2DEDE" w:color="auto" w:val="clear"/>
            <w:tcMar>
              <w:top w:type="dxa" w:w="60"/>
              <w:left w:type="dxa" w:w="100"/>
              <w:bottom w:type="dxa" w:w="60"/>
              <w:right w:type="dxa" w:w="100"/>
            </w:tcMar>
          </w:tcPr>
          <w:p>
            <w:pPr>
              <w:spacing w:after="60" w:before="60" w:line="260"/>
            </w:pPr>
            <w:r>
              <w:rPr>
                <w:strike/>
                <w:color w:val="1A1A1A"/>
              </w:rPr>
              <w:t xml:space="preserve">Every S-8 entry in the housing matrix.</w:t>
            </w:r>
          </w:p>
        </w:tc>
      </w:tr>
    </w:tbl>
    <w:p>
      <w:pPr>
        <w:spacing w:after="200" w:before="60"/>
      </w:pPr>
      <w:r>
        <w:rPr>
          <w:i/>
          <w:iCs/>
          <w:color w:val="5A5A5A"/>
          <w:sz w:val="24"/>
          <w:szCs w:val="24"/>
        </w:rPr>
        <w:t xml:space="preserve">Described in the register, not read in this review.</w:t>
      </w:r>
    </w:p>
    <w:p>
      <w:pPr>
        <w:pStyle w:val="Heading2"/>
      </w:pPr>
      <w:r>
        <w:t xml:space="preserve">Insert</w:t>
      </w:r>
    </w:p>
    <w:p>
      <w:pPr>
        <w:spacing w:after="60"/>
      </w:pPr>
      <w:r>
        <w:rPr>
          <w:b/>
          <w:bCs/>
          <w:color w:val="1A1A1A"/>
        </w:rPr>
        <w:t xml:space="preserve">OO 1352 II.M, replacing the struck text</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7EFE4" w:color="auto" w:val="clear"/>
            <w:tcMar>
              <w:top w:type="dxa" w:w="60"/>
              <w:left w:type="dxa" w:w="100"/>
              <w:bottom w:type="dxa" w:w="60"/>
              <w:right w:type="dxa" w:w="100"/>
            </w:tcMar>
          </w:tcPr>
          <w:p>
            <w:pPr>
              <w:spacing w:after="100" w:before="60" w:line="260"/>
            </w:pPr>
            <w:r>
              <w:rPr>
                <w:b/>
                <w:bCs/>
                <w:color w:val="1A1A1A"/>
              </w:rPr>
              <w:t xml:space="preserve">Prohibited bases for separation and single occupancy assignment</w:t>
            </w:r>
          </w:p>
          <w:p>
            <w:pPr>
              <w:spacing w:after="120" w:line="276"/>
            </w:pPr>
            <w:r>
              <w:rPr>
                <w:color w:val="1A1A1A"/>
              </w:rPr>
              <w:t xml:space="preserve">1. Staff shall not separate a youth from the general population, and shall not assign a youth to a single occupancy room, based solely on the youth's actual or perceived race, ethnic group identification, ancestry, national origin, color, religion, gender, sexual orientation, gender identity, gender expression, mental or physical disability, or HIV status.</w:t>
            </w:r>
          </w:p>
          <w:p>
            <w:pPr>
              <w:spacing w:after="120" w:line="276"/>
            </w:pPr>
            <w:r>
              <w:rPr>
                <w:color w:val="1A1A1A"/>
              </w:rPr>
              <w:t xml:space="preserve">2. Nothing in this section prohibits placing a youth in a single occupancy room at the youth's own specific request, or in accordance with the separation provisions of this order, OO 1354, and OO 1354.5. A request under this paragraph shall be documented in JPIP with the date, the substance of the request, and the staff member who received it.</w:t>
            </w:r>
          </w:p>
          <w:p>
            <w:pPr>
              <w:spacing w:after="120" w:line="276"/>
            </w:pPr>
            <w:r>
              <w:rPr>
                <w:color w:val="1A1A1A"/>
              </w:rPr>
              <w:t xml:space="preserve">3. Where a youth's sexual orientation, gender identity, or gender expression is known to staff, that information shall be used as one input to the individualized housing determination required by OO 1352.5 III.B and III.F. It shall not by itself determine a housing assignment, a program assignment, or a classification code.</w:t>
            </w:r>
          </w:p>
          <w:p>
            <w:pPr>
              <w:spacing w:after="60" w:line="276"/>
            </w:pPr>
            <w:r>
              <w:rPr>
                <w:color w:val="1A1A1A"/>
              </w:rPr>
              <w:t xml:space="preserve">4. No classification code shall be created or maintained whose assignment carries an automatic housing consequence on any basis listed in paragraph 1.</w:t>
            </w:r>
          </w:p>
        </w:tc>
      </w:tr>
    </w:tbl>
    <w:p>
      <w:pPr>
        <w:spacing w:after="140"/>
      </w:pPr>
      <w:r>
        <w:rPr>
          <w:color w:val="1A1A1A"/>
        </w:rPr>
        <w:t xml:space="preserve"/>
      </w:r>
    </w:p>
    <w:p>
      <w:pPr>
        <w:pStyle w:val="Heading2"/>
      </w:pPr>
      <w:r>
        <w:t xml:space="preserve">Conforming changes</w:t>
      </w:r>
    </w:p>
    <w:p>
      <w:pPr>
        <w:pStyle w:val="ListParagraph"/>
        <w:numPr>
          <w:ilvl w:val="0"/>
          <w:numId w:val="1"/>
        </w:numPr>
        <w:spacing w:after="80" w:line="264"/>
      </w:pPr>
      <w:r>
        <w:rPr>
          <w:color w:val="1A1A1A"/>
        </w:rPr>
        <w:t xml:space="preserve">Renumber the balance of section II if II.M is struck rather than replaced. The replacement language above is written to occupy II.M so that no renumbering is needed.</w:t>
      </w:r>
    </w:p>
    <w:p>
      <w:pPr>
        <w:pStyle w:val="ListParagraph"/>
        <w:numPr>
          <w:ilvl w:val="0"/>
          <w:numId w:val="1"/>
        </w:numPr>
        <w:spacing w:after="80" w:line="264"/>
      </w:pPr>
      <w:r>
        <w:rPr>
          <w:color w:val="1A1A1A"/>
        </w:rPr>
        <w:t xml:space="preserve">Remove S-8 from the JPIP classification code table and from any classification worksheet, intake form, or screen that offers it, so the code cannot be assigned after the order is amended.</w:t>
      </w:r>
    </w:p>
    <w:p>
      <w:pPr>
        <w:pStyle w:val="ListParagraph"/>
        <w:numPr>
          <w:ilvl w:val="0"/>
          <w:numId w:val="1"/>
        </w:numPr>
        <w:spacing w:after="80" w:line="264"/>
      </w:pPr>
      <w:r>
        <w:rPr>
          <w:color w:val="1A1A1A"/>
        </w:rPr>
        <w:t xml:space="preserve">Identify every youth currently carrying S-8 and re-determine housing individually under OO 1352.5 III.B and III.F within a stated number of days, documenting each outcome. Without this step the order changes and the practice does not.</w:t>
      </w:r>
    </w:p>
    <w:p>
      <w:pPr>
        <w:pStyle w:val="ListParagraph"/>
        <w:numPr>
          <w:ilvl w:val="0"/>
          <w:numId w:val="1"/>
        </w:numPr>
        <w:spacing w:after="80" w:line="264"/>
      </w:pPr>
      <w:r>
        <w:rPr>
          <w:color w:val="1A1A1A"/>
        </w:rPr>
        <w:t xml:space="preserve">Add the amended provision to the next classification officer training cycle and to the OO 1322 training record.</w:t>
      </w:r>
    </w:p>
    <w:p>
      <w:pPr>
        <w:pStyle w:val="ListParagraph"/>
        <w:numPr>
          <w:ilvl w:val="0"/>
          <w:numId w:val="1"/>
        </w:numPr>
        <w:spacing w:after="80" w:line="264"/>
      </w:pPr>
      <w:r>
        <w:rPr>
          <w:color w:val="1A1A1A"/>
        </w:rPr>
        <w:t xml:space="preserve">Confirm that the Purpose and Scope paragraph of OO 1352, PREA Policy III.E, and OO 1352.5 III.H now read consistently with the amendment. All three already state the correct rule.</w:t>
      </w:r>
    </w:p>
    <w:p>
      <w:pPr>
        <w:pStyle w:val="Heading2"/>
      </w:pPr>
      <w:r>
        <w:t xml:space="preserve">Why</w:t>
      </w:r>
    </w:p>
    <w:p>
      <w:pPr>
        <w:spacing w:after="120" w:line="276"/>
      </w:pPr>
      <w:r>
        <w:rPr>
          <w:color w:val="1A1A1A"/>
        </w:rPr>
        <w:t xml:space="preserve">This is the strongest municipal liability exhibit in the packet and the clearest breach of a mandatory Title 15 duty. Government Code 815.6 attaches liability to the failure to discharge a mandatory duty imposed by enactment, and a regulation is an enactment under Government Code 810.6. The correction is a deletion and a four-paragraph insert, and its value grows the earlier it is dated: an amendment adopted before an incident is a compliance record, and one adopted after is an admission with a date on it.</w:t>
      </w:r>
    </w:p>
    <w:p>
      <w:pPr>
        <w:pStyle w:val="Heading2"/>
      </w:pPr>
      <w:r>
        <w:t xml:space="preserve">Before adoption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60"/>
              <w:left w:type="dxa" w:w="100"/>
              <w:bottom w:type="dxa" w:w="60"/>
              <w:right w:type="dxa" w:w="100"/>
            </w:tcMar>
          </w:tcPr>
          <w:p>
            <w:pPr>
              <w:pStyle w:val="ListParagraph"/>
              <w:numPr>
                <w:ilvl w:val="0"/>
                <w:numId w:val="1"/>
              </w:numPr>
              <w:spacing w:after="60" w:before="60" w:line="264"/>
            </w:pPr>
            <w:r>
              <w:rPr>
                <w:color w:val="1A1A1A"/>
              </w:rPr>
              <w:t xml:space="preserve">VERIFIED in Revision 9 against OO 1352 as produced, eff. 12/09/2019, rev. 02/27/2020. The section numbers II.M and III.I and the struck text above are the order's own words, read from the produced PDF, not a reconstruction. This redline may now circulate as a true redline.</w:t>
            </w:r>
          </w:p>
          <w:p>
            <w:pPr>
              <w:pStyle w:val="ListParagraph"/>
              <w:numPr>
                <w:ilvl w:val="0"/>
                <w:numId w:val="1"/>
              </w:numPr>
              <w:spacing w:after="60" w:before="40" w:line="264"/>
            </w:pPr>
            <w:r>
              <w:rPr>
                <w:color w:val="1A1A1A"/>
              </w:rPr>
              <w:t xml:space="preserve">The order's Purpose and Scope paragraph already states the correct rule almost verbatim from 15 CCR 1352(e), including the carve-out for a single occupancy room "at the youth's specific request or in accordance with regulations regarding separation." The amendment below conforms II.M and III.I to the order's own Purpose paragraph. Say that to the policy shop: it is a consistency fix, not a new policy.</w:t>
            </w:r>
          </w:p>
          <w:p>
            <w:pPr>
              <w:pStyle w:val="ListParagraph"/>
              <w:numPr>
                <w:ilvl w:val="0"/>
                <w:numId w:val="1"/>
              </w:numPr>
              <w:spacing w:after="60" w:before="40" w:line="264"/>
            </w:pPr>
            <w:r>
              <w:rPr>
                <w:color w:val="1A1A1A"/>
              </w:rPr>
              <w:t xml:space="preserve">II.M.1.a already defers housing to the Transgender and Intersex Youth Policy. III.I.1 then forecloses it. Deleting III.I.1 restores the deferral the order already contains.</w:t>
            </w:r>
          </w:p>
          <w:p>
            <w:pPr>
              <w:pStyle w:val="ListParagraph"/>
              <w:numPr>
                <w:ilvl w:val="0"/>
                <w:numId w:val="1"/>
              </w:numPr>
              <w:spacing w:after="60" w:before="40" w:line="264"/>
            </w:pPr>
            <w:r>
              <w:rPr>
                <w:color w:val="1A1A1A"/>
              </w:rPr>
              <w:t xml:space="preserve">III.E.1.a imposes the identical mandate on S-4 High and is the only other provision in the order that does. Do not amend III.E.1.a here. It is a different question and it is not defective in the same way, but note that III.D.8, the deviation rule, is attached to the S-3 matrix and reaches neither mandate, so neither currently has a written override path.</w:t>
            </w:r>
          </w:p>
        </w:tc>
      </w:tr>
    </w:tbl>
    <w:p>
      <w:r>
        <w:br w:type="page"/>
      </w:r>
    </w:p>
    <w:p>
      <w:pPr>
        <w:pStyle w:val="Heading1"/>
      </w:pPr>
      <w:r>
        <w:t xml:space="preserve">2. Convert the transgender and intersex single-room rule to a presumptive, documented outcome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000"/>
        <w:gridCol w:w="8080"/>
      </w:tblGrid>
      <w:tr>
        <w:tc>
          <w:tcPr>
            <w:tcW w:type="dxa" w:w="2000"/>
            <w:shd w:fill="F5F5F5" w:color="auto" w:val="clear"/>
            <w:tcMar>
              <w:top w:type="dxa" w:w="60"/>
              <w:left w:type="dxa" w:w="100"/>
              <w:bottom w:type="dxa" w:w="60"/>
              <w:right w:type="dxa" w:w="100"/>
            </w:tcMar>
          </w:tcPr>
          <w:p>
            <w:pPr>
              <w:spacing w:after="40" w:before="40" w:line="240"/>
            </w:pPr>
            <w:r>
              <w:rPr>
                <w:b/>
                <w:bCs/>
                <w:color w:val="1A1A1A"/>
                <w:sz w:val="24"/>
                <w:szCs w:val="24"/>
              </w:rPr>
              <w:t xml:space="preserve">Priority</w:t>
            </w:r>
          </w:p>
        </w:tc>
        <w:tc>
          <w:tcPr>
            <w:tcW w:type="dxa" w:w="8080"/>
            <w:tcMar>
              <w:top w:type="dxa" w:w="60"/>
              <w:left w:type="dxa" w:w="100"/>
              <w:bottom w:type="dxa" w:w="60"/>
              <w:right w:type="dxa" w:w="100"/>
            </w:tcMar>
          </w:tcPr>
          <w:p>
            <w:pPr>
              <w:spacing w:after="40" w:before="40" w:line="240"/>
            </w:pPr>
            <w:r>
              <w:rPr>
                <w:color w:val="1A1A1A"/>
                <w:sz w:val="24"/>
                <w:szCs w:val="24"/>
              </w:rPr>
              <w:t xml:space="preserve">Critical</w:t>
            </w:r>
          </w:p>
        </w:tc>
      </w:tr>
      <w:tr>
        <w:tc>
          <w:tcPr>
            <w:tcW w:type="dxa" w:w="2000"/>
            <w:shd w:fill="F5F5F5" w:color="auto" w:val="clear"/>
            <w:tcMar>
              <w:top w:type="dxa" w:w="60"/>
              <w:left w:type="dxa" w:w="100"/>
              <w:bottom w:type="dxa" w:w="60"/>
              <w:right w:type="dxa" w:w="100"/>
            </w:tcMar>
          </w:tcPr>
          <w:p>
            <w:pPr>
              <w:spacing w:after="40" w:before="40" w:line="240"/>
            </w:pPr>
            <w:r>
              <w:rPr>
                <w:b/>
                <w:bCs/>
                <w:color w:val="1A1A1A"/>
                <w:sz w:val="24"/>
                <w:szCs w:val="24"/>
              </w:rPr>
              <w:t xml:space="preserve">Document</w:t>
            </w:r>
          </w:p>
        </w:tc>
        <w:tc>
          <w:tcPr>
            <w:tcW w:type="dxa" w:w="8080"/>
            <w:tcMar>
              <w:top w:type="dxa" w:w="60"/>
              <w:left w:type="dxa" w:w="100"/>
              <w:bottom w:type="dxa" w:w="60"/>
              <w:right w:type="dxa" w:w="100"/>
            </w:tcMar>
          </w:tcPr>
          <w:p>
            <w:pPr>
              <w:spacing w:after="40" w:before="40" w:line="240"/>
            </w:pPr>
            <w:r>
              <w:rPr>
                <w:color w:val="1A1A1A"/>
                <w:sz w:val="24"/>
                <w:szCs w:val="24"/>
              </w:rPr>
              <w:t xml:space="preserve">OO 1352.5 Transgender and Intersex Youth (eff. 03/01/2019), III.I</w:t>
            </w:r>
          </w:p>
        </w:tc>
      </w:tr>
      <w:tr>
        <w:tc>
          <w:tcPr>
            <w:tcW w:type="dxa" w:w="2000"/>
            <w:shd w:fill="F5F5F5" w:color="auto" w:val="clear"/>
            <w:tcMar>
              <w:top w:type="dxa" w:w="60"/>
              <w:left w:type="dxa" w:w="100"/>
              <w:bottom w:type="dxa" w:w="60"/>
              <w:right w:type="dxa" w:w="100"/>
            </w:tcMar>
          </w:tcPr>
          <w:p>
            <w:pPr>
              <w:spacing w:after="40" w:before="40" w:line="240"/>
            </w:pPr>
            <w:r>
              <w:rPr>
                <w:b/>
                <w:bCs/>
                <w:color w:val="1A1A1A"/>
                <w:sz w:val="24"/>
                <w:szCs w:val="24"/>
              </w:rPr>
              <w:t xml:space="preserve">Authority</w:t>
            </w:r>
          </w:p>
        </w:tc>
        <w:tc>
          <w:tcPr>
            <w:tcW w:type="dxa" w:w="8080"/>
            <w:tcMar>
              <w:top w:type="dxa" w:w="60"/>
              <w:left w:type="dxa" w:w="100"/>
              <w:bottom w:type="dxa" w:w="60"/>
              <w:right w:type="dxa" w:w="100"/>
            </w:tcMar>
          </w:tcPr>
          <w:p>
            <w:pPr>
              <w:spacing w:after="40" w:before="40" w:line="240"/>
            </w:pPr>
            <w:r>
              <w:rPr>
                <w:color w:val="1A1A1A"/>
                <w:sz w:val="24"/>
                <w:szCs w:val="24"/>
              </w:rPr>
              <w:t xml:space="preserve">28 CFR 115.342(c)-(g)</w:t>
            </w:r>
          </w:p>
          <w:p>
            <w:pPr>
              <w:spacing w:after="40" w:before="20" w:line="240"/>
            </w:pPr>
            <w:r>
              <w:rPr>
                <w:color w:val="1A1A1A"/>
                <w:sz w:val="24"/>
                <w:szCs w:val="24"/>
              </w:rPr>
              <w:t xml:space="preserve">15 CCR 1352(e), verified against the edition effective 04/01/2014 and confirmed unchanged in the edition effective 01/01/2019</w:t>
            </w:r>
          </w:p>
          <w:p>
            <w:pPr>
              <w:spacing w:after="40" w:before="20" w:line="240"/>
            </w:pPr>
            <w:r>
              <w:rPr>
                <w:color w:val="1A1A1A"/>
                <w:sz w:val="24"/>
                <w:szCs w:val="24"/>
              </w:rPr>
              <w:t xml:space="preserve">15 CCR 1352.5(c), verified in Revision 6 against the edition effective 01/01/2019, which is the operative edition</w:t>
            </w:r>
          </w:p>
        </w:tc>
      </w:tr>
      <w:tr>
        <w:tc>
          <w:tcPr>
            <w:tcW w:type="dxa" w:w="2000"/>
            <w:shd w:fill="F5F5F5" w:color="auto" w:val="clear"/>
            <w:tcMar>
              <w:top w:type="dxa" w:w="60"/>
              <w:left w:type="dxa" w:w="100"/>
              <w:bottom w:type="dxa" w:w="60"/>
              <w:right w:type="dxa" w:w="100"/>
            </w:tcMar>
          </w:tcPr>
          <w:p>
            <w:pPr>
              <w:spacing w:after="40" w:before="40" w:line="240"/>
            </w:pPr>
            <w:r>
              <w:rPr>
                <w:b/>
                <w:bCs/>
                <w:color w:val="1A1A1A"/>
                <w:sz w:val="24"/>
                <w:szCs w:val="24"/>
              </w:rPr>
              <w:t xml:space="preserve">Register rows</w:t>
            </w:r>
          </w:p>
        </w:tc>
        <w:tc>
          <w:tcPr>
            <w:tcW w:type="dxa" w:w="8080"/>
            <w:tcMar>
              <w:top w:type="dxa" w:w="60"/>
              <w:left w:type="dxa" w:w="100"/>
              <w:bottom w:type="dxa" w:w="60"/>
              <w:right w:type="dxa" w:w="100"/>
            </w:tcMar>
          </w:tcPr>
          <w:p>
            <w:pPr>
              <w:spacing w:after="40" w:before="40" w:line="240"/>
            </w:pPr>
            <w:r>
              <w:rPr>
                <w:color w:val="1A1A1A"/>
                <w:sz w:val="24"/>
                <w:szCs w:val="24"/>
              </w:rPr>
              <w:t xml:space="preserve">37, 75</w:t>
            </w:r>
          </w:p>
        </w:tc>
      </w:tr>
    </w:tbl>
    <w:p>
      <w:pPr>
        <w:pStyle w:val="Heading2"/>
      </w:pPr>
      <w:r>
        <w:t xml:space="preserve">The defect</w:t>
      </w:r>
    </w:p>
    <w:p>
      <w:pPr>
        <w:spacing w:after="120" w:line="276"/>
      </w:pPr>
      <w:r>
        <w:rPr>
          <w:color w:val="1A1A1A"/>
        </w:rPr>
        <w:t xml:space="preserve">OO 1352.5 is otherwise a strong order. It supplies individualized assessment at admission, no automatic housing by external anatomy, documented reasons for any placement not matching gender identity, consideration of the youth's own preferences and provider recommendations, monthly reassessment which exceeds the twice-yearly federal minimum, private showers for all youth, and preservation of program participation. III.I undoes part of it by providing that all transgender and intersex youth shall be provided a single room. That is a categorical housing outcome assigned by status, which is what 115.342(c) and 15 CCR 1352(e) prohibit, and it contradicts III.B, III.F, and III.H within the same order. This version is more defensible than the S-8 mandate in OO 1352, because it is limited to transgender and intersex youth, states a privacy and safety rationale, and preserves program access. Categorical is still categorical.</w:t>
      </w:r>
    </w:p>
    <w:p>
      <w:pPr>
        <w:pStyle w:val="Heading2"/>
      </w:pPr>
      <w:r>
        <w:t xml:space="preserve">Strike</w:t>
      </w:r>
    </w:p>
    <w:p>
      <w:pPr>
        <w:spacing w:after="60"/>
      </w:pPr>
      <w:r>
        <w:rPr>
          <w:b/>
          <w:bCs/>
          <w:color w:val="1A1A1A"/>
        </w:rPr>
        <w:t xml:space="preserve">OO 1352.5 III.I</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2DEDE" w:color="auto" w:val="clear"/>
            <w:tcMar>
              <w:top w:type="dxa" w:w="60"/>
              <w:left w:type="dxa" w:w="100"/>
              <w:bottom w:type="dxa" w:w="60"/>
              <w:right w:type="dxa" w:w="100"/>
            </w:tcMar>
          </w:tcPr>
          <w:p>
            <w:pPr>
              <w:spacing w:after="60" w:before="60" w:line="260"/>
            </w:pPr>
            <w:r>
              <w:rPr>
                <w:strike/>
                <w:color w:val="1A1A1A"/>
              </w:rPr>
              <w:t xml:space="preserve">All transgender and intersex youth shall be provided a single room in order to ensure their privacy and safety.</w:t>
            </w:r>
          </w:p>
        </w:tc>
      </w:tr>
    </w:tbl>
    <w:p>
      <w:pPr>
        <w:spacing w:after="200" w:before="60"/>
      </w:pPr>
      <w:r>
        <w:rPr>
          <w:i/>
          <w:iCs/>
          <w:color w:val="5A5A5A"/>
          <w:sz w:val="24"/>
          <w:szCs w:val="24"/>
        </w:rPr>
        <w:t xml:space="preserve">Quoted from the order, produced and read in full on 10/30.</w:t>
      </w:r>
    </w:p>
    <w:p>
      <w:pPr>
        <w:pStyle w:val="Heading2"/>
      </w:pPr>
      <w:r>
        <w:t xml:space="preserve">Insert</w:t>
      </w:r>
    </w:p>
    <w:p>
      <w:pPr>
        <w:spacing w:after="60"/>
      </w:pPr>
      <w:r>
        <w:rPr>
          <w:b/>
          <w:bCs/>
          <w:color w:val="1A1A1A"/>
        </w:rPr>
        <w:t xml:space="preserve">OO 1352.5 III.I, replacing the struck text</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7EFE4" w:color="auto" w:val="clear"/>
            <w:tcMar>
              <w:top w:type="dxa" w:w="60"/>
              <w:left w:type="dxa" w:w="100"/>
              <w:bottom w:type="dxa" w:w="60"/>
              <w:right w:type="dxa" w:w="100"/>
            </w:tcMar>
          </w:tcPr>
          <w:p>
            <w:pPr>
              <w:spacing w:after="100" w:before="60" w:line="260"/>
            </w:pPr>
            <w:r>
              <w:rPr>
                <w:b/>
                <w:bCs/>
                <w:color w:val="1A1A1A"/>
              </w:rPr>
              <w:t xml:space="preserve">Room assignment</w:t>
            </w:r>
          </w:p>
          <w:p>
            <w:pPr>
              <w:spacing w:after="120" w:line="276"/>
            </w:pPr>
            <w:r>
              <w:rPr>
                <w:color w:val="1A1A1A"/>
              </w:rPr>
              <w:t xml:space="preserve">1. The room assignment of a transgender or intersex youth shall be determined individually under III.B and III.F. It shall not be determined by the youth's status as transgender or intersex.</w:t>
            </w:r>
          </w:p>
          <w:p>
            <w:pPr>
              <w:spacing w:after="120" w:line="276"/>
            </w:pPr>
            <w:r>
              <w:rPr>
                <w:color w:val="1A1A1A"/>
              </w:rPr>
              <w:t xml:space="preserve">2. Single occupancy housing is the presumptive outcome of that determination, and the presumption is overcome where the individualized determination supports shared housing consistent with the youth's own perception of where the youth will be most secure. The determination shall be revisited at each reassessment required by III.G.</w:t>
            </w:r>
          </w:p>
          <w:p>
            <w:pPr>
              <w:spacing w:after="120" w:line="276"/>
            </w:pPr>
            <w:r>
              <w:rPr>
                <w:color w:val="1A1A1A"/>
              </w:rPr>
              <w:t xml:space="preserve">3. Whether the determination results in single occupancy or shared housing, the reasons shall be documented in the JPIP classification comments with the date and justification required by III.F, including the youth's stated preference and, where the assignment departs from that preference, the reason it does.</w:t>
            </w:r>
          </w:p>
          <w:p>
            <w:pPr>
              <w:spacing w:after="120" w:line="276"/>
            </w:pPr>
            <w:r>
              <w:rPr>
                <w:color w:val="1A1A1A"/>
              </w:rPr>
              <w:t xml:space="preserve">4. A single occupancy assignment made under this section shall not reduce the youth's access to programming, education, recreation, visiting, or any other activity, as III.K requires.</w:t>
            </w:r>
          </w:p>
          <w:p>
            <w:pPr>
              <w:spacing w:after="60" w:line="276"/>
            </w:pPr>
            <w:r>
              <w:rPr>
                <w:color w:val="1A1A1A"/>
              </w:rPr>
              <w:t xml:space="preserve">5. Nothing in this section limits a youth's right to request single occupancy housing. A request shall be documented under III.F and honored where operationally feasible.</w:t>
            </w:r>
          </w:p>
        </w:tc>
      </w:tr>
    </w:tbl>
    <w:p>
      <w:pPr>
        <w:spacing w:after="140"/>
      </w:pPr>
      <w:r>
        <w:rPr>
          <w:color w:val="1A1A1A"/>
        </w:rPr>
        <w:t xml:space="preserve"/>
      </w:r>
    </w:p>
    <w:p>
      <w:pPr>
        <w:pStyle w:val="Heading2"/>
      </w:pPr>
      <w:r>
        <w:t xml:space="preserve">Conforming changes</w:t>
      </w:r>
    </w:p>
    <w:p>
      <w:pPr>
        <w:pStyle w:val="ListParagraph"/>
        <w:numPr>
          <w:ilvl w:val="0"/>
          <w:numId w:val="1"/>
        </w:numPr>
        <w:spacing w:after="80" w:line="264"/>
      </w:pPr>
      <w:r>
        <w:rPr>
          <w:color w:val="1A1A1A"/>
        </w:rPr>
        <w:t xml:space="preserve">Add a line to the JPIP classification comment prompt so the documentation required by paragraph 3 is captured at the point of decision rather than reconstructed later.</w:t>
      </w:r>
    </w:p>
    <w:p>
      <w:pPr>
        <w:pStyle w:val="ListParagraph"/>
        <w:numPr>
          <w:ilvl w:val="0"/>
          <w:numId w:val="1"/>
        </w:numPr>
        <w:spacing w:after="80" w:line="264"/>
      </w:pPr>
      <w:r>
        <w:rPr>
          <w:color w:val="1A1A1A"/>
        </w:rPr>
        <w:t xml:space="preserve">Confirm the cross-reference in OO 1352 after change 1 is adopted, so the two orders point at the same individualized determination.</w:t>
      </w:r>
    </w:p>
    <w:p>
      <w:pPr>
        <w:pStyle w:val="ListParagraph"/>
        <w:numPr>
          <w:ilvl w:val="0"/>
          <w:numId w:val="1"/>
        </w:numPr>
        <w:spacing w:after="80" w:line="264"/>
      </w:pPr>
      <w:r>
        <w:rPr>
          <w:color w:val="1A1A1A"/>
        </w:rPr>
        <w:t xml:space="preserve">Cross-reference OO 1360 IV to OO 1352.5 IV.A.3.b on searches, which is a separate open recommendation and is cheapest to adopt in the same amendment cycle.</w:t>
      </w:r>
    </w:p>
    <w:p>
      <w:pPr>
        <w:pStyle w:val="Heading2"/>
      </w:pPr>
      <w:r>
        <w:t xml:space="preserve">Why</w:t>
      </w:r>
    </w:p>
    <w:p>
      <w:pPr>
        <w:spacing w:after="120" w:line="276"/>
      </w:pPr>
      <w:r>
        <w:rPr>
          <w:color w:val="1A1A1A"/>
        </w:rPr>
        <w:t xml:space="preserve">Preserves the protective intent that produced III.I while removing the categorical defect, and resolves the internal contradiction with III.B, III.F, and III.H of the same order. The presumption does the operational work that the mandate was doing, and the documentation requirement is what makes it a determination rather than a rule in different words. State the presumption plainly, and audit the JPIP entries: a presumption applied without a real determination is the same defect wearing better clothes.</w:t>
      </w:r>
    </w:p>
    <w:p>
      <w:pPr>
        <w:pStyle w:val="Heading2"/>
      </w:pPr>
      <w:r>
        <w:t xml:space="preserve">Before adoption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60"/>
              <w:left w:type="dxa" w:w="100"/>
              <w:bottom w:type="dxa" w:w="60"/>
              <w:right w:type="dxa" w:w="100"/>
            </w:tcMar>
          </w:tcPr>
          <w:p>
            <w:pPr>
              <w:pStyle w:val="ListParagraph"/>
              <w:numPr>
                <w:ilvl w:val="0"/>
                <w:numId w:val="1"/>
              </w:numPr>
              <w:spacing w:after="60" w:before="60" w:line="264"/>
            </w:pPr>
            <w:r>
              <w:rPr>
                <w:color w:val="1A1A1A"/>
              </w:rPr>
              <w:t xml:space="preserve">OO 1352.5 was produced and read in full on 10/30, so the struck text above is the order's own words rather than a reconstruction. Through Revision 11 this item struck a reconstruction reading "All transgender and intersex youth shall be provided a single room," which omitted the order's stated rationale. The finding is unchanged; the text being replaced is longer than this project previously recorded.</w:t>
            </w:r>
          </w:p>
          <w:p>
            <w:pPr>
              <w:pStyle w:val="ListParagraph"/>
              <w:numPr>
                <w:ilvl w:val="0"/>
                <w:numId w:val="1"/>
              </w:numPr>
              <w:spacing w:after="60" w:before="40" w:line="264"/>
            </w:pPr>
            <w:r>
              <w:rPr>
                <w:color w:val="1A1A1A"/>
              </w:rPr>
              <w:t xml:space="preserve">The 15 CCR 1352.5 citation is verified. It was carried as unconfirmed through Revision 5 because it is absent from the 04/01/2014 edition of Title 15, and Revision 6 confirmed it against the edition effective 01/01/2019, where it runs (a) to (e). The edition effective 01/01/2019 is the operative one. The January 2023 revision is a pending proposal and must not be relied on.</w:t>
            </w:r>
          </w:p>
          <w:p>
            <w:pPr>
              <w:pStyle w:val="ListParagraph"/>
              <w:numPr>
                <w:ilvl w:val="0"/>
                <w:numId w:val="1"/>
              </w:numPr>
              <w:spacing w:after="60" w:before="40" w:line="264"/>
            </w:pPr>
            <w:r>
              <w:rPr>
                <w:color w:val="1A1A1A"/>
              </w:rPr>
              <w:t xml:space="preserve">III.B, III.F and III.H were confirmed verbatim on reading the order, so paragraphs 1 to 3 of the insert point at provisions that exist and say what this amendment assumes they say. III.E, not previously in the register, adds background, age, developmental status, sophistication, social skills, charges and behavioral history to the same determination.</w:t>
            </w:r>
          </w:p>
        </w:tc>
      </w:tr>
    </w:tbl>
    <w:p>
      <w:r>
        <w:br w:type="page"/>
      </w:r>
    </w:p>
    <w:p>
      <w:pPr>
        <w:pStyle w:val="Heading1"/>
      </w:pPr>
      <w:r>
        <w:t xml:space="preserve">3. Correct the mandated child abuse reporting standard and relocate the duty</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000"/>
        <w:gridCol w:w="8080"/>
      </w:tblGrid>
      <w:tr>
        <w:tc>
          <w:tcPr>
            <w:tcW w:type="dxa" w:w="2000"/>
            <w:shd w:fill="F5F5F5" w:color="auto" w:val="clear"/>
            <w:tcMar>
              <w:top w:type="dxa" w:w="60"/>
              <w:left w:type="dxa" w:w="100"/>
              <w:bottom w:type="dxa" w:w="60"/>
              <w:right w:type="dxa" w:w="100"/>
            </w:tcMar>
          </w:tcPr>
          <w:p>
            <w:pPr>
              <w:spacing w:after="40" w:before="40" w:line="240"/>
            </w:pPr>
            <w:r>
              <w:rPr>
                <w:b/>
                <w:bCs/>
                <w:color w:val="1A1A1A"/>
                <w:sz w:val="24"/>
                <w:szCs w:val="24"/>
              </w:rPr>
              <w:t xml:space="preserve">Priority</w:t>
            </w:r>
          </w:p>
        </w:tc>
        <w:tc>
          <w:tcPr>
            <w:tcW w:type="dxa" w:w="8080"/>
            <w:tcMar>
              <w:top w:type="dxa" w:w="60"/>
              <w:left w:type="dxa" w:w="100"/>
              <w:bottom w:type="dxa" w:w="60"/>
              <w:right w:type="dxa" w:w="100"/>
            </w:tcMar>
          </w:tcPr>
          <w:p>
            <w:pPr>
              <w:spacing w:after="40" w:before="40" w:line="240"/>
            </w:pPr>
            <w:r>
              <w:rPr>
                <w:color w:val="1A1A1A"/>
                <w:sz w:val="24"/>
                <w:szCs w:val="24"/>
              </w:rPr>
              <w:t xml:space="preserve">Critical</w:t>
            </w:r>
          </w:p>
        </w:tc>
      </w:tr>
      <w:tr>
        <w:tc>
          <w:tcPr>
            <w:tcW w:type="dxa" w:w="2000"/>
            <w:shd w:fill="F5F5F5" w:color="auto" w:val="clear"/>
            <w:tcMar>
              <w:top w:type="dxa" w:w="60"/>
              <w:left w:type="dxa" w:w="100"/>
              <w:bottom w:type="dxa" w:w="60"/>
              <w:right w:type="dxa" w:w="100"/>
            </w:tcMar>
          </w:tcPr>
          <w:p>
            <w:pPr>
              <w:spacing w:after="40" w:before="40" w:line="240"/>
            </w:pPr>
            <w:r>
              <w:rPr>
                <w:b/>
                <w:bCs/>
                <w:color w:val="1A1A1A"/>
                <w:sz w:val="24"/>
                <w:szCs w:val="24"/>
              </w:rPr>
              <w:t xml:space="preserve">Document</w:t>
            </w:r>
          </w:p>
        </w:tc>
        <w:tc>
          <w:tcPr>
            <w:tcW w:type="dxa" w:w="8080"/>
            <w:tcMar>
              <w:top w:type="dxa" w:w="60"/>
              <w:left w:type="dxa" w:w="100"/>
              <w:bottom w:type="dxa" w:w="60"/>
              <w:right w:type="dxa" w:w="100"/>
            </w:tcMar>
          </w:tcPr>
          <w:p>
            <w:pPr>
              <w:spacing w:after="40" w:before="40" w:line="240"/>
            </w:pPr>
            <w:r>
              <w:rPr>
                <w:color w:val="1A1A1A"/>
                <w:sz w:val="24"/>
                <w:szCs w:val="24"/>
              </w:rPr>
              <w:t xml:space="preserve">PREA Policy and Procedure, Juvenile Institutions, V.A.4</w:t>
            </w:r>
          </w:p>
          <w:p>
            <w:pPr>
              <w:spacing w:after="40" w:before="20" w:line="240"/>
            </w:pPr>
            <w:r>
              <w:rPr>
                <w:color w:val="1A1A1A"/>
                <w:sz w:val="24"/>
                <w:szCs w:val="24"/>
              </w:rPr>
              <w:t xml:space="preserve">OO 1453 Sexual Assault (rev. 12/09/2019), I.A.9</w:t>
            </w:r>
          </w:p>
          <w:p>
            <w:pPr>
              <w:spacing w:after="40" w:before="20" w:line="240"/>
            </w:pPr>
            <w:r>
              <w:rPr>
                <w:color w:val="1A1A1A"/>
                <w:sz w:val="24"/>
                <w:szCs w:val="24"/>
              </w:rPr>
              <w:t xml:space="preserve">New department-wide General Order on child abuse and neglect reporting</w:t>
            </w:r>
          </w:p>
        </w:tc>
      </w:tr>
      <w:tr>
        <w:tc>
          <w:tcPr>
            <w:tcW w:type="dxa" w:w="2000"/>
            <w:shd w:fill="F5F5F5" w:color="auto" w:val="clear"/>
            <w:tcMar>
              <w:top w:type="dxa" w:w="60"/>
              <w:left w:type="dxa" w:w="100"/>
              <w:bottom w:type="dxa" w:w="60"/>
              <w:right w:type="dxa" w:w="100"/>
            </w:tcMar>
          </w:tcPr>
          <w:p>
            <w:pPr>
              <w:spacing w:after="40" w:before="40" w:line="240"/>
            </w:pPr>
            <w:r>
              <w:rPr>
                <w:b/>
                <w:bCs/>
                <w:color w:val="1A1A1A"/>
                <w:sz w:val="24"/>
                <w:szCs w:val="24"/>
              </w:rPr>
              <w:t xml:space="preserve">Authority</w:t>
            </w:r>
          </w:p>
        </w:tc>
        <w:tc>
          <w:tcPr>
            <w:tcW w:type="dxa" w:w="8080"/>
            <w:tcMar>
              <w:top w:type="dxa" w:w="60"/>
              <w:left w:type="dxa" w:w="100"/>
              <w:bottom w:type="dxa" w:w="60"/>
              <w:right w:type="dxa" w:w="100"/>
            </w:tcMar>
          </w:tcPr>
          <w:p>
            <w:pPr>
              <w:spacing w:after="40" w:before="40" w:line="240"/>
            </w:pPr>
            <w:r>
              <w:rPr>
                <w:color w:val="1A1A1A"/>
                <w:sz w:val="24"/>
                <w:szCs w:val="24"/>
              </w:rPr>
              <w:t xml:space="preserve">28 CFR 115.361(b)</w:t>
            </w:r>
          </w:p>
          <w:p>
            <w:pPr>
              <w:spacing w:after="40" w:before="20" w:line="240"/>
            </w:pPr>
            <w:r>
              <w:rPr>
                <w:color w:val="1A1A1A"/>
                <w:sz w:val="24"/>
                <w:szCs w:val="24"/>
              </w:rPr>
              <w:t xml:space="preserve">Penal Code 11166(a), 11165.9, 11166(i)(1), 11166(j), 11172(a)</w:t>
            </w:r>
          </w:p>
          <w:p>
            <w:pPr>
              <w:spacing w:after="40" w:before="20" w:line="240"/>
            </w:pPr>
            <w:r>
              <w:rPr>
                <w:color w:val="1A1A1A"/>
                <w:sz w:val="24"/>
                <w:szCs w:val="24"/>
              </w:rPr>
              <w:t xml:space="preserve">Penal Code 11166(c), penalties</w:t>
            </w:r>
          </w:p>
        </w:tc>
      </w:tr>
      <w:tr>
        <w:tc>
          <w:tcPr>
            <w:tcW w:type="dxa" w:w="2000"/>
            <w:shd w:fill="F5F5F5" w:color="auto" w:val="clear"/>
            <w:tcMar>
              <w:top w:type="dxa" w:w="60"/>
              <w:left w:type="dxa" w:w="100"/>
              <w:bottom w:type="dxa" w:w="60"/>
              <w:right w:type="dxa" w:w="100"/>
            </w:tcMar>
          </w:tcPr>
          <w:p>
            <w:pPr>
              <w:spacing w:after="40" w:before="40" w:line="240"/>
            </w:pPr>
            <w:r>
              <w:rPr>
                <w:b/>
                <w:bCs/>
                <w:color w:val="1A1A1A"/>
                <w:sz w:val="24"/>
                <w:szCs w:val="24"/>
              </w:rPr>
              <w:t xml:space="preserve">Register rows</w:t>
            </w:r>
          </w:p>
        </w:tc>
        <w:tc>
          <w:tcPr>
            <w:tcW w:type="dxa" w:w="8080"/>
            <w:tcMar>
              <w:top w:type="dxa" w:w="60"/>
              <w:left w:type="dxa" w:w="100"/>
              <w:bottom w:type="dxa" w:w="60"/>
              <w:right w:type="dxa" w:w="100"/>
            </w:tcMar>
          </w:tcPr>
          <w:p>
            <w:pPr>
              <w:spacing w:after="40" w:before="40" w:line="240"/>
            </w:pPr>
            <w:r>
              <w:rPr>
                <w:color w:val="1A1A1A"/>
                <w:sz w:val="24"/>
                <w:szCs w:val="24"/>
              </w:rPr>
              <w:t xml:space="preserve">48, 77</w:t>
            </w:r>
          </w:p>
        </w:tc>
      </w:tr>
    </w:tbl>
    <w:p>
      <w:pPr>
        <w:pStyle w:val="Heading2"/>
      </w:pPr>
      <w:r>
        <w:t xml:space="preserve">The defect</w:t>
      </w:r>
    </w:p>
    <w:p>
      <w:pPr>
        <w:spacing w:after="120" w:line="276"/>
      </w:pPr>
      <w:r>
        <w:rPr>
          <w:color w:val="1A1A1A"/>
        </w:rPr>
        <w:t xml:space="preserve">The twenty-four hour Child Protective Services timeline appears in two departmental documents. PREA Policy V.A.4 states it, and OO 1453 I.A.9 restates it: all incidents of sexual assault shall be reported to Child Protective Services verbally within twenty-four hours, with the written report within thirty-six hours. Penal Code 11166(a) requires the telephone report immediately or as soon as is practicably possible. OO 1453 was last revised December 9, 2019, six years after the PREA policy, so the department restated the error rather than catching it on review. The Code of Conduct at VII.A.1 states the standard correctly, so three departmental documents address the same duty and two of them are wrong. A policy that tells a mandated reporter a report is timely at twenty-three hours is telling that employee to commit a misdemeanor, and the employee, not the department, carries that exposure.</w:t>
      </w:r>
    </w:p>
    <w:p>
      <w:pPr>
        <w:pStyle w:val="Heading2"/>
      </w:pPr>
      <w:r>
        <w:t xml:space="preserve">Strike</w:t>
      </w:r>
    </w:p>
    <w:p>
      <w:pPr>
        <w:spacing w:after="60"/>
      </w:pPr>
      <w:r>
        <w:rPr>
          <w:b/>
          <w:bCs/>
          <w:color w:val="1A1A1A"/>
        </w:rPr>
        <w:t xml:space="preserve">OO 1453 Sexual Assault, I.A.9</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2DEDE" w:color="auto" w:val="clear"/>
            <w:tcMar>
              <w:top w:type="dxa" w:w="60"/>
              <w:left w:type="dxa" w:w="100"/>
              <w:bottom w:type="dxa" w:w="60"/>
              <w:right w:type="dxa" w:w="100"/>
            </w:tcMar>
          </w:tcPr>
          <w:p>
            <w:pPr>
              <w:spacing w:after="60" w:before="60" w:line="260"/>
            </w:pPr>
            <w:r>
              <w:rPr>
                <w:strike/>
                <w:color w:val="1A1A1A"/>
              </w:rPr>
              <w:t xml:space="preserve">All incidents of sexual assault shall be reported to Child Protective Services verbally within 24 hours. A formal written reported shall be completed and forwarded to Child Protective Services within 36 hours of receiving information concerning the incident.</w:t>
            </w:r>
          </w:p>
        </w:tc>
      </w:tr>
    </w:tbl>
    <w:p>
      <w:pPr>
        <w:spacing w:after="200" w:before="60"/>
      </w:pPr>
      <w:r>
        <w:rPr>
          <w:i/>
          <w:iCs/>
          <w:color w:val="5A5A5A"/>
          <w:sz w:val="24"/>
          <w:szCs w:val="24"/>
        </w:rPr>
        <w:t xml:space="preserve">VERIFIED in Revision 10 against OO 1453 as produced, eff. 04/25/2013, rev. 12/09/2019. This is the order's actual text, including the typographical error in "written reported", which is the order's and not a transcription slip.</w:t>
      </w:r>
    </w:p>
    <w:p>
      <w:pPr>
        <w:spacing w:after="60"/>
      </w:pPr>
      <w:r>
        <w:rPr>
          <w:b/>
          <w:bCs/>
          <w:color w:val="1A1A1A"/>
        </w:rPr>
        <w:t xml:space="preserve">PREA Policy and Procedure, Juvenile Institutions, V.A.4</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2DEDE" w:color="auto" w:val="clear"/>
            <w:tcMar>
              <w:top w:type="dxa" w:w="60"/>
              <w:left w:type="dxa" w:w="100"/>
              <w:bottom w:type="dxa" w:w="60"/>
              <w:right w:type="dxa" w:w="100"/>
            </w:tcMar>
          </w:tcPr>
          <w:p>
            <w:pPr>
              <w:spacing w:after="60" w:before="60" w:line="260"/>
            </w:pPr>
            <w:r>
              <w:rPr>
                <w:strike/>
                <w:color w:val="1A1A1A"/>
              </w:rPr>
              <w:t xml:space="preserve">All incidents of sexual assault shall be reported to Child Protective Services verbally within 24 hours, with a written report submitted within 36 hours.</w:t>
            </w:r>
          </w:p>
        </w:tc>
      </w:tr>
    </w:tbl>
    <w:p>
      <w:pPr>
        <w:spacing w:after="200" w:before="60"/>
      </w:pPr>
      <w:r>
        <w:rPr>
          <w:i/>
          <w:iCs/>
          <w:color w:val="5A5A5A"/>
          <w:sz w:val="24"/>
          <w:szCs w:val="24"/>
        </w:rPr>
        <w:t xml:space="preserve">Described in the register, not read in this review. The PREA Policy has still never been produced. Replace this with the policy's real words before circulating.</w:t>
      </w:r>
    </w:p>
    <w:p>
      <w:pPr>
        <w:pStyle w:val="Heading2"/>
      </w:pPr>
      <w:r>
        <w:t xml:space="preserve">Insert</w:t>
      </w:r>
    </w:p>
    <w:p>
      <w:pPr>
        <w:spacing w:after="60"/>
      </w:pPr>
      <w:r>
        <w:rPr>
          <w:b/>
          <w:bCs/>
          <w:color w:val="1A1A1A"/>
        </w:rPr>
        <w:t xml:space="preserve">Stage one, the interim in-place correction. Adopt in PREA Policy V.A.4 and OO 1453 I.A.9 now, without waiting for the General Order.</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7EFE4" w:color="auto" w:val="clear"/>
            <w:tcMar>
              <w:top w:type="dxa" w:w="60"/>
              <w:left w:type="dxa" w:w="100"/>
              <w:bottom w:type="dxa" w:w="60"/>
              <w:right w:type="dxa" w:w="100"/>
            </w:tcMar>
          </w:tcPr>
          <w:p>
            <w:pPr>
              <w:spacing w:after="100" w:before="60" w:line="260"/>
            </w:pPr>
            <w:r>
              <w:rPr>
                <w:b/>
                <w:bCs/>
                <w:color w:val="1A1A1A"/>
              </w:rPr>
              <w:t xml:space="preserve">Mandated reporting of child abuse and neglect</w:t>
            </w:r>
          </w:p>
          <w:p>
            <w:pPr>
              <w:spacing w:after="120" w:line="276"/>
            </w:pPr>
            <w:r>
              <w:rPr>
                <w:color w:val="1A1A1A"/>
              </w:rPr>
              <w:t xml:space="preserve">1. An employee who, in their professional capacity or within the scope of their employment, has knowledge of or observes a resident whom the employee knows or reasonably suspects has been the victim of child abuse or neglect shall make a report to an agency specified in Penal Code section 11165.9 immediately, or as soon as is practicably possible, by telephone, and shall prepare and send, fax, or electronically transmit a written follow-up report on Department of Justice form SS 8572 within thirty-six hours of receiving the information concerning the incident.</w:t>
            </w:r>
          </w:p>
          <w:p>
            <w:pPr>
              <w:spacing w:after="120" w:line="276"/>
            </w:pPr>
            <w:r>
              <w:rPr>
                <w:color w:val="1A1A1A"/>
              </w:rPr>
              <w:t xml:space="preserve">2. The duty imposed by paragraph 1 is individual and may not be delegated. Notifying a supervisor, the Duty Supervisor, Internal Affairs, or any departmental office does not satisfy the duty and does not delay it. Internal notification requirements in this policy are in addition to the mandated report, not a substitute for it and not a step before it.</w:t>
            </w:r>
          </w:p>
          <w:p>
            <w:pPr>
              <w:spacing w:after="120" w:line="276"/>
            </w:pPr>
            <w:r>
              <w:rPr>
                <w:color w:val="1A1A1A"/>
              </w:rPr>
              <w:t xml:space="preserve">3. No supervisor or administrator shall impede or inhibit a report, and no employee shall be subject to any sanction for making a report.</w:t>
            </w:r>
          </w:p>
          <w:p>
            <w:pPr>
              <w:spacing w:after="60" w:line="276"/>
            </w:pPr>
            <w:r>
              <w:rPr>
                <w:color w:val="1A1A1A"/>
              </w:rPr>
              <w:t xml:space="preserve">4. Where the department receives a report of suspected child abuse or neglect in its capacity as a county probation department, it shall itself report the information to the law enforcement agency having jurisdiction over the case, to the agency responsible for investigating the matter under Welfare and Institutions Code section 300, and to the district attorney's office, by telephone, fax, or electronic transmission immediately or as soon as practicably possible, with the written report within thirty-six hours.</w:t>
            </w:r>
          </w:p>
        </w:tc>
      </w:tr>
    </w:tbl>
    <w:p>
      <w:pPr>
        <w:spacing w:after="140"/>
      </w:pPr>
      <w:r>
        <w:rPr>
          <w:color w:val="1A1A1A"/>
        </w:rPr>
        <w:t xml:space="preserve"/>
      </w:r>
    </w:p>
    <w:p>
      <w:pPr>
        <w:spacing w:after="60"/>
      </w:pPr>
      <w:r>
        <w:rPr>
          <w:b/>
          <w:bCs/>
          <w:color w:val="1A1A1A"/>
        </w:rPr>
        <w:t xml:space="preserve">Stage two, once the General Order issues. Replaces stage one in PREA Policy V.A.4 and OO 1453 I.A.9.</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7EFE4" w:color="auto" w:val="clear"/>
            <w:tcMar>
              <w:top w:type="dxa" w:w="60"/>
              <w:left w:type="dxa" w:w="100"/>
              <w:bottom w:type="dxa" w:w="60"/>
              <w:right w:type="dxa" w:w="100"/>
            </w:tcMar>
          </w:tcPr>
          <w:p>
            <w:pPr>
              <w:spacing w:after="100" w:before="60" w:line="260"/>
            </w:pPr>
            <w:r>
              <w:rPr>
                <w:b/>
                <w:bCs/>
                <w:color w:val="1A1A1A"/>
              </w:rPr>
              <w:t xml:space="preserve">Cross-reference</w:t>
            </w:r>
          </w:p>
          <w:p>
            <w:pPr>
              <w:spacing w:after="60" w:line="276"/>
            </w:pPr>
            <w:r>
              <w:rPr>
                <w:color w:val="1A1A1A"/>
              </w:rPr>
              <w:t xml:space="preserve">Any incident of suspected child abuse or neglect, including any sexual abuse or sexual assault of a resident, shall be reported in accordance with the General Order on Mandatory Reporting of Child Abuse and Neglect. Nothing in this policy alters, delays, or adds a condition to the duty imposed by Penal Code section 11166(a).</w:t>
            </w:r>
          </w:p>
        </w:tc>
      </w:tr>
    </w:tbl>
    <w:p>
      <w:pPr>
        <w:spacing w:after="140"/>
      </w:pPr>
      <w:r>
        <w:rPr>
          <w:color w:val="1A1A1A"/>
        </w:rPr>
        <w:t xml:space="preserve"/>
      </w:r>
    </w:p>
    <w:p>
      <w:pPr>
        <w:pStyle w:val="Heading2"/>
      </w:pPr>
      <w:r>
        <w:t xml:space="preserve">Conforming changes</w:t>
      </w:r>
    </w:p>
    <w:p>
      <w:pPr>
        <w:pStyle w:val="ListParagraph"/>
        <w:numPr>
          <w:ilvl w:val="0"/>
          <w:numId w:val="1"/>
        </w:numPr>
        <w:spacing w:after="80" w:line="264"/>
      </w:pPr>
      <w:r>
        <w:rPr>
          <w:color w:val="1A1A1A"/>
        </w:rPr>
        <w:t xml:space="preserve">Do not delete the incident reporting and Duty Supervisor notification duties in either document. Paragraph 2 of stage one is drafted so the internal duties survive alongside the mandated report rather than competing with it.</w:t>
      </w:r>
    </w:p>
    <w:p>
      <w:pPr>
        <w:pStyle w:val="ListParagraph"/>
        <w:numPr>
          <w:ilvl w:val="0"/>
          <w:numId w:val="1"/>
        </w:numPr>
        <w:spacing w:after="80" w:line="264"/>
      </w:pPr>
      <w:r>
        <w:rPr>
          <w:color w:val="1A1A1A"/>
        </w:rPr>
        <w:t xml:space="preserve">Conform the Code of Conduct VII.A.1 to the same cross-reference once the General Order issues. It is currently correct, so it is a consistency edit, not a correction.</w:t>
      </w:r>
    </w:p>
    <w:p>
      <w:pPr>
        <w:pStyle w:val="ListParagraph"/>
        <w:numPr>
          <w:ilvl w:val="0"/>
          <w:numId w:val="1"/>
        </w:numPr>
        <w:spacing w:after="80" w:line="264"/>
      </w:pPr>
      <w:r>
        <w:rPr>
          <w:color w:val="1A1A1A"/>
        </w:rPr>
        <w:t xml:space="preserve">Add the reporting standard to the Tier 1 training outline and to the annual refresher, and keep a signed acknowledgment on file. Confirm with County Counsel whether Penal Code 11166.5 applies to departmental employees.</w:t>
      </w:r>
    </w:p>
    <w:p>
      <w:pPr>
        <w:pStyle w:val="ListParagraph"/>
        <w:numPr>
          <w:ilvl w:val="0"/>
          <w:numId w:val="1"/>
        </w:numPr>
        <w:spacing w:after="80" w:line="264"/>
      </w:pPr>
      <w:r>
        <w:rPr>
          <w:color w:val="1A1A1A"/>
        </w:rPr>
        <w:t xml:space="preserve">Add a cross-reference for residents aged eighteen and older, who fall outside CANRA, to the existing General Order on Mandatory Reporting of Dependent Adult and Elder Abuse.</w:t>
      </w:r>
    </w:p>
    <w:p>
      <w:pPr>
        <w:pStyle w:val="ListParagraph"/>
        <w:numPr>
          <w:ilvl w:val="0"/>
          <w:numId w:val="1"/>
        </w:numPr>
        <w:spacing w:after="80" w:line="264"/>
      </w:pPr>
      <w:r>
        <w:rPr>
          <w:color w:val="1A1A1A"/>
        </w:rPr>
        <w:t xml:space="preserve">CORRECT THE SCOPE AS WELL AS THE TIMELINE, new in Revision 10 from reading the whole of OO 1453. Every operative duty in that order is keyed to "sexual assault": the Purpose paragraph's staff reporting duty, I.A.9's CPS report, and I.A.15's incident review. Nothing in the three pages reaches sexual harassment, exposure, or touching not characterised as assault. But PC 11165.1(b)(4) makes the intentional touching of a child's intimate parts for sexual arousal reportable, and (b)(5) makes masturbation in a child's presence reportable on the first occurrence. So the order as written misses reportable conduct. The insert below is drafted to the CANRA trigger rather than to the word "assault", which fixes both defects in one amendment.</w:t>
      </w:r>
    </w:p>
    <w:p>
      <w:pPr>
        <w:pStyle w:val="ListParagraph"/>
        <w:numPr>
          <w:ilvl w:val="0"/>
          <w:numId w:val="1"/>
        </w:numPr>
        <w:spacing w:after="80" w:line="264"/>
      </w:pPr>
      <w:r>
        <w:rPr>
          <w:color w:val="1A1A1A"/>
        </w:rPr>
        <w:t xml:space="preserve">While I.A.9 is open, consider amending I.A.6 in the same cycle. It directs a Miranda warning before questioning a suspect and says nothing about the WIC 625.6 consultation with counsel, which has been mandatory and unwaivable for youth 17 and under since 01/01/2021. That is register row 91 and conflict 13, and it is a separate amendment rather than part of this one, but it is in the same order and the same revision cycle.</w:t>
      </w:r>
    </w:p>
    <w:p>
      <w:pPr>
        <w:pStyle w:val="Heading2"/>
      </w:pPr>
      <w:r>
        <w:t xml:space="preserve">Why</w:t>
      </w:r>
    </w:p>
    <w:p>
      <w:pPr>
        <w:spacing w:after="120" w:line="276"/>
      </w:pPr>
      <w:r>
        <w:rPr>
          <w:color w:val="1A1A1A"/>
        </w:rPr>
        <w:t xml:space="preserve">This ends the practice of restating a legal standard in multiple documents, which is how the error propagated and how it survived a 2019 revision. The relocation matters as much as the correction: a single General Order is one place to amend when the Penal Code changes, and one place for an auditor or a plaintiff to look. Stage one exists because the General Order will take an approval cycle that the current text cannot safely wait through.</w:t>
      </w:r>
    </w:p>
    <w:p>
      <w:pPr>
        <w:pStyle w:val="Heading2"/>
      </w:pPr>
      <w:r>
        <w:t xml:space="preserve">Before adoption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60"/>
              <w:left w:type="dxa" w:w="100"/>
              <w:bottom w:type="dxa" w:w="60"/>
              <w:right w:type="dxa" w:w="100"/>
            </w:tcMar>
          </w:tcPr>
          <w:p>
            <w:pPr>
              <w:pStyle w:val="ListParagraph"/>
              <w:numPr>
                <w:ilvl w:val="0"/>
                <w:numId w:val="1"/>
              </w:numPr>
              <w:spacing w:after="60" w:before="60" w:line="264"/>
            </w:pPr>
            <w:r>
              <w:rPr>
                <w:color w:val="1A1A1A"/>
              </w:rPr>
              <w:t xml:space="preserve">VERIFIED in Revision 10 against OO 1453 as produced, eff. 04/25/2013, rev. 12/09/2019. I.A.9 and its section number are the order's own words and this half of the redline may now circulate as a true redline.</w:t>
            </w:r>
          </w:p>
          <w:p>
            <w:pPr>
              <w:pStyle w:val="ListParagraph"/>
              <w:numPr>
                <w:ilvl w:val="0"/>
                <w:numId w:val="1"/>
              </w:numPr>
              <w:spacing w:after="60" w:before="40" w:line="264"/>
            </w:pPr>
            <w:r>
              <w:rPr>
                <w:color w:val="1A1A1A"/>
              </w:rPr>
              <w:t xml:space="preserve">The PREA Policy has still never been produced. V.A.4 above is a reconstruction of what the register describes, not a quotation, and the section number traces to the register. Confirm it against the policy before circulating.</w:t>
            </w:r>
          </w:p>
          <w:p>
            <w:pPr>
              <w:pStyle w:val="ListParagraph"/>
              <w:numPr>
                <w:ilvl w:val="0"/>
                <w:numId w:val="1"/>
              </w:numPr>
              <w:spacing w:after="60" w:before="40" w:line="264"/>
            </w:pPr>
            <w:r>
              <w:rPr>
                <w:color w:val="1A1A1A"/>
              </w:rPr>
              <w:t xml:space="preserve">Paragraph 4 assumes the department receives mandated reports in its capacity as a county probation department. Penal Code 11165.9 makes that turn on whether the county has designated the probation department to receive them. That designation is still unconfirmed. Confirm before adopting it.</w:t>
            </w:r>
          </w:p>
          <w:p>
            <w:pPr>
              <w:pStyle w:val="ListParagraph"/>
              <w:numPr>
                <w:ilvl w:val="0"/>
                <w:numId w:val="1"/>
              </w:numPr>
              <w:spacing w:after="60" w:before="40" w:line="264"/>
            </w:pPr>
            <w:r>
              <w:rPr>
                <w:color w:val="1A1A1A"/>
              </w:rPr>
              <w:t xml:space="preserve">Full contents for the General Order are in the master report at Part 4.1. Model its structure on the existing Dependent Adult and Elder Abuse General Order, which is the department's own working template for this kind of duty.</w:t>
            </w:r>
          </w:p>
        </w:tc>
      </w:tr>
    </w:tbl>
    <w:p>
      <w:r>
        <w:br w:type="page"/>
      </w:r>
    </w:p>
    <w:p>
      <w:pPr>
        <w:pStyle w:val="Heading1"/>
      </w:pPr>
      <w:r>
        <w:t xml:space="preserve">4. Correct the cross-facility notification timeline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000"/>
        <w:gridCol w:w="8080"/>
      </w:tblGrid>
      <w:tr>
        <w:tc>
          <w:tcPr>
            <w:tcW w:type="dxa" w:w="2000"/>
            <w:shd w:fill="F5F5F5" w:color="auto" w:val="clear"/>
            <w:tcMar>
              <w:top w:type="dxa" w:w="60"/>
              <w:left w:type="dxa" w:w="100"/>
              <w:bottom w:type="dxa" w:w="60"/>
              <w:right w:type="dxa" w:w="100"/>
            </w:tcMar>
          </w:tcPr>
          <w:p>
            <w:pPr>
              <w:spacing w:after="40" w:before="40" w:line="240"/>
            </w:pPr>
            <w:r>
              <w:rPr>
                <w:b/>
                <w:bCs/>
                <w:color w:val="1A1A1A"/>
                <w:sz w:val="24"/>
                <w:szCs w:val="24"/>
              </w:rPr>
              <w:t xml:space="preserve">Priority</w:t>
            </w:r>
          </w:p>
        </w:tc>
        <w:tc>
          <w:tcPr>
            <w:tcW w:type="dxa" w:w="8080"/>
            <w:tcMar>
              <w:top w:type="dxa" w:w="60"/>
              <w:left w:type="dxa" w:w="100"/>
              <w:bottom w:type="dxa" w:w="60"/>
              <w:right w:type="dxa" w:w="100"/>
            </w:tcMar>
          </w:tcPr>
          <w:p>
            <w:pPr>
              <w:spacing w:after="40" w:before="40" w:line="240"/>
            </w:pPr>
            <w:r>
              <w:rPr>
                <w:color w:val="1A1A1A"/>
                <w:sz w:val="24"/>
                <w:szCs w:val="24"/>
              </w:rPr>
              <w:t xml:space="preserve">Critical</w:t>
            </w:r>
          </w:p>
        </w:tc>
      </w:tr>
      <w:tr>
        <w:tc>
          <w:tcPr>
            <w:tcW w:type="dxa" w:w="2000"/>
            <w:shd w:fill="F5F5F5" w:color="auto" w:val="clear"/>
            <w:tcMar>
              <w:top w:type="dxa" w:w="60"/>
              <w:left w:type="dxa" w:w="100"/>
              <w:bottom w:type="dxa" w:w="60"/>
              <w:right w:type="dxa" w:w="100"/>
            </w:tcMar>
          </w:tcPr>
          <w:p>
            <w:pPr>
              <w:spacing w:after="40" w:before="40" w:line="240"/>
            </w:pPr>
            <w:r>
              <w:rPr>
                <w:b/>
                <w:bCs/>
                <w:color w:val="1A1A1A"/>
                <w:sz w:val="24"/>
                <w:szCs w:val="24"/>
              </w:rPr>
              <w:t xml:space="preserve">Document</w:t>
            </w:r>
          </w:p>
        </w:tc>
        <w:tc>
          <w:tcPr>
            <w:tcW w:type="dxa" w:w="8080"/>
            <w:tcMar>
              <w:top w:type="dxa" w:w="60"/>
              <w:left w:type="dxa" w:w="100"/>
              <w:bottom w:type="dxa" w:w="60"/>
              <w:right w:type="dxa" w:w="100"/>
            </w:tcMar>
          </w:tcPr>
          <w:p>
            <w:pPr>
              <w:spacing w:after="40" w:before="40" w:line="240"/>
            </w:pPr>
            <w:r>
              <w:rPr>
                <w:color w:val="1A1A1A"/>
                <w:sz w:val="24"/>
                <w:szCs w:val="24"/>
              </w:rPr>
              <w:t xml:space="preserve">PREA Policy and Procedure, Juvenile Institutions, V.A.7</w:t>
            </w:r>
          </w:p>
        </w:tc>
      </w:tr>
      <w:tr>
        <w:tc>
          <w:tcPr>
            <w:tcW w:type="dxa" w:w="2000"/>
            <w:shd w:fill="F5F5F5" w:color="auto" w:val="clear"/>
            <w:tcMar>
              <w:top w:type="dxa" w:w="60"/>
              <w:left w:type="dxa" w:w="100"/>
              <w:bottom w:type="dxa" w:w="60"/>
              <w:right w:type="dxa" w:w="100"/>
            </w:tcMar>
          </w:tcPr>
          <w:p>
            <w:pPr>
              <w:spacing w:after="40" w:before="40" w:line="240"/>
            </w:pPr>
            <w:r>
              <w:rPr>
                <w:b/>
                <w:bCs/>
                <w:color w:val="1A1A1A"/>
                <w:sz w:val="24"/>
                <w:szCs w:val="24"/>
              </w:rPr>
              <w:t xml:space="preserve">Authority</w:t>
            </w:r>
          </w:p>
        </w:tc>
        <w:tc>
          <w:tcPr>
            <w:tcW w:type="dxa" w:w="8080"/>
            <w:tcMar>
              <w:top w:type="dxa" w:w="60"/>
              <w:left w:type="dxa" w:w="100"/>
              <w:bottom w:type="dxa" w:w="60"/>
              <w:right w:type="dxa" w:w="100"/>
            </w:tcMar>
          </w:tcPr>
          <w:p>
            <w:pPr>
              <w:spacing w:after="40" w:before="40" w:line="240"/>
            </w:pPr>
            <w:r>
              <w:rPr>
                <w:color w:val="1A1A1A"/>
                <w:sz w:val="24"/>
                <w:szCs w:val="24"/>
              </w:rPr>
              <w:t xml:space="preserve">28 CFR 115.363(a)-(d)</w:t>
            </w:r>
          </w:p>
        </w:tc>
      </w:tr>
      <w:tr>
        <w:tc>
          <w:tcPr>
            <w:tcW w:type="dxa" w:w="2000"/>
            <w:shd w:fill="F5F5F5" w:color="auto" w:val="clear"/>
            <w:tcMar>
              <w:top w:type="dxa" w:w="60"/>
              <w:left w:type="dxa" w:w="100"/>
              <w:bottom w:type="dxa" w:w="60"/>
              <w:right w:type="dxa" w:w="100"/>
            </w:tcMar>
          </w:tcPr>
          <w:p>
            <w:pPr>
              <w:spacing w:after="40" w:before="40" w:line="240"/>
            </w:pPr>
            <w:r>
              <w:rPr>
                <w:b/>
                <w:bCs/>
                <w:color w:val="1A1A1A"/>
                <w:sz w:val="24"/>
                <w:szCs w:val="24"/>
              </w:rPr>
              <w:t xml:space="preserve">Register rows</w:t>
            </w:r>
          </w:p>
        </w:tc>
        <w:tc>
          <w:tcPr>
            <w:tcW w:type="dxa" w:w="8080"/>
            <w:tcMar>
              <w:top w:type="dxa" w:w="60"/>
              <w:left w:type="dxa" w:w="100"/>
              <w:bottom w:type="dxa" w:w="60"/>
              <w:right w:type="dxa" w:w="100"/>
            </w:tcMar>
          </w:tcPr>
          <w:p>
            <w:pPr>
              <w:spacing w:after="40" w:before="40" w:line="240"/>
            </w:pPr>
            <w:r>
              <w:rPr>
                <w:color w:val="1A1A1A"/>
                <w:sz w:val="24"/>
                <w:szCs w:val="24"/>
              </w:rPr>
              <w:t xml:space="preserve">52, 47</w:t>
            </w:r>
          </w:p>
        </w:tc>
      </w:tr>
    </w:tbl>
    <w:p>
      <w:pPr>
        <w:pStyle w:val="Heading2"/>
      </w:pPr>
      <w:r>
        <w:t xml:space="preserve">The defect</w:t>
      </w:r>
    </w:p>
    <w:p>
      <w:pPr>
        <w:spacing w:after="120" w:line="276"/>
      </w:pPr>
      <w:r>
        <w:rPr>
          <w:color w:val="1A1A1A"/>
        </w:rPr>
        <w:t xml:space="preserve">The policy sets a fourteen-day window for the Chief Deputy or Assistant Chief Deputy to notify the head of the facility where the abuse allegedly occurred. The federal standard is seventy-two hours. The fourteen-day figure appears to have been carried over from the attorney notification timeline at 115.361(e)(3). This is a straight timeline error and the shortest correction in the set.</w:t>
      </w:r>
    </w:p>
    <w:p>
      <w:pPr>
        <w:pStyle w:val="Heading2"/>
      </w:pPr>
      <w:r>
        <w:t xml:space="preserve">Strike</w:t>
      </w:r>
    </w:p>
    <w:p>
      <w:pPr>
        <w:spacing w:after="60"/>
      </w:pPr>
      <w:r>
        <w:rPr>
          <w:b/>
          <w:bCs/>
          <w:color w:val="1A1A1A"/>
        </w:rPr>
        <w:t xml:space="preserve">PREA Policy V.A.7</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2DEDE" w:color="auto" w:val="clear"/>
            <w:tcMar>
              <w:top w:type="dxa" w:w="60"/>
              <w:left w:type="dxa" w:w="100"/>
              <w:bottom w:type="dxa" w:w="60"/>
              <w:right w:type="dxa" w:w="100"/>
            </w:tcMar>
          </w:tcPr>
          <w:p>
            <w:pPr>
              <w:spacing w:after="60" w:before="60" w:line="260"/>
            </w:pPr>
            <w:r>
              <w:rPr>
                <w:strike/>
                <w:color w:val="1A1A1A"/>
              </w:rPr>
              <w:t xml:space="preserve">Within 14 days of receiving the allegation, the Chief Deputy or Assistant Chief Deputy shall notify the head of the facility where the alleged abuse occurred.</w:t>
            </w:r>
          </w:p>
        </w:tc>
      </w:tr>
    </w:tbl>
    <w:p>
      <w:pPr>
        <w:spacing w:after="200" w:before="60"/>
      </w:pPr>
      <w:r>
        <w:rPr>
          <w:i/>
          <w:iCs/>
          <w:color w:val="5A5A5A"/>
          <w:sz w:val="24"/>
          <w:szCs w:val="24"/>
        </w:rPr>
        <w:t xml:space="preserve">Described in the register, not read in this review.</w:t>
      </w:r>
    </w:p>
    <w:p>
      <w:pPr>
        <w:pStyle w:val="Heading2"/>
      </w:pPr>
      <w:r>
        <w:t xml:space="preserve">Insert</w:t>
      </w:r>
    </w:p>
    <w:p>
      <w:pPr>
        <w:spacing w:after="60"/>
      </w:pPr>
      <w:r>
        <w:rPr>
          <w:b/>
          <w:bCs/>
          <w:color w:val="1A1A1A"/>
        </w:rPr>
        <w:t xml:space="preserve">PREA Policy V.A.7, replacing the struck text</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7EFE4" w:color="auto" w:val="clear"/>
            <w:tcMar>
              <w:top w:type="dxa" w:w="60"/>
              <w:left w:type="dxa" w:w="100"/>
              <w:bottom w:type="dxa" w:w="60"/>
              <w:right w:type="dxa" w:w="100"/>
            </w:tcMar>
          </w:tcPr>
          <w:p>
            <w:pPr>
              <w:spacing w:after="100" w:before="60" w:line="260"/>
            </w:pPr>
            <w:r>
              <w:rPr>
                <w:b/>
                <w:bCs/>
                <w:color w:val="1A1A1A"/>
              </w:rPr>
              <w:t xml:space="preserve">Allegations of abuse at another facility</w:t>
            </w:r>
          </w:p>
          <w:p>
            <w:pPr>
              <w:spacing w:after="120" w:line="276"/>
            </w:pPr>
            <w:r>
              <w:rPr>
                <w:color w:val="1A1A1A"/>
              </w:rPr>
              <w:t xml:space="preserve">1. Upon receiving an allegation that a resident was sexually abused while confined at another facility, the Chief Deputy or Assistant Chief Deputy shall notify the head of that facility, or the appropriate office of the agency operating it, and the appropriate investigative agency, as soon as possible and no later than seventy-two hours after receiving the allegation.</w:t>
            </w:r>
          </w:p>
          <w:p>
            <w:pPr>
              <w:spacing w:after="120" w:line="276"/>
            </w:pPr>
            <w:r>
              <w:rPr>
                <w:color w:val="1A1A1A"/>
              </w:rPr>
              <w:t xml:space="preserve">2. The notification shall be documented in writing, recording the date and time the allegation was received, the date and time of the notification, the person notified, and the method used. The documentation shall be retained under the department's records retention schedule for sexual abuse records.</w:t>
            </w:r>
          </w:p>
          <w:p>
            <w:pPr>
              <w:spacing w:after="60" w:line="276"/>
            </w:pPr>
            <w:r>
              <w:rPr>
                <w:color w:val="1A1A1A"/>
              </w:rPr>
              <w:t xml:space="preserve">3. Where the department receives such a notification from another agency, the facility administrator shall ensure the allegation is referred for investigation in accordance with this policy, and shall document the referral.</w:t>
            </w:r>
          </w:p>
        </w:tc>
      </w:tr>
    </w:tbl>
    <w:p>
      <w:pPr>
        <w:spacing w:after="140"/>
      </w:pPr>
      <w:r>
        <w:rPr>
          <w:color w:val="1A1A1A"/>
        </w:rPr>
        <w:t xml:space="preserve"/>
      </w:r>
    </w:p>
    <w:p>
      <w:pPr>
        <w:pStyle w:val="Heading2"/>
      </w:pPr>
      <w:r>
        <w:t xml:space="preserve">Conforming changes</w:t>
      </w:r>
    </w:p>
    <w:p>
      <w:pPr>
        <w:pStyle w:val="ListParagraph"/>
        <w:numPr>
          <w:ilvl w:val="0"/>
          <w:numId w:val="1"/>
        </w:numPr>
        <w:spacing w:after="80" w:line="264"/>
      </w:pPr>
      <w:r>
        <w:rPr>
          <w:color w:val="1A1A1A"/>
        </w:rPr>
        <w:t xml:space="preserve">Check every other timeline in PREA Policy section V against the standard it implements, since the fourteen-day figure looks like a transposition from the attorney notification rule and a transposition rarely happens once.</w:t>
      </w:r>
    </w:p>
    <w:p>
      <w:pPr>
        <w:pStyle w:val="ListParagraph"/>
        <w:numPr>
          <w:ilvl w:val="0"/>
          <w:numId w:val="1"/>
        </w:numPr>
        <w:spacing w:after="80" w:line="264"/>
      </w:pPr>
      <w:r>
        <w:rPr>
          <w:color w:val="1A1A1A"/>
        </w:rPr>
        <w:t xml:space="preserve">The reporting duty at 115.361(a) is a separate open item that lives in the same section and should be amended in the same cycle: sexual harassment as a separately reportable category, reports of retaliation, and reports of staff neglect or violation of responsibilities contributing to an incident.</w:t>
      </w:r>
    </w:p>
    <w:p>
      <w:pPr>
        <w:pStyle w:val="Heading2"/>
      </w:pPr>
      <w:r>
        <w:t xml:space="preserve">Why</w:t>
      </w:r>
    </w:p>
    <w:p>
      <w:pPr>
        <w:spacing w:after="120" w:line="276"/>
      </w:pPr>
      <w:r>
        <w:rPr>
          <w:color w:val="1A1A1A"/>
        </w:rPr>
        <w:t xml:space="preserve">28 CFR 115.363(b). One sentence, no policy judgment required, and it removes a provision that on its face directs staff to sit on an allegation for up to eleven days longer than the standard allows. Paragraph 3 adds the receiving side of the same standard, which the current policy does not address at all and which costs nothing to include in the same amendment.</w:t>
      </w:r>
    </w:p>
    <w:p>
      <w:pPr>
        <w:pStyle w:val="Heading2"/>
      </w:pPr>
      <w:r>
        <w:t xml:space="preserve">Before adoption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60"/>
              <w:left w:type="dxa" w:w="100"/>
              <w:bottom w:type="dxa" w:w="60"/>
              <w:right w:type="dxa" w:w="100"/>
            </w:tcMar>
          </w:tcPr>
          <w:p>
            <w:pPr>
              <w:pStyle w:val="ListParagraph"/>
              <w:numPr>
                <w:ilvl w:val="0"/>
                <w:numId w:val="1"/>
              </w:numPr>
              <w:spacing w:after="60" w:before="60" w:line="264"/>
            </w:pPr>
            <w:r>
              <w:rPr>
                <w:color w:val="1A1A1A"/>
              </w:rPr>
              <w:t xml:space="preserve">The PREA Policy has not been produced to this review. Confirm the V.A.7 numbering and wording against the PDF.</w:t>
            </w:r>
          </w:p>
          <w:p>
            <w:pPr>
              <w:pStyle w:val="ListParagraph"/>
              <w:numPr>
                <w:ilvl w:val="0"/>
                <w:numId w:val="1"/>
              </w:numPr>
              <w:spacing w:after="60" w:before="40" w:line="264"/>
            </w:pPr>
            <w:r>
              <w:rPr>
                <w:color w:val="1A1A1A"/>
              </w:rPr>
              <w:t xml:space="preserve">The reference to a records retention schedule in paragraph 2 assumes change 7 is adopted. If change 7 is deferred, cite the existing schedule instead, and note that the existing schedule is the subject of change 7.</w:t>
            </w:r>
          </w:p>
        </w:tc>
      </w:tr>
    </w:tbl>
    <w:p>
      <w:r>
        <w:br w:type="page"/>
      </w:r>
    </w:p>
    <w:p>
      <w:pPr>
        <w:pStyle w:val="Heading1"/>
      </w:pPr>
      <w:r>
        <w:t xml:space="preserve">5. Rewrite the false allegations provision to a bad-faith standard</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000"/>
        <w:gridCol w:w="8080"/>
      </w:tblGrid>
      <w:tr>
        <w:tc>
          <w:tcPr>
            <w:tcW w:type="dxa" w:w="2000"/>
            <w:shd w:fill="F5F5F5" w:color="auto" w:val="clear"/>
            <w:tcMar>
              <w:top w:type="dxa" w:w="60"/>
              <w:left w:type="dxa" w:w="100"/>
              <w:bottom w:type="dxa" w:w="60"/>
              <w:right w:type="dxa" w:w="100"/>
            </w:tcMar>
          </w:tcPr>
          <w:p>
            <w:pPr>
              <w:spacing w:after="40" w:before="40" w:line="240"/>
            </w:pPr>
            <w:r>
              <w:rPr>
                <w:b/>
                <w:bCs/>
                <w:color w:val="1A1A1A"/>
                <w:sz w:val="24"/>
                <w:szCs w:val="24"/>
              </w:rPr>
              <w:t xml:space="preserve">Priority</w:t>
            </w:r>
          </w:p>
        </w:tc>
        <w:tc>
          <w:tcPr>
            <w:tcW w:type="dxa" w:w="8080"/>
            <w:tcMar>
              <w:top w:type="dxa" w:w="60"/>
              <w:left w:type="dxa" w:w="100"/>
              <w:bottom w:type="dxa" w:w="60"/>
              <w:right w:type="dxa" w:w="100"/>
            </w:tcMar>
          </w:tcPr>
          <w:p>
            <w:pPr>
              <w:spacing w:after="40" w:before="40" w:line="240"/>
            </w:pPr>
            <w:r>
              <w:rPr>
                <w:color w:val="1A1A1A"/>
                <w:sz w:val="24"/>
                <w:szCs w:val="24"/>
              </w:rPr>
              <w:t xml:space="preserve">Critical</w:t>
            </w:r>
          </w:p>
        </w:tc>
      </w:tr>
      <w:tr>
        <w:tc>
          <w:tcPr>
            <w:tcW w:type="dxa" w:w="2000"/>
            <w:shd w:fill="F5F5F5" w:color="auto" w:val="clear"/>
            <w:tcMar>
              <w:top w:type="dxa" w:w="60"/>
              <w:left w:type="dxa" w:w="100"/>
              <w:bottom w:type="dxa" w:w="60"/>
              <w:right w:type="dxa" w:w="100"/>
            </w:tcMar>
          </w:tcPr>
          <w:p>
            <w:pPr>
              <w:spacing w:after="40" w:before="40" w:line="240"/>
            </w:pPr>
            <w:r>
              <w:rPr>
                <w:b/>
                <w:bCs/>
                <w:color w:val="1A1A1A"/>
                <w:sz w:val="24"/>
                <w:szCs w:val="24"/>
              </w:rPr>
              <w:t xml:space="preserve">Document</w:t>
            </w:r>
          </w:p>
        </w:tc>
        <w:tc>
          <w:tcPr>
            <w:tcW w:type="dxa" w:w="8080"/>
            <w:tcMar>
              <w:top w:type="dxa" w:w="60"/>
              <w:left w:type="dxa" w:w="100"/>
              <w:bottom w:type="dxa" w:w="60"/>
              <w:right w:type="dxa" w:w="100"/>
            </w:tcMar>
          </w:tcPr>
          <w:p>
            <w:pPr>
              <w:spacing w:after="40" w:before="40" w:line="240"/>
            </w:pPr>
            <w:r>
              <w:rPr>
                <w:color w:val="1A1A1A"/>
                <w:sz w:val="24"/>
                <w:szCs w:val="24"/>
              </w:rPr>
              <w:t xml:space="preserve">PREA Policy and Procedure, Juvenile Institutions, XIV.A</w:t>
            </w:r>
          </w:p>
        </w:tc>
      </w:tr>
      <w:tr>
        <w:tc>
          <w:tcPr>
            <w:tcW w:type="dxa" w:w="2000"/>
            <w:shd w:fill="F5F5F5" w:color="auto" w:val="clear"/>
            <w:tcMar>
              <w:top w:type="dxa" w:w="60"/>
              <w:left w:type="dxa" w:w="100"/>
              <w:bottom w:type="dxa" w:w="60"/>
              <w:right w:type="dxa" w:w="100"/>
            </w:tcMar>
          </w:tcPr>
          <w:p>
            <w:pPr>
              <w:spacing w:after="40" w:before="40" w:line="240"/>
            </w:pPr>
            <w:r>
              <w:rPr>
                <w:b/>
                <w:bCs/>
                <w:color w:val="1A1A1A"/>
                <w:sz w:val="24"/>
                <w:szCs w:val="24"/>
              </w:rPr>
              <w:t xml:space="preserve">Authority</w:t>
            </w:r>
          </w:p>
        </w:tc>
        <w:tc>
          <w:tcPr>
            <w:tcW w:type="dxa" w:w="8080"/>
            <w:tcMar>
              <w:top w:type="dxa" w:w="60"/>
              <w:left w:type="dxa" w:w="100"/>
              <w:bottom w:type="dxa" w:w="60"/>
              <w:right w:type="dxa" w:w="100"/>
            </w:tcMar>
          </w:tcPr>
          <w:p>
            <w:pPr>
              <w:spacing w:after="40" w:before="40" w:line="240"/>
            </w:pPr>
            <w:r>
              <w:rPr>
                <w:color w:val="1A1A1A"/>
                <w:sz w:val="24"/>
                <w:szCs w:val="24"/>
              </w:rPr>
              <w:t xml:space="preserve">28 CFR 115.378(f), good-faith reporting protection, verified</w:t>
            </w:r>
          </w:p>
          <w:p>
            <w:pPr>
              <w:spacing w:after="40" w:before="20" w:line="240"/>
            </w:pPr>
            <w:r>
              <w:rPr>
                <w:color w:val="1A1A1A"/>
                <w:sz w:val="24"/>
                <w:szCs w:val="24"/>
              </w:rPr>
              <w:t xml:space="preserve">28 CFR 115.352(g), discipline only on a demonstrated bad-faith showing</w:t>
            </w:r>
          </w:p>
          <w:p>
            <w:pPr>
              <w:spacing w:after="40" w:before="20" w:line="240"/>
            </w:pPr>
            <w:r>
              <w:rPr>
                <w:color w:val="1A1A1A"/>
                <w:sz w:val="24"/>
                <w:szCs w:val="24"/>
              </w:rPr>
              <w:t xml:space="preserve">15 CCR 1391(f), due process for major rule violations as a class, verified against the edition effective 01/01/2019. Revision 5 cited this as 1391(e) from the 04/01/2014 edition; the 2019 rewrite renumbered it, and 1391(e) is now minor rule violations</w:t>
            </w:r>
          </w:p>
        </w:tc>
      </w:tr>
      <w:tr>
        <w:tc>
          <w:tcPr>
            <w:tcW w:type="dxa" w:w="2000"/>
            <w:shd w:fill="F5F5F5" w:color="auto" w:val="clear"/>
            <w:tcMar>
              <w:top w:type="dxa" w:w="60"/>
              <w:left w:type="dxa" w:w="100"/>
              <w:bottom w:type="dxa" w:w="60"/>
              <w:right w:type="dxa" w:w="100"/>
            </w:tcMar>
          </w:tcPr>
          <w:p>
            <w:pPr>
              <w:spacing w:after="40" w:before="40" w:line="240"/>
            </w:pPr>
            <w:r>
              <w:rPr>
                <w:b/>
                <w:bCs/>
                <w:color w:val="1A1A1A"/>
                <w:sz w:val="24"/>
                <w:szCs w:val="24"/>
              </w:rPr>
              <w:t xml:space="preserve">Register rows</w:t>
            </w:r>
          </w:p>
        </w:tc>
        <w:tc>
          <w:tcPr>
            <w:tcW w:type="dxa" w:w="8080"/>
            <w:tcMar>
              <w:top w:type="dxa" w:w="60"/>
              <w:left w:type="dxa" w:w="100"/>
              <w:bottom w:type="dxa" w:w="60"/>
              <w:right w:type="dxa" w:w="100"/>
            </w:tcMar>
          </w:tcPr>
          <w:p>
            <w:pPr>
              <w:spacing w:after="40" w:before="40" w:line="240"/>
            </w:pPr>
            <w:r>
              <w:rPr>
                <w:color w:val="1A1A1A"/>
                <w:sz w:val="24"/>
                <w:szCs w:val="24"/>
              </w:rPr>
              <w:t xml:space="preserve">64, 42</w:t>
            </w:r>
          </w:p>
        </w:tc>
      </w:tr>
    </w:tbl>
    <w:p>
      <w:pPr>
        <w:pStyle w:val="Heading2"/>
      </w:pPr>
      <w:r>
        <w:t xml:space="preserve">The defect</w:t>
      </w:r>
    </w:p>
    <w:p>
      <w:pPr>
        <w:spacing w:after="120" w:line="276"/>
      </w:pPr>
      <w:r>
        <w:rPr>
          <w:color w:val="1A1A1A"/>
        </w:rPr>
        <w:t xml:space="preserve">PREA Policy XIV.A permits discipline where an investigation determines allegations were false. 115.378(f) protects a good-faith report based on a reasonable belief even where the investigation does not substantiate it, and 115.352(g) permits discipline only where the agency demonstrates the report was made in bad faith. Unsubstantiated is not the same finding as false, and the current provision collapses the two. As written it chills reporting, and it will be read to a jury that way in any case where the department argues it had no notice. OO 1390/1391 contains no false reporting provision, so it neither cures nor compounds the defect, and neither its minor nor its major rule violation list includes false reporting or lying. That is worth preserving in the rewrite.</w:t>
      </w:r>
    </w:p>
    <w:p>
      <w:pPr>
        <w:pStyle w:val="Heading2"/>
      </w:pPr>
      <w:r>
        <w:t xml:space="preserve">Strike</w:t>
      </w:r>
    </w:p>
    <w:p>
      <w:pPr>
        <w:spacing w:after="60"/>
      </w:pPr>
      <w:r>
        <w:rPr>
          <w:b/>
          <w:bCs/>
          <w:color w:val="1A1A1A"/>
        </w:rPr>
        <w:t xml:space="preserve">PREA Policy XIV.A</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2DEDE" w:color="auto" w:val="clear"/>
            <w:tcMar>
              <w:top w:type="dxa" w:w="60"/>
              <w:left w:type="dxa" w:w="100"/>
              <w:bottom w:type="dxa" w:w="60"/>
              <w:right w:type="dxa" w:w="100"/>
            </w:tcMar>
          </w:tcPr>
          <w:p>
            <w:pPr>
              <w:spacing w:after="60" w:before="60" w:line="260"/>
            </w:pPr>
            <w:r>
              <w:rPr>
                <w:strike/>
                <w:color w:val="1A1A1A"/>
              </w:rPr>
              <w:t xml:space="preserve">A resident may be subject to disciplinary action where an investigation determines that the allegation was false.</w:t>
            </w:r>
          </w:p>
        </w:tc>
      </w:tr>
    </w:tbl>
    <w:p>
      <w:pPr>
        <w:spacing w:after="200" w:before="60"/>
      </w:pPr>
      <w:r>
        <w:rPr>
          <w:i/>
          <w:iCs/>
          <w:color w:val="5A5A5A"/>
          <w:sz w:val="24"/>
          <w:szCs w:val="24"/>
        </w:rPr>
        <w:t xml:space="preserve">Described in the register, not read in this review.</w:t>
      </w:r>
    </w:p>
    <w:p>
      <w:pPr>
        <w:pStyle w:val="Heading2"/>
      </w:pPr>
      <w:r>
        <w:t xml:space="preserve">Insert</w:t>
      </w:r>
    </w:p>
    <w:p>
      <w:pPr>
        <w:spacing w:after="60"/>
      </w:pPr>
      <w:r>
        <w:rPr>
          <w:b/>
          <w:bCs/>
          <w:color w:val="1A1A1A"/>
        </w:rPr>
        <w:t xml:space="preserve">PREA Policy XIV.A, replacing the struck text</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7EFE4" w:color="auto" w:val="clear"/>
            <w:tcMar>
              <w:top w:type="dxa" w:w="60"/>
              <w:left w:type="dxa" w:w="100"/>
              <w:bottom w:type="dxa" w:w="60"/>
              <w:right w:type="dxa" w:w="100"/>
            </w:tcMar>
          </w:tcPr>
          <w:p>
            <w:pPr>
              <w:spacing w:after="100" w:before="60" w:line="260"/>
            </w:pPr>
            <w:r>
              <w:rPr>
                <w:b/>
                <w:bCs/>
                <w:color w:val="1A1A1A"/>
              </w:rPr>
              <w:t xml:space="preserve">Reports made in good faith</w:t>
            </w:r>
          </w:p>
          <w:p>
            <w:pPr>
              <w:spacing w:after="120" w:line="276"/>
            </w:pPr>
            <w:r>
              <w:rPr>
                <w:color w:val="1A1A1A"/>
              </w:rPr>
              <w:t xml:space="preserve">1. A resident or employee who reports sexual abuse or sexual harassment in good faith, based on a reasonable belief that the conduct described occurred, has not made a false report and has not engaged in lying, even where the investigation does not substantiate the allegation. A finding that an allegation is unsubstantiated is not a finding that the report was false.</w:t>
            </w:r>
          </w:p>
          <w:p>
            <w:pPr>
              <w:spacing w:after="120" w:line="276"/>
            </w:pPr>
            <w:r>
              <w:rPr>
                <w:color w:val="1A1A1A"/>
              </w:rPr>
              <w:t xml:space="preserve">2. A resident may be disciplined in connection with a report of sexual abuse or sexual harassment only where the department demonstrates that the resident made the report in bad faith. The demonstration shall be made through the disciplinary process in OO 1390/1391, and the basis for the bad-faith finding shall be stated in the written finding required by that process.</w:t>
            </w:r>
          </w:p>
          <w:p>
            <w:pPr>
              <w:spacing w:after="120" w:line="276"/>
            </w:pPr>
            <w:r>
              <w:rPr>
                <w:color w:val="1A1A1A"/>
              </w:rPr>
              <w:t xml:space="preserve">3. No employee shall be disciplined or subjected to any adverse action for reporting sexual abuse or sexual harassment in good faith, and no employee shall be disciplined for a report that is not substantiated.</w:t>
            </w:r>
          </w:p>
          <w:p>
            <w:pPr>
              <w:spacing w:after="60" w:line="276"/>
            </w:pPr>
            <w:r>
              <w:rPr>
                <w:color w:val="1A1A1A"/>
              </w:rPr>
              <w:t xml:space="preserve">4. Neither the minor nor the major rule violation lists in OO 1390/1391 includes false reporting or lying, and nothing in this section creates such a violation.</w:t>
            </w:r>
          </w:p>
        </w:tc>
      </w:tr>
    </w:tbl>
    <w:p>
      <w:pPr>
        <w:spacing w:after="140"/>
      </w:pPr>
      <w:r>
        <w:rPr>
          <w:color w:val="1A1A1A"/>
        </w:rPr>
        <w:t xml:space="preserve"/>
      </w:r>
    </w:p>
    <w:p>
      <w:pPr>
        <w:pStyle w:val="Heading2"/>
      </w:pPr>
      <w:r>
        <w:t xml:space="preserve">Conforming changes</w:t>
      </w:r>
    </w:p>
    <w:p>
      <w:pPr>
        <w:pStyle w:val="ListParagraph"/>
        <w:numPr>
          <w:ilvl w:val="0"/>
          <w:numId w:val="1"/>
        </w:numPr>
        <w:spacing w:after="80" w:line="264"/>
      </w:pPr>
      <w:r>
        <w:rPr>
          <w:color w:val="1A1A1A"/>
        </w:rPr>
        <w:t xml:space="preserve">Add the companion provision from the same standard in the same amendment: a resident may be disciplined for sexual contact with a staff member only upon a finding that the staff member did not consent to the contact. The subsection lettering for this element is not asserted here, so state it by content until the CFR is checked.</w:t>
      </w:r>
    </w:p>
    <w:p>
      <w:pPr>
        <w:pStyle w:val="ListParagraph"/>
        <w:numPr>
          <w:ilvl w:val="0"/>
          <w:numId w:val="1"/>
        </w:numPr>
        <w:spacing w:after="80" w:line="264"/>
      </w:pPr>
      <w:r>
        <w:rPr>
          <w:color w:val="1A1A1A"/>
        </w:rPr>
        <w:t xml:space="preserve">Add the same bad-faith rule to OO 1361 so a youth who files a sexual abuse grievance is protected at the point of filing as well as at the point of discipline. This is one of the five open grievance items and it is the cheapest of them.</w:t>
      </w:r>
    </w:p>
    <w:p>
      <w:pPr>
        <w:pStyle w:val="ListParagraph"/>
        <w:numPr>
          <w:ilvl w:val="0"/>
          <w:numId w:val="1"/>
        </w:numPr>
        <w:spacing w:after="80" w:line="264"/>
      </w:pPr>
      <w:r>
        <w:rPr>
          <w:color w:val="1A1A1A"/>
        </w:rPr>
        <w:t xml:space="preserve">Where the department wants a route for a demonstrably fabricated report, paragraph 2 supplies it. Do not add a separate false reporting rule violation to OO 1390/1391; that would recreate the defect in a second document.</w:t>
      </w:r>
    </w:p>
    <w:p>
      <w:pPr>
        <w:pStyle w:val="Heading2"/>
      </w:pPr>
      <w:r>
        <w:t xml:space="preserve">Why</w:t>
      </w:r>
    </w:p>
    <w:p>
      <w:pPr>
        <w:spacing w:after="120" w:line="276"/>
      </w:pPr>
      <w:r>
        <w:rPr>
          <w:color w:val="1A1A1A"/>
        </w:rPr>
        <w:t xml:space="preserve">28 CFR 115.378(f) and 115.352(g). Beyond compliance, the current provision damages the department's own defense. Every failure-to-protect case turns on notice, and a policy that punishes unsubstantiated reports is the plaintiff's explanation for why the department has so few of them. The rewrite costs nothing operationally: paragraph 2 preserves the ability to discipline the fabricated report, and puts the burden where the standard puts it.</w:t>
      </w:r>
    </w:p>
    <w:p>
      <w:pPr>
        <w:pStyle w:val="Heading2"/>
      </w:pPr>
      <w:r>
        <w:t xml:space="preserve">Before adoption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60"/>
              <w:left w:type="dxa" w:w="100"/>
              <w:bottom w:type="dxa" w:w="60"/>
              <w:right w:type="dxa" w:w="100"/>
            </w:tcMar>
          </w:tcPr>
          <w:p>
            <w:pPr>
              <w:pStyle w:val="ListParagraph"/>
              <w:numPr>
                <w:ilvl w:val="0"/>
                <w:numId w:val="1"/>
              </w:numPr>
              <w:spacing w:after="60" w:before="60" w:line="264"/>
            </w:pPr>
            <w:r>
              <w:rPr>
                <w:color w:val="1A1A1A"/>
              </w:rPr>
              <w:t xml:space="preserve">The PREA Policy has not been produced to this review. Confirm the XIV.A numbering and wording against the PDF.</w:t>
            </w:r>
          </w:p>
          <w:p>
            <w:pPr>
              <w:pStyle w:val="ListParagraph"/>
              <w:numPr>
                <w:ilvl w:val="0"/>
                <w:numId w:val="1"/>
              </w:numPr>
              <w:spacing w:after="60" w:before="40" w:line="264"/>
            </w:pPr>
            <w:r>
              <w:rPr>
                <w:color w:val="1A1A1A"/>
              </w:rPr>
              <w:t xml:space="preserve">Only 115.378(f) is verified. The subsection lettering inside 115.378 beyond (f) is not asserted, because network egress in the drafting environment is restricted and eCFR could not be reached. Check the lettering against the CFR before the authority line goes into an adopted order. This is open question 12.</w:t>
            </w:r>
          </w:p>
        </w:tc>
      </w:tr>
    </w:tbl>
    <w:p>
      <w:r>
        <w:br w:type="page"/>
      </w:r>
    </w:p>
    <w:p>
      <w:pPr>
        <w:pStyle w:val="Heading1"/>
      </w:pPr>
      <w:r>
        <w:t xml:space="preserve">6. Delete the S-4 victim-to-perpetrator inference and split the code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000"/>
        <w:gridCol w:w="8080"/>
      </w:tblGrid>
      <w:tr>
        <w:tc>
          <w:tcPr>
            <w:tcW w:type="dxa" w:w="2000"/>
            <w:shd w:fill="F5F5F5" w:color="auto" w:val="clear"/>
            <w:tcMar>
              <w:top w:type="dxa" w:w="60"/>
              <w:left w:type="dxa" w:w="100"/>
              <w:bottom w:type="dxa" w:w="60"/>
              <w:right w:type="dxa" w:w="100"/>
            </w:tcMar>
          </w:tcPr>
          <w:p>
            <w:pPr>
              <w:spacing w:after="40" w:before="40" w:line="240"/>
            </w:pPr>
            <w:r>
              <w:rPr>
                <w:b/>
                <w:bCs/>
                <w:color w:val="1A1A1A"/>
                <w:sz w:val="24"/>
                <w:szCs w:val="24"/>
              </w:rPr>
              <w:t xml:space="preserve">Priority</w:t>
            </w:r>
          </w:p>
        </w:tc>
        <w:tc>
          <w:tcPr>
            <w:tcW w:type="dxa" w:w="8080"/>
            <w:tcMar>
              <w:top w:type="dxa" w:w="60"/>
              <w:left w:type="dxa" w:w="100"/>
              <w:bottom w:type="dxa" w:w="60"/>
              <w:right w:type="dxa" w:w="100"/>
            </w:tcMar>
          </w:tcPr>
          <w:p>
            <w:pPr>
              <w:spacing w:after="40" w:before="40" w:line="240"/>
            </w:pPr>
            <w:r>
              <w:rPr>
                <w:color w:val="1A1A1A"/>
                <w:sz w:val="24"/>
                <w:szCs w:val="24"/>
              </w:rPr>
              <w:t xml:space="preserve">High</w:t>
            </w:r>
          </w:p>
        </w:tc>
      </w:tr>
      <w:tr>
        <w:tc>
          <w:tcPr>
            <w:tcW w:type="dxa" w:w="2000"/>
            <w:shd w:fill="F5F5F5" w:color="auto" w:val="clear"/>
            <w:tcMar>
              <w:top w:type="dxa" w:w="60"/>
              <w:left w:type="dxa" w:w="100"/>
              <w:bottom w:type="dxa" w:w="60"/>
              <w:right w:type="dxa" w:w="100"/>
            </w:tcMar>
          </w:tcPr>
          <w:p>
            <w:pPr>
              <w:spacing w:after="40" w:before="40" w:line="240"/>
            </w:pPr>
            <w:r>
              <w:rPr>
                <w:b/>
                <w:bCs/>
                <w:color w:val="1A1A1A"/>
                <w:sz w:val="24"/>
                <w:szCs w:val="24"/>
              </w:rPr>
              <w:t xml:space="preserve">Document</w:t>
            </w:r>
          </w:p>
        </w:tc>
        <w:tc>
          <w:tcPr>
            <w:tcW w:type="dxa" w:w="8080"/>
            <w:tcMar>
              <w:top w:type="dxa" w:w="60"/>
              <w:left w:type="dxa" w:w="100"/>
              <w:bottom w:type="dxa" w:w="60"/>
              <w:right w:type="dxa" w:w="100"/>
            </w:tcMar>
          </w:tcPr>
          <w:p>
            <w:pPr>
              <w:spacing w:after="40" w:before="40" w:line="240"/>
            </w:pPr>
            <w:r>
              <w:rPr>
                <w:color w:val="1A1A1A"/>
                <w:sz w:val="24"/>
                <w:szCs w:val="24"/>
              </w:rPr>
              <w:t xml:space="preserve">OO 1352 Classification, II.F.2 and its note, II.G, II.H, III.E</w:t>
            </w:r>
          </w:p>
        </w:tc>
      </w:tr>
      <w:tr>
        <w:tc>
          <w:tcPr>
            <w:tcW w:type="dxa" w:w="2000"/>
            <w:shd w:fill="F5F5F5" w:color="auto" w:val="clear"/>
            <w:tcMar>
              <w:top w:type="dxa" w:w="60"/>
              <w:left w:type="dxa" w:w="100"/>
              <w:bottom w:type="dxa" w:w="60"/>
              <w:right w:type="dxa" w:w="100"/>
            </w:tcMar>
          </w:tcPr>
          <w:p>
            <w:pPr>
              <w:spacing w:after="40" w:before="40" w:line="240"/>
            </w:pPr>
            <w:r>
              <w:rPr>
                <w:b/>
                <w:bCs/>
                <w:color w:val="1A1A1A"/>
                <w:sz w:val="24"/>
                <w:szCs w:val="24"/>
              </w:rPr>
              <w:t xml:space="preserve">Authority</w:t>
            </w:r>
          </w:p>
        </w:tc>
        <w:tc>
          <w:tcPr>
            <w:tcW w:type="dxa" w:w="8080"/>
            <w:tcMar>
              <w:top w:type="dxa" w:w="60"/>
              <w:left w:type="dxa" w:w="100"/>
              <w:bottom w:type="dxa" w:w="60"/>
              <w:right w:type="dxa" w:w="100"/>
            </w:tcMar>
          </w:tcPr>
          <w:p>
            <w:pPr>
              <w:spacing w:after="40" w:before="40" w:line="240"/>
            </w:pPr>
            <w:r>
              <w:rPr>
                <w:color w:val="1A1A1A"/>
                <w:sz w:val="24"/>
                <w:szCs w:val="24"/>
              </w:rPr>
              <w:t xml:space="preserve">28 CFR 115.341(c)</w:t>
            </w:r>
          </w:p>
          <w:p>
            <w:pPr>
              <w:spacing w:after="40" w:before="20" w:line="240"/>
            </w:pPr>
            <w:r>
              <w:rPr>
                <w:color w:val="1A1A1A"/>
                <w:sz w:val="24"/>
                <w:szCs w:val="24"/>
              </w:rPr>
              <w:t xml:space="preserve">28 CFR 115.342</w:t>
            </w:r>
          </w:p>
          <w:p>
            <w:pPr>
              <w:spacing w:after="40" w:before="20" w:line="240"/>
            </w:pPr>
            <w:r>
              <w:rPr>
                <w:color w:val="1A1A1A"/>
                <w:sz w:val="24"/>
                <w:szCs w:val="24"/>
              </w:rPr>
              <w:t xml:space="preserve">15 CCR 1350.5(a), confirmed against the edition effective 01/01/2019 in Revision 6</w:t>
            </w:r>
          </w:p>
          <w:p>
            <w:pPr>
              <w:spacing w:after="40" w:before="20" w:line="240"/>
            </w:pPr>
            <w:r>
              <w:rPr>
                <w:color w:val="1A1A1A"/>
                <w:sz w:val="24"/>
                <w:szCs w:val="24"/>
              </w:rPr>
              <w:t xml:space="preserve">Penal Code 287, renumbered from 288a by SB 1494 effective 01/01/2019</w:t>
            </w:r>
          </w:p>
        </w:tc>
      </w:tr>
      <w:tr>
        <w:tc>
          <w:tcPr>
            <w:tcW w:type="dxa" w:w="2000"/>
            <w:shd w:fill="F5F5F5" w:color="auto" w:val="clear"/>
            <w:tcMar>
              <w:top w:type="dxa" w:w="60"/>
              <w:left w:type="dxa" w:w="100"/>
              <w:bottom w:type="dxa" w:w="60"/>
              <w:right w:type="dxa" w:w="100"/>
            </w:tcMar>
          </w:tcPr>
          <w:p>
            <w:pPr>
              <w:spacing w:after="40" w:before="40" w:line="240"/>
            </w:pPr>
            <w:r>
              <w:rPr>
                <w:b/>
                <w:bCs/>
                <w:color w:val="1A1A1A"/>
                <w:sz w:val="24"/>
                <w:szCs w:val="24"/>
              </w:rPr>
              <w:t xml:space="preserve">Register rows</w:t>
            </w:r>
          </w:p>
        </w:tc>
        <w:tc>
          <w:tcPr>
            <w:tcW w:type="dxa" w:w="8080"/>
            <w:tcMar>
              <w:top w:type="dxa" w:w="60"/>
              <w:left w:type="dxa" w:w="100"/>
              <w:bottom w:type="dxa" w:w="60"/>
              <w:right w:type="dxa" w:w="100"/>
            </w:tcMar>
          </w:tcPr>
          <w:p>
            <w:pPr>
              <w:spacing w:after="40" w:before="40" w:line="240"/>
            </w:pPr>
            <w:r>
              <w:rPr>
                <w:color w:val="1A1A1A"/>
                <w:sz w:val="24"/>
                <w:szCs w:val="24"/>
              </w:rPr>
              <w:t xml:space="preserve">80, 78, 32</w:t>
            </w:r>
          </w:p>
        </w:tc>
      </w:tr>
    </w:tbl>
    <w:p>
      <w:pPr>
        <w:pStyle w:val="Heading2"/>
      </w:pPr>
      <w:r>
        <w:t xml:space="preserve">The defect</w:t>
      </w:r>
    </w:p>
    <w:p>
      <w:pPr>
        <w:spacing w:after="120" w:line="276"/>
      </w:pPr>
      <w:r>
        <w:rPr>
          <w:color w:val="1A1A1A"/>
        </w:rPr>
        <w:t xml:space="preserve">Two problems in the S-4 classification. First, the note at II.F.2 states that a youth with a history of being a victim of molest, arson, or cruelty to animals should alert the Classification Officer for possible sexually inappropriate tendencies. That instructs staff to treat a youth's own sexual victimization as a predictor of sexual abusiveness. The Macdonald triad on which the molest, arson, and animal cruelty grouping rests has not held up, and the inference runs against 115.341(c), which lists prior victimization and prior abusiveness as separate factors serving different purposes. The same inference also appears as a lettered criterion at II.F.2.d, "History of victimization related to sexual abuse or a sexual offense," so striking the note alone leaves the defect in force. The order then contradicts itself on the same fact: II.H.3 makes being the victim of a CPS referral relative to sexual abuse a criterion for S-4 Low, which the III.E.2 housing matrix treats protectively. Second, S-4 as a code mixes populations: S-4 High captures youth with sex offense adjudications, while S-4 Low captures both youth who act out sexually and youth who have been victims of sexual abuse or are susceptible to victimization. The housing matrix at III.E keeps those populations apart in practice, so the operational outcome is sound. The defect is in the classification logic and its documentation, and it will not survive an auditor tracing how victimization risk and abusiveness risk are separately assessed and separately acted on.</w:t>
      </w:r>
    </w:p>
    <w:p>
      <w:pPr>
        <w:pStyle w:val="Heading2"/>
      </w:pPr>
      <w:r>
        <w:t xml:space="preserve">Strike</w:t>
      </w:r>
    </w:p>
    <w:p>
      <w:pPr>
        <w:spacing w:after="60"/>
      </w:pPr>
      <w:r>
        <w:rPr>
          <w:b/>
          <w:bCs/>
          <w:color w:val="1A1A1A"/>
        </w:rPr>
        <w:t xml:space="preserve">OO 1352 II.F.2, the note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2DEDE" w:color="auto" w:val="clear"/>
            <w:tcMar>
              <w:top w:type="dxa" w:w="60"/>
              <w:left w:type="dxa" w:w="100"/>
              <w:bottom w:type="dxa" w:w="60"/>
              <w:right w:type="dxa" w:w="100"/>
            </w:tcMar>
          </w:tcPr>
          <w:p>
            <w:pPr>
              <w:spacing w:after="60" w:before="60" w:line="260"/>
            </w:pPr>
            <w:r>
              <w:rPr>
                <w:strike/>
                <w:color w:val="1A1A1A"/>
              </w:rPr>
              <w:t xml:space="preserve">Youth with a history of victim of molest, arson, or cruelty to animals should alert the Classification Officer for possible sexually inappropriate tendencies.</w:t>
            </w:r>
          </w:p>
        </w:tc>
      </w:tr>
    </w:tbl>
    <w:p>
      <w:pPr>
        <w:spacing w:after="200" w:before="60"/>
      </w:pPr>
      <w:r>
        <w:rPr>
          <w:i/>
          <w:iCs/>
          <w:color w:val="5A5A5A"/>
          <w:sz w:val="24"/>
          <w:szCs w:val="24"/>
        </w:rPr>
        <w:t xml:space="preserve">VERIFIED in Revision 9 against OO 1352 as produced, eff. 12/09/2019, rev. 02/27/2020. This is the order's actual text, bolded in the original.</w:t>
      </w:r>
    </w:p>
    <w:p>
      <w:pPr>
        <w:spacing w:after="60"/>
      </w:pPr>
      <w:r>
        <w:rPr>
          <w:b/>
          <w:bCs/>
          <w:color w:val="1A1A1A"/>
        </w:rPr>
        <w:t xml:space="preserve">OO 1352 II.F.2.d</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2DEDE" w:color="auto" w:val="clear"/>
            <w:tcMar>
              <w:top w:type="dxa" w:w="60"/>
              <w:left w:type="dxa" w:w="100"/>
              <w:bottom w:type="dxa" w:w="60"/>
              <w:right w:type="dxa" w:w="100"/>
            </w:tcMar>
          </w:tcPr>
          <w:p>
            <w:pPr>
              <w:spacing w:after="60" w:before="60" w:line="260"/>
            </w:pPr>
            <w:r>
              <w:rPr>
                <w:strike/>
                <w:color w:val="1A1A1A"/>
              </w:rPr>
              <w:t xml:space="preserve">d. History of victimization related to sexual abuse or a sexual offense;</w:t>
            </w:r>
          </w:p>
        </w:tc>
      </w:tr>
    </w:tbl>
    <w:p>
      <w:pPr>
        <w:spacing w:after="200" w:before="60"/>
      </w:pPr>
      <w:r>
        <w:rPr>
          <w:i/>
          <w:iCs/>
          <w:color w:val="5A5A5A"/>
          <w:sz w:val="24"/>
          <w:szCs w:val="24"/>
        </w:rPr>
        <w:t xml:space="preserve">VERIFIED in Revision 9 against OO 1352 as produced, eff. 12/09/2019, rev. 02/27/2020. MISSED BY THIS REDLINE AS FIRST DRAFTED, added in Revision 9.</w:t>
      </w:r>
    </w:p>
    <w:p>
      <w:pPr>
        <w:spacing w:after="60"/>
      </w:pPr>
      <w:r>
        <w:rPr>
          <w:b/>
          <w:bCs/>
          <w:color w:val="1A1A1A"/>
        </w:rPr>
        <w:t xml:space="preserve">OO 1352 II.H</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2DEDE" w:color="auto" w:val="clear"/>
            <w:tcMar>
              <w:top w:type="dxa" w:w="60"/>
              <w:left w:type="dxa" w:w="100"/>
              <w:bottom w:type="dxa" w:w="60"/>
              <w:right w:type="dxa" w:w="100"/>
            </w:tcMar>
          </w:tcPr>
          <w:p>
            <w:pPr>
              <w:spacing w:after="60" w:before="60" w:line="260"/>
            </w:pPr>
            <w:r>
              <w:rPr>
                <w:strike/>
                <w:color w:val="1A1A1A"/>
              </w:rPr>
              <w:t xml:space="preserve">II.H.2, "Sexually inappropriate acting out in front of other youth or staff (i.e., masturbation in front of others, exposing genitals, or continued sexual comments for the purpose of arousal)," which places perpetrator conduct in the same S-4 Low tier as II.H.3 and II.H.4, both of which are victimization criteria.</w:t>
            </w:r>
          </w:p>
        </w:tc>
      </w:tr>
    </w:tbl>
    <w:p>
      <w:pPr>
        <w:spacing w:after="200" w:before="60"/>
      </w:pPr>
      <w:r>
        <w:rPr>
          <w:i/>
          <w:iCs/>
          <w:color w:val="5A5A5A"/>
          <w:sz w:val="24"/>
          <w:szCs w:val="24"/>
        </w:rPr>
        <w:t xml:space="preserve">VERIFIED in Revision 9 against OO 1352 as produced, eff. 12/09/2019, rev. 02/27/2020.</w:t>
      </w:r>
    </w:p>
    <w:p>
      <w:pPr>
        <w:pStyle w:val="Heading2"/>
      </w:pPr>
      <w:r>
        <w:t xml:space="preserve">Insert</w:t>
      </w:r>
    </w:p>
    <w:p>
      <w:pPr>
        <w:spacing w:after="60"/>
      </w:pPr>
      <w:r>
        <w:rPr>
          <w:b/>
          <w:bCs/>
          <w:color w:val="1A1A1A"/>
        </w:rPr>
        <w:t xml:space="preserve">OO 1352 II.F.2, replacing the struck note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7EFE4" w:color="auto" w:val="clear"/>
            <w:tcMar>
              <w:top w:type="dxa" w:w="60"/>
              <w:left w:type="dxa" w:w="100"/>
              <w:bottom w:type="dxa" w:w="60"/>
              <w:right w:type="dxa" w:w="100"/>
            </w:tcMar>
          </w:tcPr>
          <w:p>
            <w:pPr>
              <w:spacing w:after="100" w:before="60" w:line="260"/>
            </w:pPr>
            <w:r>
              <w:rPr>
                <w:b/>
                <w:bCs/>
                <w:color w:val="1A1A1A"/>
              </w:rPr>
              <w:t xml:space="preserve">Use of victimization history</w:t>
            </w:r>
          </w:p>
          <w:p>
            <w:pPr>
              <w:spacing w:after="60" w:line="276"/>
            </w:pPr>
            <w:r>
              <w:rPr>
                <w:color w:val="1A1A1A"/>
              </w:rPr>
              <w:t xml:space="preserve">A youth's history of sexual victimization shall be assessed and recorded as a risk of victimization under II.H. It shall not be treated as an indicator that the youth is likely to be sexually abusive toward others, and it shall not be used to assign a code under II.G.</w:t>
            </w:r>
          </w:p>
        </w:tc>
      </w:tr>
    </w:tbl>
    <w:p>
      <w:pPr>
        <w:spacing w:after="140"/>
      </w:pPr>
      <w:r>
        <w:rPr>
          <w:color w:val="1A1A1A"/>
        </w:rPr>
        <w:t xml:space="preserve"/>
      </w:r>
    </w:p>
    <w:p>
      <w:pPr>
        <w:spacing w:after="60"/>
      </w:pPr>
      <w:r>
        <w:rPr>
          <w:b/>
          <w:bCs/>
          <w:color w:val="1A1A1A"/>
        </w:rPr>
        <w:t xml:space="preserve">OO 1352 II.G, risk of sexual abusiveness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7EFE4" w:color="auto" w:val="clear"/>
            <w:tcMar>
              <w:top w:type="dxa" w:w="60"/>
              <w:left w:type="dxa" w:w="100"/>
              <w:bottom w:type="dxa" w:w="60"/>
              <w:right w:type="dxa" w:w="100"/>
            </w:tcMar>
          </w:tcPr>
          <w:p>
            <w:pPr>
              <w:spacing w:after="100" w:before="60" w:line="260"/>
            </w:pPr>
            <w:r>
              <w:rPr>
                <w:b/>
                <w:bCs/>
                <w:color w:val="1A1A1A"/>
              </w:rPr>
              <w:t xml:space="preserve">S-4A, risk of being sexually abusive toward other youth</w:t>
            </w:r>
          </w:p>
          <w:p>
            <w:pPr>
              <w:spacing w:after="120" w:line="276"/>
            </w:pPr>
            <w:r>
              <w:rPr>
                <w:color w:val="1A1A1A"/>
              </w:rPr>
              <w:t xml:space="preserve">1. Assign S-4A where the youth has a sustained petition, conviction, or documented finding for an offense under Penal Code sections 261, 261.5, 286, 287, 288, 288.5, 289, or 289.6, or under any successor or equivalent statute.</w:t>
            </w:r>
          </w:p>
          <w:p>
            <w:pPr>
              <w:spacing w:after="120" w:line="276"/>
            </w:pPr>
            <w:r>
              <w:rPr>
                <w:color w:val="1A1A1A"/>
              </w:rPr>
              <w:t xml:space="preserve">2. Assign S-4A where the youth has documented sexually aggressive or sexually coercive conduct toward another person while in custody, in placement, or in the community, whether or not it resulted in a petition.</w:t>
            </w:r>
          </w:p>
          <w:p>
            <w:pPr>
              <w:spacing w:after="60" w:line="276"/>
            </w:pPr>
            <w:r>
              <w:rPr>
                <w:color w:val="1A1A1A"/>
              </w:rPr>
              <w:t xml:space="preserve">3. The basis for an S-4A assignment shall be recorded in JPIP with the source of the information and the date.</w:t>
            </w:r>
          </w:p>
        </w:tc>
      </w:tr>
    </w:tbl>
    <w:p>
      <w:pPr>
        <w:spacing w:after="140"/>
      </w:pPr>
      <w:r>
        <w:rPr>
          <w:color w:val="1A1A1A"/>
        </w:rPr>
        <w:t xml:space="preserve"/>
      </w:r>
    </w:p>
    <w:p>
      <w:pPr>
        <w:spacing w:after="60"/>
      </w:pPr>
      <w:r>
        <w:rPr>
          <w:b/>
          <w:bCs/>
          <w:color w:val="1A1A1A"/>
        </w:rPr>
        <w:t xml:space="preserve">OO 1352 II.H, risk of sexual victimization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7EFE4" w:color="auto" w:val="clear"/>
            <w:tcMar>
              <w:top w:type="dxa" w:w="60"/>
              <w:left w:type="dxa" w:w="100"/>
              <w:bottom w:type="dxa" w:w="60"/>
              <w:right w:type="dxa" w:w="100"/>
            </w:tcMar>
          </w:tcPr>
          <w:p>
            <w:pPr>
              <w:spacing w:after="100" w:before="60" w:line="260"/>
            </w:pPr>
            <w:r>
              <w:rPr>
                <w:b/>
                <w:bCs/>
                <w:color w:val="1A1A1A"/>
              </w:rPr>
              <w:t xml:space="preserve">S-4B, risk of being sexually abused by other youth</w:t>
            </w:r>
          </w:p>
          <w:p>
            <w:pPr>
              <w:spacing w:after="120" w:line="276"/>
            </w:pPr>
            <w:r>
              <w:rPr>
                <w:color w:val="1A1A1A"/>
              </w:rPr>
              <w:t xml:space="preserve">1. Assign S-4B where screening under OO 1350.5 identifies the youth as at risk of sexual victimization, including prior sexual victimization whether or not it occurred in custody.</w:t>
            </w:r>
          </w:p>
          <w:p>
            <w:pPr>
              <w:spacing w:after="120" w:line="276"/>
            </w:pPr>
            <w:r>
              <w:rPr>
                <w:color w:val="1A1A1A"/>
              </w:rPr>
              <w:t xml:space="preserve">2. An S-4A assignment and an S-4B assignment are independent. A youth may carry both, one, or neither, and each shall be assessed, coded, and documented separately.</w:t>
            </w:r>
          </w:p>
          <w:p>
            <w:pPr>
              <w:spacing w:after="60" w:line="276"/>
            </w:pPr>
            <w:r>
              <w:rPr>
                <w:color w:val="1A1A1A"/>
              </w:rPr>
              <w:t xml:space="preserve">3. Information obtained under this section shall be used only to inform housing, bed, education, and program assignments, and to determine appropriate services and supervision. It shall not be used to discipline the youth or to justify a more restrictive placement than the individualized determination supports.</w:t>
            </w:r>
          </w:p>
        </w:tc>
      </w:tr>
    </w:tbl>
    <w:p>
      <w:pPr>
        <w:spacing w:after="140"/>
      </w:pPr>
      <w:r>
        <w:rPr>
          <w:color w:val="1A1A1A"/>
        </w:rPr>
        <w:t xml:space="preserve"/>
      </w:r>
    </w:p>
    <w:p>
      <w:pPr>
        <w:pStyle w:val="Heading2"/>
      </w:pPr>
      <w:r>
        <w:t xml:space="preserve">Conforming changes</w:t>
      </w:r>
    </w:p>
    <w:p>
      <w:pPr>
        <w:pStyle w:val="ListParagraph"/>
        <w:numPr>
          <w:ilvl w:val="0"/>
          <w:numId w:val="1"/>
        </w:numPr>
        <w:spacing w:after="80" w:line="264"/>
      </w:pPr>
      <w:r>
        <w:rPr>
          <w:color w:val="1A1A1A"/>
        </w:rPr>
        <w:t xml:space="preserve">Rebuild the III.E housing matrix on the S-4A and S-4B codes. The matrix already keeps these populations apart, so this is a relabeling of a working rule, not a change to it.</w:t>
      </w:r>
    </w:p>
    <w:p>
      <w:pPr>
        <w:pStyle w:val="ListParagraph"/>
        <w:numPr>
          <w:ilvl w:val="0"/>
          <w:numId w:val="1"/>
        </w:numPr>
        <w:spacing w:after="80" w:line="264"/>
      </w:pPr>
      <w:r>
        <w:rPr>
          <w:color w:val="1A1A1A"/>
        </w:rPr>
        <w:t xml:space="preserve">Add Penal Code 287 AND 289 to the S-4 High enumerated offences. VERIFIED in Revision 9 against OO 1352 as produced, eff. 12/09/2019, rev. 02/27/2020. The complete enumeration is II.G.1 ("a. Sodomy (286 PC); b. Lewd or lascivious acts with child under 14 (288 PC, all sub-divisions)") plus II.G.3 (rape, 261 PC, all sub-divisions). PC 287 is omitted as recorded, and so is PC 289, sexual penetration, which was never flagged and is comparably serious. Also absent: 243.4, 264.1, 285 and 647.6. The insert at II.G.1 above already carries all of them, and the successor-statute catch-all prevents the next renumbering from reopening the same gap.</w:t>
      </w:r>
    </w:p>
    <w:p>
      <w:pPr>
        <w:pStyle w:val="ListParagraph"/>
        <w:numPr>
          <w:ilvl w:val="0"/>
          <w:numId w:val="1"/>
        </w:numPr>
        <w:spacing w:after="80" w:line="264"/>
      </w:pPr>
      <w:r>
        <w:rPr>
          <w:color w:val="1A1A1A"/>
        </w:rPr>
        <w:t xml:space="preserve">Correct PREA Policy I.I.1, which cites Penal Code section 288a (Oral Copulation). 288a was renumbered to 287 by SB 1494 effective January 1, 2019. Same amendment cycle, different document.</w:t>
      </w:r>
    </w:p>
    <w:p>
      <w:pPr>
        <w:pStyle w:val="ListParagraph"/>
        <w:numPr>
          <w:ilvl w:val="0"/>
          <w:numId w:val="1"/>
        </w:numPr>
        <w:spacing w:after="80" w:line="264"/>
      </w:pPr>
      <w:r>
        <w:rPr>
          <w:color w:val="1A1A1A"/>
        </w:rPr>
        <w:t xml:space="preserve">Delete the reference in OO 1352 II.C.3 to a pending commitment to the Division of Juvenile Justice. DJJ closed June 30, 2023 under SB 823. VERIFIED in Revision 9 against OO 1352 as produced, eff. 12/09/2019, rev. 02/27/2020. IV.A carries a second DJJ reference, as the worked example of a legal status change requiring classification review. Delete both.</w:t>
      </w:r>
    </w:p>
    <w:p>
      <w:pPr>
        <w:pStyle w:val="ListParagraph"/>
        <w:numPr>
          <w:ilvl w:val="0"/>
          <w:numId w:val="1"/>
        </w:numPr>
        <w:spacing w:after="80" w:line="264"/>
      </w:pPr>
      <w:r>
        <w:rPr>
          <w:color w:val="1A1A1A"/>
        </w:rPr>
        <w:t xml:space="preserve">Update the JPIP code table, the classification worksheet, and classification officer training to the split codes, and map existing S-4 assignments onto S-4A, S-4B, or both.</w:t>
      </w:r>
    </w:p>
    <w:p>
      <w:pPr>
        <w:pStyle w:val="Heading2"/>
      </w:pPr>
      <w:r>
        <w:t xml:space="preserve">Why</w:t>
      </w:r>
    </w:p>
    <w:p>
      <w:pPr>
        <w:spacing w:after="120" w:line="276"/>
      </w:pPr>
      <w:r>
        <w:rPr>
          <w:color w:val="1A1A1A"/>
        </w:rPr>
        <w:t xml:space="preserve">115.341(c) treats prior victimization and prior abusiveness as separate factors driving different responses, and 115.342 requires the results be used to keep residents safe rather than to restrict them. The housing matrix already produces the right operational answer; the defect is that the department cannot show its work. The note at II.F.2 is the sharper problem: it is one sentence, it is indefensible on the current science, and in litigation it is a gift to a plaintiff's expert. It should not survive another revision cycle.</w:t>
      </w:r>
    </w:p>
    <w:p>
      <w:pPr>
        <w:pStyle w:val="Heading2"/>
      </w:pPr>
      <w:r>
        <w:t xml:space="preserve">Before adoption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60"/>
              <w:left w:type="dxa" w:w="100"/>
              <w:bottom w:type="dxa" w:w="60"/>
              <w:right w:type="dxa" w:w="100"/>
            </w:tcMar>
          </w:tcPr>
          <w:p>
            <w:pPr>
              <w:pStyle w:val="ListParagraph"/>
              <w:numPr>
                <w:ilvl w:val="0"/>
                <w:numId w:val="1"/>
              </w:numPr>
              <w:spacing w:after="60" w:before="60" w:line="264"/>
            </w:pPr>
            <w:r>
              <w:rPr>
                <w:color w:val="1A1A1A"/>
              </w:rPr>
              <w:t xml:space="preserve">VERIFIED in Revision 9 against OO 1352 as produced, eff. 12/09/2019, rev. 02/27/2020. II.F.2, II.G, II.H and III.E are confirmed as cited and the struck text is the order's own words. This redline may now circulate as a true redline.</w:t>
            </w:r>
          </w:p>
          <w:p>
            <w:pPr>
              <w:pStyle w:val="ListParagraph"/>
              <w:numPr>
                <w:ilvl w:val="0"/>
                <w:numId w:val="1"/>
              </w:numPr>
              <w:spacing w:after="60" w:before="40" w:line="264"/>
            </w:pPr>
            <w:r>
              <w:rPr>
                <w:color w:val="1A1A1A"/>
              </w:rPr>
              <w:t xml:space="preserve">The S-4 High and S-4 Low split the register describes is confirmed and is sounder than its label suggests, so the insert below is a relabeling and separation of an existing structure rather than the invention of a new one. Say that to the policy shop.</w:t>
            </w:r>
          </w:p>
          <w:p>
            <w:pPr>
              <w:pStyle w:val="ListParagraph"/>
              <w:numPr>
                <w:ilvl w:val="0"/>
                <w:numId w:val="1"/>
              </w:numPr>
              <w:spacing w:after="60" w:before="40" w:line="264"/>
            </w:pPr>
            <w:r>
              <w:rPr>
                <w:color w:val="1A1A1A"/>
              </w:rPr>
              <w:t xml:space="preserve">OO 1352 never references OO 1350.5 anywhere in its twelve pages. The insert at II.H.1 creates that cross-reference for the first time. Confirm OO 1350.5's section numbering before adopting it.</w:t>
            </w:r>
          </w:p>
          <w:p>
            <w:pPr>
              <w:pStyle w:val="ListParagraph"/>
              <w:numPr>
                <w:ilvl w:val="0"/>
                <w:numId w:val="1"/>
              </w:numPr>
              <w:spacing w:after="60" w:before="40" w:line="264"/>
            </w:pPr>
            <w:r>
              <w:rPr>
                <w:color w:val="1A1A1A"/>
              </w:rPr>
              <w:t xml:space="preserve">**Penal Code 261.5, 288.5 and 289.6 in the S-4A offence list are the drafter's judgment**, not sections the order enumerates and not sections this review has verified as the right additions. Only 287 and 289 are confirmed omissions, recorded against the order's own enumeration at II.G.1 and II.G.3. Confirm all three with County Counsel, or strike them and keep the successor-statute catch-all, which is what stops the next renumbering reopening the gap that 287 left. **The same caveat appears on the tracked changes copy of OO 1352, and the two say the same thing on purpose.**</w:t>
            </w:r>
          </w:p>
        </w:tc>
      </w:tr>
    </w:tbl>
    <w:p>
      <w:r>
        <w:br w:type="page"/>
      </w:r>
    </w:p>
    <w:p>
      <w:pPr>
        <w:pStyle w:val="Heading1"/>
      </w:pPr>
      <w:r>
        <w:t xml:space="preserve">7. Adopt a single reconciled records retention schedule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000"/>
        <w:gridCol w:w="8080"/>
      </w:tblGrid>
      <w:tr>
        <w:tc>
          <w:tcPr>
            <w:tcW w:type="dxa" w:w="2000"/>
            <w:shd w:fill="F5F5F5" w:color="auto" w:val="clear"/>
            <w:tcMar>
              <w:top w:type="dxa" w:w="60"/>
              <w:left w:type="dxa" w:w="100"/>
              <w:bottom w:type="dxa" w:w="60"/>
              <w:right w:type="dxa" w:w="100"/>
            </w:tcMar>
          </w:tcPr>
          <w:p>
            <w:pPr>
              <w:spacing w:after="40" w:before="40" w:line="240"/>
            </w:pPr>
            <w:r>
              <w:rPr>
                <w:b/>
                <w:bCs/>
                <w:color w:val="1A1A1A"/>
                <w:sz w:val="24"/>
                <w:szCs w:val="24"/>
              </w:rPr>
              <w:t xml:space="preserve">Priority</w:t>
            </w:r>
          </w:p>
        </w:tc>
        <w:tc>
          <w:tcPr>
            <w:tcW w:type="dxa" w:w="8080"/>
            <w:tcMar>
              <w:top w:type="dxa" w:w="60"/>
              <w:left w:type="dxa" w:w="100"/>
              <w:bottom w:type="dxa" w:w="60"/>
              <w:right w:type="dxa" w:w="100"/>
            </w:tcMar>
          </w:tcPr>
          <w:p>
            <w:pPr>
              <w:spacing w:after="40" w:before="40" w:line="240"/>
            </w:pPr>
            <w:r>
              <w:rPr>
                <w:color w:val="1A1A1A"/>
                <w:sz w:val="24"/>
                <w:szCs w:val="24"/>
              </w:rPr>
              <w:t xml:space="preserve">Critical</w:t>
            </w:r>
          </w:p>
        </w:tc>
      </w:tr>
      <w:tr>
        <w:tc>
          <w:tcPr>
            <w:tcW w:type="dxa" w:w="2000"/>
            <w:shd w:fill="F5F5F5" w:color="auto" w:val="clear"/>
            <w:tcMar>
              <w:top w:type="dxa" w:w="60"/>
              <w:left w:type="dxa" w:w="100"/>
              <w:bottom w:type="dxa" w:w="60"/>
              <w:right w:type="dxa" w:w="100"/>
            </w:tcMar>
          </w:tcPr>
          <w:p>
            <w:pPr>
              <w:spacing w:after="40" w:before="40" w:line="240"/>
            </w:pPr>
            <w:r>
              <w:rPr>
                <w:b/>
                <w:bCs/>
                <w:color w:val="1A1A1A"/>
                <w:sz w:val="24"/>
                <w:szCs w:val="24"/>
              </w:rPr>
              <w:t xml:space="preserve">Document</w:t>
            </w:r>
          </w:p>
        </w:tc>
        <w:tc>
          <w:tcPr>
            <w:tcW w:type="dxa" w:w="8080"/>
            <w:tcMar>
              <w:top w:type="dxa" w:w="60"/>
              <w:left w:type="dxa" w:w="100"/>
              <w:bottom w:type="dxa" w:w="60"/>
              <w:right w:type="dxa" w:w="100"/>
            </w:tcMar>
          </w:tcPr>
          <w:p>
            <w:pPr>
              <w:spacing w:after="40" w:before="40" w:line="240"/>
            </w:pPr>
            <w:r>
              <w:rPr>
                <w:color w:val="1A1A1A"/>
                <w:sz w:val="24"/>
                <w:szCs w:val="24"/>
              </w:rPr>
              <w:t xml:space="preserve">Internal Affairs Administrative Investigations, XI.C.1</w:t>
            </w:r>
          </w:p>
          <w:p>
            <w:pPr>
              <w:spacing w:after="40" w:before="20" w:line="240"/>
            </w:pPr>
            <w:r>
              <w:rPr>
                <w:color w:val="1A1A1A"/>
                <w:sz w:val="24"/>
                <w:szCs w:val="24"/>
              </w:rPr>
              <w:t xml:space="preserve">PREA Policy and Procedure, Juvenile Institutions, XVIII.B</w:t>
            </w:r>
          </w:p>
          <w:p>
            <w:pPr>
              <w:spacing w:after="40" w:before="20" w:line="240"/>
            </w:pPr>
            <w:r>
              <w:rPr>
                <w:color w:val="1A1A1A"/>
                <w:sz w:val="24"/>
                <w:szCs w:val="24"/>
              </w:rPr>
              <w:t xml:space="preserve">Internal Complaints (Administrative P&amp;P Manual, rev. 10/30/2013), retention provision</w:t>
            </w:r>
          </w:p>
        </w:tc>
      </w:tr>
      <w:tr>
        <w:tc>
          <w:tcPr>
            <w:tcW w:type="dxa" w:w="2000"/>
            <w:shd w:fill="F5F5F5" w:color="auto" w:val="clear"/>
            <w:tcMar>
              <w:top w:type="dxa" w:w="60"/>
              <w:left w:type="dxa" w:w="100"/>
              <w:bottom w:type="dxa" w:w="60"/>
              <w:right w:type="dxa" w:w="100"/>
            </w:tcMar>
          </w:tcPr>
          <w:p>
            <w:pPr>
              <w:spacing w:after="40" w:before="40" w:line="240"/>
            </w:pPr>
            <w:r>
              <w:rPr>
                <w:b/>
                <w:bCs/>
                <w:color w:val="1A1A1A"/>
                <w:sz w:val="24"/>
                <w:szCs w:val="24"/>
              </w:rPr>
              <w:t xml:space="preserve">Authority</w:t>
            </w:r>
          </w:p>
        </w:tc>
        <w:tc>
          <w:tcPr>
            <w:tcW w:type="dxa" w:w="8080"/>
            <w:tcMar>
              <w:top w:type="dxa" w:w="60"/>
              <w:left w:type="dxa" w:w="100"/>
              <w:bottom w:type="dxa" w:w="60"/>
              <w:right w:type="dxa" w:w="100"/>
            </w:tcMar>
          </w:tcPr>
          <w:p>
            <w:pPr>
              <w:spacing w:after="40" w:before="40" w:line="240"/>
            </w:pPr>
            <w:r>
              <w:rPr>
                <w:color w:val="1A1A1A"/>
                <w:sz w:val="24"/>
                <w:szCs w:val="24"/>
              </w:rPr>
              <w:t xml:space="preserve">28 CFR 115.371(j)</w:t>
            </w:r>
          </w:p>
          <w:p>
            <w:pPr>
              <w:spacing w:after="40" w:before="20" w:line="240"/>
            </w:pPr>
            <w:r>
              <w:rPr>
                <w:color w:val="1A1A1A"/>
                <w:sz w:val="24"/>
                <w:szCs w:val="24"/>
              </w:rPr>
              <w:t xml:space="preserve">28 CFR 115.389(c), ten-year data retention</w:t>
            </w:r>
          </w:p>
          <w:p>
            <w:pPr>
              <w:spacing w:after="40" w:before="20" w:line="240"/>
            </w:pPr>
            <w:r>
              <w:rPr>
                <w:color w:val="1A1A1A"/>
                <w:sz w:val="24"/>
                <w:szCs w:val="24"/>
              </w:rPr>
              <w:t xml:space="preserve">Code of Civil Procedure 340.1 as amended by AB 452</w:t>
            </w:r>
          </w:p>
          <w:p>
            <w:pPr>
              <w:spacing w:after="40" w:before="20" w:line="240"/>
            </w:pPr>
            <w:r>
              <w:rPr>
                <w:color w:val="1A1A1A"/>
                <w:sz w:val="24"/>
                <w:szCs w:val="24"/>
              </w:rPr>
              <w:t xml:space="preserve">Code of Civil Procedure 352; Government Code 905(m)</w:t>
            </w:r>
          </w:p>
        </w:tc>
      </w:tr>
      <w:tr>
        <w:tc>
          <w:tcPr>
            <w:tcW w:type="dxa" w:w="2000"/>
            <w:shd w:fill="F5F5F5" w:color="auto" w:val="clear"/>
            <w:tcMar>
              <w:top w:type="dxa" w:w="60"/>
              <w:left w:type="dxa" w:w="100"/>
              <w:bottom w:type="dxa" w:w="60"/>
              <w:right w:type="dxa" w:w="100"/>
            </w:tcMar>
          </w:tcPr>
          <w:p>
            <w:pPr>
              <w:spacing w:after="40" w:before="40" w:line="240"/>
            </w:pPr>
            <w:r>
              <w:rPr>
                <w:b/>
                <w:bCs/>
                <w:color w:val="1A1A1A"/>
                <w:sz w:val="24"/>
                <w:szCs w:val="24"/>
              </w:rPr>
              <w:t xml:space="preserve">Register rows</w:t>
            </w:r>
          </w:p>
        </w:tc>
        <w:tc>
          <w:tcPr>
            <w:tcW w:type="dxa" w:w="8080"/>
            <w:tcMar>
              <w:top w:type="dxa" w:w="60"/>
              <w:left w:type="dxa" w:w="100"/>
              <w:bottom w:type="dxa" w:w="60"/>
              <w:right w:type="dxa" w:w="100"/>
            </w:tcMar>
          </w:tcPr>
          <w:p>
            <w:pPr>
              <w:spacing w:after="40" w:before="40" w:line="240"/>
            </w:pPr>
            <w:r>
              <w:rPr>
                <w:color w:val="1A1A1A"/>
                <w:sz w:val="24"/>
                <w:szCs w:val="24"/>
              </w:rPr>
              <w:t xml:space="preserve">59, 72</w:t>
            </w:r>
          </w:p>
        </w:tc>
      </w:tr>
    </w:tbl>
    <w:p>
      <w:pPr>
        <w:pStyle w:val="Heading2"/>
      </w:pPr>
      <w:r>
        <w:t xml:space="preserve">The defect</w:t>
      </w:r>
    </w:p>
    <w:p>
      <w:pPr>
        <w:spacing w:after="120" w:line="276"/>
      </w:pPr>
      <w:r>
        <w:rPr>
          <w:color w:val="1A1A1A"/>
        </w:rPr>
        <w:t xml:space="preserve">Three different retention rules govern the same records, and a fourth document points at one of them without stating a period. Internal Affairs XI.C.1 retains records of citizen complaints, formal investigations, and dispositions for at least five years. PREA Policy XVIII.B retains all case records associated with claims of sexual abuse for at least ten years. 115.371(j) requires investigation reports to be retained as long as the alleged abuser is incarcerated or employed by the agency, plus five years, which for a long-tenured employee is far longer than either. Internal Complaints states that all discretionary and non-discretionary investigative documentation and evidence shall be retained by Internal Affairs, with no period, so the reconciled schedule has to be reflected in four documents rather than three. A department that destroys a sexual abuse investigation file at five years under the Internal Affairs schedule violates its own PREA policy and the federal standard in the same act.</w:t>
      </w:r>
    </w:p>
    <w:p>
      <w:pPr>
        <w:pStyle w:val="Heading2"/>
      </w:pPr>
      <w:r>
        <w:t xml:space="preserve">Strike</w:t>
      </w:r>
    </w:p>
    <w:p>
      <w:pPr>
        <w:spacing w:after="60"/>
      </w:pPr>
      <w:r>
        <w:rPr>
          <w:b/>
          <w:bCs/>
          <w:color w:val="1A1A1A"/>
        </w:rPr>
        <w:t xml:space="preserve">Internal Affairs XI.C.1</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2DEDE" w:color="auto" w:val="clear"/>
            <w:tcMar>
              <w:top w:type="dxa" w:w="60"/>
              <w:left w:type="dxa" w:w="100"/>
              <w:bottom w:type="dxa" w:w="60"/>
              <w:right w:type="dxa" w:w="100"/>
            </w:tcMar>
          </w:tcPr>
          <w:p>
            <w:pPr>
              <w:spacing w:after="60" w:before="60" w:line="260"/>
            </w:pPr>
            <w:r>
              <w:rPr>
                <w:strike/>
                <w:color w:val="1A1A1A"/>
              </w:rPr>
              <w:t xml:space="preserve">The five-year period, as applied to records within the scope of the schedule below. The five-year rule may stand for other citizen complaint records.</w:t>
            </w:r>
          </w:p>
        </w:tc>
      </w:tr>
    </w:tbl>
    <w:p>
      <w:pPr>
        <w:spacing w:after="200" w:before="60"/>
      </w:pPr>
      <w:r>
        <w:rPr>
          <w:i/>
          <w:iCs/>
          <w:color w:val="5A5A5A"/>
          <w:sz w:val="24"/>
          <w:szCs w:val="24"/>
        </w:rPr>
        <w:t xml:space="preserve">Described in the register, not read in this review.</w:t>
      </w:r>
    </w:p>
    <w:p>
      <w:pPr>
        <w:spacing w:after="60"/>
      </w:pPr>
      <w:r>
        <w:rPr>
          <w:b/>
          <w:bCs/>
          <w:color w:val="1A1A1A"/>
        </w:rPr>
        <w:t xml:space="preserve">PREA Policy XVIII.B</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2DEDE" w:color="auto" w:val="clear"/>
            <w:tcMar>
              <w:top w:type="dxa" w:w="60"/>
              <w:left w:type="dxa" w:w="100"/>
              <w:bottom w:type="dxa" w:w="60"/>
              <w:right w:type="dxa" w:w="100"/>
            </w:tcMar>
          </w:tcPr>
          <w:p>
            <w:pPr>
              <w:spacing w:after="60" w:before="60" w:line="260"/>
            </w:pPr>
            <w:r>
              <w:rPr>
                <w:strike/>
                <w:color w:val="1A1A1A"/>
              </w:rPr>
              <w:t xml:space="preserve">The ten-year period stated as the retention rule for case records associated with claims of sexual abuse, which is replaced by the cross-reference below.</w:t>
            </w:r>
          </w:p>
        </w:tc>
      </w:tr>
    </w:tbl>
    <w:p>
      <w:pPr>
        <w:spacing w:after="200" w:before="60"/>
      </w:pPr>
      <w:r>
        <w:rPr>
          <w:i/>
          <w:iCs/>
          <w:color w:val="5A5A5A"/>
          <w:sz w:val="24"/>
          <w:szCs w:val="24"/>
        </w:rPr>
        <w:t xml:space="preserve">Described in the register, not read in this review.</w:t>
      </w:r>
    </w:p>
    <w:p>
      <w:pPr>
        <w:pStyle w:val="Heading2"/>
      </w:pPr>
      <w:r>
        <w:t xml:space="preserve">Insert</w:t>
      </w:r>
    </w:p>
    <w:p>
      <w:pPr>
        <w:spacing w:after="60"/>
      </w:pPr>
      <w:r>
        <w:rPr>
          <w:b/>
          <w:bCs/>
          <w:color w:val="1A1A1A"/>
        </w:rPr>
        <w:t xml:space="preserve">New provision, adopted in identical terms in all four documents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7EFE4" w:color="auto" w:val="clear"/>
            <w:tcMar>
              <w:top w:type="dxa" w:w="60"/>
              <w:left w:type="dxa" w:w="100"/>
              <w:bottom w:type="dxa" w:w="60"/>
              <w:right w:type="dxa" w:w="100"/>
            </w:tcMar>
          </w:tcPr>
          <w:p>
            <w:pPr>
              <w:spacing w:after="100" w:before="60" w:line="260"/>
            </w:pPr>
            <w:r>
              <w:rPr>
                <w:b/>
                <w:bCs/>
                <w:color w:val="1A1A1A"/>
              </w:rPr>
              <w:t xml:space="preserve">Records retention, sexual abuse and sexual harassment</w:t>
            </w:r>
          </w:p>
          <w:p>
            <w:pPr>
              <w:spacing w:after="120" w:line="276"/>
            </w:pPr>
            <w:r>
              <w:rPr>
                <w:color w:val="1A1A1A"/>
              </w:rPr>
              <w:t xml:space="preserve">1. Scope. This section governs every record created in connection with an allegation, investigation, or incident of sexual abuse or sexual harassment involving a resident, including the grievance or intake document, the Personnel Complaint Intake Form, incident reports, investigative reports and case files, witness statements, video and audio recordings, photographs, records of medical and mental health referrals made in response, and the disciplinary or personnel outcome.</w:t>
            </w:r>
          </w:p>
          <w:p>
            <w:pPr>
              <w:spacing w:after="120" w:line="276"/>
            </w:pPr>
            <w:r>
              <w:rPr>
                <w:color w:val="1A1A1A"/>
              </w:rPr>
              <w:t xml:space="preserve">2. Retention. A record within paragraph 1 shall be retained for the longest of the following: ten years from the date the case is closed; for records of an investigation into alleged staff conduct, as long as the alleged abuser remains incarcerated or employed by the department, plus five years; ten years after the resident reaches eighteen years of age, where the resident was under eighteen at the time of the alleged conduct; and any longer period required by law, by a litigation hold, or by the records retention schedule adopted by the County.</w:t>
            </w:r>
          </w:p>
          <w:p>
            <w:pPr>
              <w:spacing w:after="120" w:line="276"/>
            </w:pPr>
            <w:r>
              <w:rPr>
                <w:color w:val="1A1A1A"/>
              </w:rPr>
              <w:t xml:space="preserve">3. Conduct occurring on or after January 1, 2024. Code of Civil Procedure section 340.1, as amended by Assembly Bill 452, eliminated the limitations period for a claim of childhood sexual assault occurring on or after that date. No record within paragraph 1 concerning conduct on or after January 1, 2024 shall be destroyed until County Counsel has determined the applicable schedule in light of that section.</w:t>
            </w:r>
          </w:p>
          <w:p>
            <w:pPr>
              <w:spacing w:after="120" w:line="276"/>
            </w:pPr>
            <w:r>
              <w:rPr>
                <w:color w:val="1A1A1A"/>
              </w:rPr>
              <w:t xml:space="preserve">4. Hold. No record within paragraph 1 shall be destroyed while any claim, investigation, audit, inspection, or litigation involving the incident is pending or reasonably anticipated.</w:t>
            </w:r>
          </w:p>
          <w:p>
            <w:pPr>
              <w:spacing w:after="120" w:line="276"/>
            </w:pPr>
            <w:r>
              <w:rPr>
                <w:color w:val="1A1A1A"/>
              </w:rPr>
              <w:t xml:space="preserve">5. Authorization and log. Destruction of a record within paragraph 1 requires written authorization from the Internal Affairs Manager. Each destruction shall be entered in a log identifying the record, the authority relied on, the date, and the person authorizing it.</w:t>
            </w:r>
          </w:p>
          <w:p>
            <w:pPr>
              <w:spacing w:after="60" w:line="276"/>
            </w:pPr>
            <w:r>
              <w:rPr>
                <w:color w:val="1A1A1A"/>
              </w:rPr>
              <w:t xml:space="preserve">6. Aggregated data. Data collected under the department's PREA data provisions shall be securely retained for at least ten years, with personal identifiers removed before any publication.</w:t>
            </w:r>
          </w:p>
        </w:tc>
      </w:tr>
    </w:tbl>
    <w:p>
      <w:pPr>
        <w:spacing w:after="140"/>
      </w:pPr>
      <w:r>
        <w:rPr>
          <w:color w:val="1A1A1A"/>
        </w:rPr>
        <w:t xml:space="preserve"/>
      </w:r>
    </w:p>
    <w:p>
      <w:pPr>
        <w:pStyle w:val="Heading2"/>
      </w:pPr>
      <w:r>
        <w:t xml:space="preserve">Conforming changes</w:t>
      </w:r>
    </w:p>
    <w:p>
      <w:pPr>
        <w:pStyle w:val="ListParagraph"/>
        <w:numPr>
          <w:ilvl w:val="0"/>
          <w:numId w:val="1"/>
        </w:numPr>
        <w:spacing w:after="80" w:line="264"/>
      </w:pPr>
      <w:r>
        <w:rPr>
          <w:color w:val="1A1A1A"/>
        </w:rPr>
        <w:t xml:space="preserve">Adopt paragraph 1 through 5 verbatim in all four documents rather than paraphrasing in each. Paraphrase is what produced the three-way conflict.</w:t>
      </w:r>
    </w:p>
    <w:p>
      <w:pPr>
        <w:pStyle w:val="ListParagraph"/>
        <w:numPr>
          <w:ilvl w:val="0"/>
          <w:numId w:val="1"/>
        </w:numPr>
        <w:spacing w:after="80" w:line="264"/>
      </w:pPr>
      <w:r>
        <w:rPr>
          <w:color w:val="1A1A1A"/>
        </w:rPr>
        <w:t xml:space="preserve">Where a document already states a period, replace the period with the cross-reference so there is exactly one schedule in force.</w:t>
      </w:r>
    </w:p>
    <w:p>
      <w:pPr>
        <w:pStyle w:val="ListParagraph"/>
        <w:numPr>
          <w:ilvl w:val="0"/>
          <w:numId w:val="1"/>
        </w:numPr>
        <w:spacing w:after="80" w:line="264"/>
      </w:pPr>
      <w:r>
        <w:rPr>
          <w:color w:val="1A1A1A"/>
        </w:rPr>
        <w:t xml:space="preserve">Confirm the retention rule reaches video. Video is the record most often governed by a separate and much shorter system retention default, and it is the record most likely to decide a case.</w:t>
      </w:r>
    </w:p>
    <w:p>
      <w:pPr>
        <w:pStyle w:val="ListParagraph"/>
        <w:numPr>
          <w:ilvl w:val="0"/>
          <w:numId w:val="1"/>
        </w:numPr>
        <w:spacing w:after="80" w:line="264"/>
      </w:pPr>
      <w:r>
        <w:rPr>
          <w:color w:val="1A1A1A"/>
        </w:rPr>
        <w:t xml:space="preserve">Adopt the schedule with County Counsel, not by policy revision alone. The Government Claims Act presentation requirement does not apply to these claims under Government Code 905(m), so the department will not see a claim before suit.</w:t>
      </w:r>
    </w:p>
    <w:p>
      <w:pPr>
        <w:pStyle w:val="ListParagraph"/>
        <w:numPr>
          <w:ilvl w:val="0"/>
          <w:numId w:val="1"/>
        </w:numPr>
        <w:spacing w:after="80" w:line="264"/>
      </w:pPr>
      <w:r>
        <w:rPr>
          <w:color w:val="1A1A1A"/>
        </w:rPr>
        <w:t xml:space="preserve">The Institutional Policy on Documentation, Confidentiality and Maintenance of Records and the Institutional Policy on Video Recording and Photograph System are both outstanding. Request them before the schedule is finalized, since either may already carry a conflicting period.</w:t>
      </w:r>
    </w:p>
    <w:p>
      <w:pPr>
        <w:pStyle w:val="Heading2"/>
      </w:pPr>
      <w:r>
        <w:t xml:space="preserve">Why</w:t>
      </w:r>
    </w:p>
    <w:p>
      <w:pPr>
        <w:spacing w:after="120" w:line="276"/>
      </w:pPr>
      <w:r>
        <w:rPr>
          <w:color w:val="1A1A1A"/>
        </w:rPr>
        <w:t xml:space="preserve">AB 452 eliminated the limitations period for childhood sexual assault occurring on or after January 1, 2024, and Code of Civil Procedure 352 tolls a minor's limitations period for earlier incidents. The practical exposure is a file destroyed years before suit is filed. Destruction under the current five-year Internal Affairs schedule risks an adverse inference instruction and the loss of any ability to defend on the merits, and CCP 340.1 provides treble damages where a cover-up is shown. This is the one change in the set the department cannot fully solve on its own: paragraph 3 is drafted as a moratorium precisely because no fixed period covers a claim with no limitations period.</w:t>
      </w:r>
    </w:p>
    <w:p>
      <w:pPr>
        <w:pStyle w:val="Heading2"/>
      </w:pPr>
      <w:r>
        <w:t xml:space="preserve">Before adoption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60"/>
              <w:left w:type="dxa" w:w="100"/>
              <w:bottom w:type="dxa" w:w="60"/>
              <w:right w:type="dxa" w:w="100"/>
            </w:tcMar>
          </w:tcPr>
          <w:p>
            <w:pPr>
              <w:pStyle w:val="ListParagraph"/>
              <w:numPr>
                <w:ilvl w:val="0"/>
                <w:numId w:val="1"/>
              </w:numPr>
              <w:spacing w:after="60" w:before="60" w:line="264"/>
            </w:pPr>
            <w:r>
              <w:rPr>
                <w:color w:val="1A1A1A"/>
              </w:rPr>
              <w:t xml:space="preserve">Neither the Internal Affairs policy nor the PREA Policy has been produced to this review. Confirm XI.C.1 and XVIII.B against the PDFs.</w:t>
            </w:r>
          </w:p>
          <w:p>
            <w:pPr>
              <w:pStyle w:val="ListParagraph"/>
              <w:numPr>
                <w:ilvl w:val="0"/>
                <w:numId w:val="1"/>
              </w:numPr>
              <w:spacing w:after="60" w:before="40" w:line="264"/>
            </w:pPr>
            <w:r>
              <w:rPr>
                <w:color w:val="1A1A1A"/>
              </w:rPr>
              <w:t xml:space="preserve">Internal Complaints has been produced and read, so its retention sentence is the one item in this change that is grounded in the source document.</w:t>
            </w:r>
          </w:p>
          <w:p>
            <w:pPr>
              <w:pStyle w:val="ListParagraph"/>
              <w:numPr>
                <w:ilvl w:val="0"/>
                <w:numId w:val="1"/>
              </w:numPr>
              <w:spacing w:after="60" w:before="40" w:line="264"/>
            </w:pPr>
            <w:r>
              <w:rPr>
                <w:color w:val="1A1A1A"/>
              </w:rPr>
              <w:t xml:space="preserve">Paragraph 2 and paragraph 3 are drafting proposals, not legal advice. Route both to County Counsel before adoption, together with the question of whether the County's own records retention schedule already binds these records to a shorter period.</w:t>
            </w:r>
          </w:p>
          <w:p>
            <w:pPr>
              <w:pStyle w:val="ListParagraph"/>
              <w:numPr>
                <w:ilvl w:val="0"/>
                <w:numId w:val="1"/>
              </w:numPr>
              <w:spacing w:after="60" w:before="40" w:line="264"/>
            </w:pPr>
            <w:r>
              <w:rPr>
                <w:color w:val="1A1A1A"/>
              </w:rPr>
              <w:t xml:space="preserve">CORRECTED IN REVISION 10. This change previously listed "OO 1453 Sexual Assault, records provisions" among its targets. OO 1453 was produced and read in full in Revision 10 and IT HAS NO RECORDS RETENTION PROVISION. Three pages, fifteen numbered items, none of which sets a retention period. I.A.11.c places evidence in the evidence locker at Intake and Booking, which is chain of custody rather than retention, and I.A.14 forwards investigative reports to the Supervising District Attorney and the Sheriff's Sexual Assaults Unit. The target has been removed. The practical effect narrows this change in the department's favour: the retention conflict is between Internal Affairs XI.C.1 and PREA Policy XVIII.B, with the Internal Complaints provision alongside them, and OO 1453 contributes nothing to reconcile.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color w:val="5A5A5A"/>
        <w:sz w:val="18"/>
        <w:szCs w:val="18"/>
      </w:rPr>
      <w:t xml:space="preserve">Redlines, Recommended changes 1 to 7. YDF, register Revision 11. Not legal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A1A1A"/>
      <w:sz w:val="34"/>
      <w:szCs w:val="34"/>
    </w:rPr>
  </w:style>
  <w:style w:type="paragraph" w:styleId="Heading2">
    <w:name w:val="Heading 2"/>
    <w:basedOn w:val="Normal"/>
    <w:next w:val="Normal"/>
    <w:qFormat/>
    <w:pPr>
      <w:spacing w:after="140" w:before="300"/>
    </w:pPr>
    <w:rPr>
      <w:rFonts w:ascii="Calibri" w:cs="Calibri" w:eastAsia="Calibri" w:hAnsi="Calibri"/>
      <w:b/>
      <w:bCs/>
      <w:color w:val="1A1A1A"/>
      <w:sz w:val="30"/>
      <w:szCs w:val="3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2026-10-30T22:43:25.414Z</dcterms:created>
  <dcterms:modified xsi:type="dcterms:W3CDTF">2026-10-30T22:43:25.414Z</dcterms:modified>
</cp:coreProperties>
</file>

<file path=docProps/custom.xml><?xml version="1.0" encoding="utf-8"?>
<Properties xmlns="http://schemas.openxmlformats.org/officeDocument/2006/custom-properties" xmlns:vt="http://schemas.openxmlformats.org/officeDocument/2006/docPropsVTypes"/>
</file>