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response sequence it assumes traces to the gap register rather than to the order, which has never been produced to this review. Confirm both before this template issues.</w:t>
      </w:r>
    </w:p>
    <w:p>
      <w:pPr>
        <w:spacing w:after="120" w:line="264"/>
      </w:pPr>
      <w:r>
        <w:rPr>
          <w:b w:val="false"/>
          <w:bCs w:val="false"/>
          <w:i/>
          <w:iCs/>
          <w:color w:val="595959"/>
          <w:sz w:val="24"/>
          <w:szCs w:val="24"/>
        </w:rPr>
        <w:t xml:space="preserve">Generated from drafts/supervisor-guide.json by npm run memo-template. Do not hand-edit this file. Drawn from gap register Revision 10.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2026-10-29T22:05:36.099Z</dcterms:created>
  <dcterms:modified xsi:type="dcterms:W3CDTF">2026-10-29T22:05:36.099Z</dcterms:modified>
</cp:coreProperties>
</file>

<file path=docProps/custom.xml><?xml version="1.0" encoding="utf-8"?>
<Properties xmlns="http://schemas.openxmlformats.org/officeDocument/2006/custom-properties" xmlns:vt="http://schemas.openxmlformats.org/officeDocument/2006/docPropsVTypes"/>
</file>