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34"/>
          <w:szCs w:val="34"/>
        </w:rPr>
        <w:t xml:space="preserve">The eleven staffing plan factors</w:t>
      </w:r>
    </w:p>
    <w:p>
      <w:pPr>
        <w:spacing w:after="260"/>
      </w:pPr>
      <w:r>
        <w:rPr>
          <w:color w:val="5A5A5A"/>
          <w:sz w:val="24"/>
          <w:szCs w:val="24"/>
        </w:rPr>
        <w:t xml:space="preserve">28 CFR 115.313(a). Sacramento County Probation Department, Youth Detention Facility. Register row 5, recommended change 9.</w:t>
      </w:r>
    </w:p>
    <w:p>
      <w:pPr>
        <w:spacing w:after="180" w:line="276"/>
      </w:pPr>
      <w:r>
        <w:rPr>
          <w:color w:val="1A1A1A"/>
        </w:rPr>
        <w:t xml:space="preserve">The agency shall develop, document, and make its best efforts to comply on a regular basis with a staffing plan that provides for adequate levels of staffing and, where applicable, video monitoring, to protect residents against sexual abuse. In calculating adequate staffing levels and determining the need for video monitoring, the agency shall take into consideration: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620"/>
        <w:gridCol w:w="4400"/>
        <w:gridCol w:w="5060"/>
      </w:tblGrid>
      <w:tr>
        <w:trPr>
          <w:tblHeader/>
        </w:trPr>
        <w:tc>
          <w:tcPr>
            <w:tcW w:type="dxa" w:w="620"/>
            <w:shd w:fill="E8E8E8" w:color="auto" w:val="clear"/>
            <w:tcMar>
              <w:top w:type="dxa" w:w="60"/>
              <w:left w:type="dxa" w:w="100"/>
              <w:bottom w:type="dxa" w:w="60"/>
              <w:right w:type="dxa" w:w="100"/>
            </w:tcMar>
          </w:tcPr>
          <w:p>
            <w:pPr>
              <w:spacing w:after="40" w:before="40" w:line="240"/>
            </w:pPr>
            <w:r>
              <w:rPr>
                <w:b/>
                <w:bCs/>
                <w:color w:val="1A1A1A"/>
                <w:sz w:val="24"/>
                <w:szCs w:val="24"/>
              </w:rPr>
              <w:t xml:space="preserve">#</w:t>
            </w:r>
          </w:p>
        </w:tc>
        <w:tc>
          <w:tcPr>
            <w:tcW w:type="dxa" w:w="4400"/>
            <w:shd w:fill="E8E8E8" w:color="auto" w:val="clear"/>
            <w:tcMar>
              <w:top w:type="dxa" w:w="60"/>
              <w:left w:type="dxa" w:w="100"/>
              <w:bottom w:type="dxa" w:w="60"/>
              <w:right w:type="dxa" w:w="100"/>
            </w:tcMar>
          </w:tcPr>
          <w:p>
            <w:pPr>
              <w:spacing w:after="40" w:before="40" w:line="240"/>
            </w:pPr>
            <w:r>
              <w:rPr>
                <w:b/>
                <w:bCs/>
                <w:color w:val="1A1A1A"/>
                <w:sz w:val="24"/>
                <w:szCs w:val="24"/>
              </w:rPr>
              <w:t xml:space="preserve">Factor</w:t>
            </w:r>
          </w:p>
        </w:tc>
        <w:tc>
          <w:tcPr>
            <w:tcW w:type="dxa" w:w="5060"/>
            <w:shd w:fill="E8E8E8" w:color="auto" w:val="clear"/>
            <w:tcMar>
              <w:top w:type="dxa" w:w="60"/>
              <w:left w:type="dxa" w:w="100"/>
              <w:bottom w:type="dxa" w:w="60"/>
              <w:right w:type="dxa" w:w="100"/>
            </w:tcMar>
          </w:tcPr>
          <w:p>
            <w:pPr>
              <w:spacing w:after="40" w:before="40" w:line="240"/>
            </w:pPr>
            <w:r>
              <w:rPr>
                <w:b/>
                <w:bCs/>
                <w:color w:val="1A1A1A"/>
                <w:sz w:val="24"/>
                <w:szCs w:val="24"/>
              </w:rPr>
              <w:t xml:space="preserve">What it asks YDF for</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1</w:t>
            </w:r>
          </w:p>
        </w:tc>
        <w:tc>
          <w:tcPr>
            <w:tcW w:type="dxa" w:w="4400"/>
            <w:tcMar>
              <w:top w:type="dxa" w:w="60"/>
              <w:left w:type="dxa" w:w="100"/>
              <w:bottom w:type="dxa" w:w="60"/>
              <w:right w:type="dxa" w:w="100"/>
            </w:tcMar>
          </w:tcPr>
          <w:p>
            <w:pPr>
              <w:spacing w:after="40" w:before="40" w:line="240"/>
            </w:pPr>
            <w:r>
              <w:rPr>
                <w:b w:val="false"/>
                <w:bCs w:val="false"/>
                <w:color w:val="1A1A1A"/>
                <w:sz w:val="24"/>
                <w:szCs w:val="24"/>
              </w:rPr>
              <w:t xml:space="preserve">Generally accepted juvenile detention, correctional, or secure residential practices</w:t>
            </w:r>
          </w:p>
        </w:tc>
        <w:tc>
          <w:tcPr>
            <w:tcW w:type="dxa" w:w="5060"/>
            <w:tcMar>
              <w:top w:type="dxa" w:w="60"/>
              <w:left w:type="dxa" w:w="100"/>
              <w:bottom w:type="dxa" w:w="60"/>
              <w:right w:type="dxa" w:w="100"/>
            </w:tcMar>
          </w:tcPr>
          <w:p>
            <w:pPr>
              <w:spacing w:after="40" w:before="40" w:line="240"/>
            </w:pPr>
            <w:r>
              <w:rPr>
                <w:b w:val="false"/>
                <w:bCs w:val="false"/>
                <w:color w:val="1A1A1A"/>
                <w:sz w:val="24"/>
                <w:szCs w:val="24"/>
              </w:rPr>
              <w:t xml:space="preserve">Benchmarking against professional standards, not only Title 15.</w:t>
            </w:r>
          </w:p>
        </w:tc>
      </w:tr>
      <w:tr>
        <w:tc>
          <w:tcPr>
            <w:tcW w:type="dxa" w:w="62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2</w:t>
            </w:r>
          </w:p>
        </w:tc>
        <w:tc>
          <w:tcPr>
            <w:tcW w:type="dxa" w:w="44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Any judicial findings of inadequacy</w:t>
            </w:r>
          </w:p>
        </w:tc>
        <w:tc>
          <w:tcPr>
            <w:tcW w:type="dxa" w:w="506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Consent decrees, court orders, findings in past litigation.</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3</w:t>
            </w:r>
          </w:p>
        </w:tc>
        <w:tc>
          <w:tcPr>
            <w:tcW w:type="dxa" w:w="4400"/>
            <w:tcMar>
              <w:top w:type="dxa" w:w="60"/>
              <w:left w:type="dxa" w:w="100"/>
              <w:bottom w:type="dxa" w:w="60"/>
              <w:right w:type="dxa" w:w="100"/>
            </w:tcMar>
          </w:tcPr>
          <w:p>
            <w:pPr>
              <w:spacing w:after="40" w:before="40" w:line="240"/>
            </w:pPr>
            <w:r>
              <w:rPr>
                <w:b w:val="false"/>
                <w:bCs w:val="false"/>
                <w:color w:val="1A1A1A"/>
                <w:sz w:val="24"/>
                <w:szCs w:val="24"/>
              </w:rPr>
              <w:t xml:space="preserve">Any findings of inadequacy from Federal investigative agencies</w:t>
            </w:r>
          </w:p>
        </w:tc>
        <w:tc>
          <w:tcPr>
            <w:tcW w:type="dxa" w:w="5060"/>
            <w:tcMar>
              <w:top w:type="dxa" w:w="60"/>
              <w:left w:type="dxa" w:w="100"/>
              <w:bottom w:type="dxa" w:w="60"/>
              <w:right w:type="dxa" w:w="100"/>
            </w:tcMar>
          </w:tcPr>
          <w:p>
            <w:pPr>
              <w:spacing w:after="40" w:before="40" w:line="240"/>
            </w:pPr>
            <w:r>
              <w:rPr>
                <w:b w:val="false"/>
                <w:bCs w:val="false"/>
                <w:color w:val="1A1A1A"/>
                <w:sz w:val="24"/>
                <w:szCs w:val="24"/>
              </w:rPr>
              <w:t xml:space="preserve">DOJ Civil Rights Division, any CRIPA activity.</w:t>
            </w:r>
          </w:p>
        </w:tc>
      </w:tr>
      <w:tr>
        <w:tc>
          <w:tcPr>
            <w:tcW w:type="dxa" w:w="62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4</w:t>
            </w:r>
          </w:p>
        </w:tc>
        <w:tc>
          <w:tcPr>
            <w:tcW w:type="dxa" w:w="44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Any findings of inadequacy from internal or external oversight bodies</w:t>
            </w:r>
          </w:p>
        </w:tc>
        <w:tc>
          <w:tcPr>
            <w:tcW w:type="dxa" w:w="506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BSCC inspection findings, the juvenile court judge’s annual inspection, the Juvenile Justice and Delinquency Prevention Commission, the OYCR Ombudsperson, and internal reviews.</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5</w:t>
            </w:r>
          </w:p>
        </w:tc>
        <w:tc>
          <w:tcPr>
            <w:tcW w:type="dxa" w:w="4400"/>
            <w:tcMar>
              <w:top w:type="dxa" w:w="60"/>
              <w:left w:type="dxa" w:w="100"/>
              <w:bottom w:type="dxa" w:w="60"/>
              <w:right w:type="dxa" w:w="100"/>
            </w:tcMar>
          </w:tcPr>
          <w:p>
            <w:pPr>
              <w:spacing w:after="40" w:before="40" w:line="240"/>
            </w:pPr>
            <w:r>
              <w:rPr>
                <w:b w:val="false"/>
                <w:bCs w:val="false"/>
                <w:color w:val="1A1A1A"/>
                <w:sz w:val="24"/>
                <w:szCs w:val="24"/>
              </w:rPr>
              <w:t xml:space="preserve">All components of the facility’s physical plant, including blind spots or areas where staff or residents may be isolated</w:t>
            </w:r>
          </w:p>
        </w:tc>
        <w:tc>
          <w:tcPr>
            <w:tcW w:type="dxa" w:w="5060"/>
            <w:tcMar>
              <w:top w:type="dxa" w:w="60"/>
              <w:left w:type="dxa" w:w="100"/>
              <w:bottom w:type="dxa" w:w="60"/>
              <w:right w:type="dxa" w:w="100"/>
            </w:tcMar>
          </w:tcPr>
          <w:p>
            <w:pPr>
              <w:spacing w:after="40" w:before="40" w:line="240"/>
            </w:pPr>
            <w:r>
              <w:rPr>
                <w:b w:val="false"/>
                <w:bCs w:val="false"/>
                <w:color w:val="1A1A1A"/>
                <w:sz w:val="24"/>
                <w:szCs w:val="24"/>
              </w:rPr>
              <w:t xml:space="preserve">A walked and documented sightline survey of every unit, with camera coverage mapped against it.</w:t>
            </w:r>
          </w:p>
        </w:tc>
      </w:tr>
      <w:tr>
        <w:tc>
          <w:tcPr>
            <w:tcW w:type="dxa" w:w="62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6</w:t>
            </w:r>
          </w:p>
        </w:tc>
        <w:tc>
          <w:tcPr>
            <w:tcW w:type="dxa" w:w="44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The composition of the resident population</w:t>
            </w:r>
          </w:p>
        </w:tc>
        <w:tc>
          <w:tcPr>
            <w:tcW w:type="dxa" w:w="506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Age spread, size and stature, screening results under 15 CCR 1350.5, who is classified where.</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7</w:t>
            </w:r>
          </w:p>
        </w:tc>
        <w:tc>
          <w:tcPr>
            <w:tcW w:type="dxa" w:w="4400"/>
            <w:tcMar>
              <w:top w:type="dxa" w:w="60"/>
              <w:left w:type="dxa" w:w="100"/>
              <w:bottom w:type="dxa" w:w="60"/>
              <w:right w:type="dxa" w:w="100"/>
            </w:tcMar>
          </w:tcPr>
          <w:p>
            <w:pPr>
              <w:spacing w:after="40" w:before="40" w:line="240"/>
            </w:pPr>
            <w:r>
              <w:rPr>
                <w:b w:val="false"/>
                <w:bCs w:val="false"/>
                <w:color w:val="1A1A1A"/>
                <w:sz w:val="24"/>
                <w:szCs w:val="24"/>
              </w:rPr>
              <w:t xml:space="preserve">The number and placement of supervisory staff</w:t>
            </w:r>
          </w:p>
        </w:tc>
        <w:tc>
          <w:tcPr>
            <w:tcW w:type="dxa" w:w="5060"/>
            <w:tcMar>
              <w:top w:type="dxa" w:w="60"/>
              <w:left w:type="dxa" w:w="100"/>
              <w:bottom w:type="dxa" w:w="60"/>
              <w:right w:type="dxa" w:w="100"/>
            </w:tcMar>
          </w:tcPr>
          <w:p>
            <w:pPr>
              <w:spacing w:after="40" w:before="40" w:line="240"/>
            </w:pPr>
            <w:r>
              <w:rPr>
                <w:b w:val="false"/>
                <w:bCs w:val="false"/>
                <w:color w:val="1A1A1A"/>
                <w:sz w:val="24"/>
                <w:szCs w:val="24"/>
              </w:rPr>
              <w:t xml:space="preserve">Not headcount alone. Where supervisors physically are, by shift.</w:t>
            </w:r>
          </w:p>
        </w:tc>
      </w:tr>
      <w:tr>
        <w:tc>
          <w:tcPr>
            <w:tcW w:type="dxa" w:w="62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8</w:t>
            </w:r>
          </w:p>
        </w:tc>
        <w:tc>
          <w:tcPr>
            <w:tcW w:type="dxa" w:w="44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Institution programs occurring on a particular shift</w:t>
            </w:r>
          </w:p>
        </w:tc>
        <w:tc>
          <w:tcPr>
            <w:tcW w:type="dxa" w:w="506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School, visiting, recreation, medical passes. Staffing that works at 0300 does not work during program movement.</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9</w:t>
            </w:r>
          </w:p>
        </w:tc>
        <w:tc>
          <w:tcPr>
            <w:tcW w:type="dxa" w:w="4400"/>
            <w:tcMar>
              <w:top w:type="dxa" w:w="60"/>
              <w:left w:type="dxa" w:w="100"/>
              <w:bottom w:type="dxa" w:w="60"/>
              <w:right w:type="dxa" w:w="100"/>
            </w:tcMar>
          </w:tcPr>
          <w:p>
            <w:pPr>
              <w:spacing w:after="40" w:before="40" w:line="240"/>
            </w:pPr>
            <w:r>
              <w:rPr>
                <w:b w:val="false"/>
                <w:bCs w:val="false"/>
                <w:color w:val="1A1A1A"/>
                <w:sz w:val="24"/>
                <w:szCs w:val="24"/>
              </w:rPr>
              <w:t xml:space="preserve">Any applicable State or local laws, regulations, or standards</w:t>
            </w:r>
          </w:p>
        </w:tc>
        <w:tc>
          <w:tcPr>
            <w:tcW w:type="dxa" w:w="5060"/>
            <w:tcMar>
              <w:top w:type="dxa" w:w="60"/>
              <w:left w:type="dxa" w:w="100"/>
              <w:bottom w:type="dxa" w:w="60"/>
              <w:right w:type="dxa" w:w="100"/>
            </w:tcMar>
          </w:tcPr>
          <w:p>
            <w:pPr>
              <w:spacing w:after="40" w:before="40" w:line="240"/>
            </w:pPr>
            <w:r>
              <w:rPr>
                <w:b w:val="false"/>
                <w:bCs w:val="false"/>
                <w:color w:val="1A1A1A"/>
                <w:sz w:val="24"/>
                <w:szCs w:val="24"/>
              </w:rPr>
              <w:t xml:space="preserve">15 CCR 1321(h)(1), and the fact that 15 CCR 1301 permits the county to exceed it.</w:t>
            </w:r>
          </w:p>
        </w:tc>
      </w:tr>
      <w:tr>
        <w:tc>
          <w:tcPr>
            <w:tcW w:type="dxa" w:w="62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10</w:t>
            </w:r>
          </w:p>
        </w:tc>
        <w:tc>
          <w:tcPr>
            <w:tcW w:type="dxa" w:w="440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The prevalence of substantiated and unsubstantiated incidents of sexual abuse</w:t>
            </w:r>
          </w:p>
        </w:tc>
        <w:tc>
          <w:tcPr>
            <w:tcW w:type="dxa" w:w="5060"/>
            <w:shd w:fill="F5F5F5" w:color="auto" w:val="clear"/>
            <w:tcMar>
              <w:top w:type="dxa" w:w="60"/>
              <w:left w:type="dxa" w:w="100"/>
              <w:bottom w:type="dxa" w:w="60"/>
              <w:right w:type="dxa" w:w="100"/>
            </w:tcMar>
          </w:tcPr>
          <w:p>
            <w:pPr>
              <w:spacing w:after="40" w:before="40" w:line="240"/>
            </w:pPr>
            <w:r>
              <w:rPr>
                <w:b w:val="false"/>
                <w:bCs w:val="false"/>
                <w:color w:val="1A1A1A"/>
                <w:sz w:val="24"/>
                <w:szCs w:val="24"/>
              </w:rPr>
              <w:t xml:space="preserve">Departmental incident data by location and shift. Currently blocked: the Internal Affairs six-category disposition taxonomy does not map to the three PREA findings. See register row 81.</w:t>
            </w:r>
          </w:p>
        </w:tc>
      </w:tr>
      <w:tr>
        <w:tc>
          <w:tcPr>
            <w:tcW w:type="dxa" w:w="620"/>
            <w:tcMar>
              <w:top w:type="dxa" w:w="60"/>
              <w:left w:type="dxa" w:w="100"/>
              <w:bottom w:type="dxa" w:w="60"/>
              <w:right w:type="dxa" w:w="100"/>
            </w:tcMar>
          </w:tcPr>
          <w:p>
            <w:pPr>
              <w:spacing w:after="40" w:before="40" w:line="240"/>
            </w:pPr>
            <w:r>
              <w:rPr>
                <w:b w:val="false"/>
                <w:bCs w:val="false"/>
                <w:color w:val="1A1A1A"/>
                <w:sz w:val="24"/>
                <w:szCs w:val="24"/>
              </w:rPr>
              <w:t xml:space="preserve">11</w:t>
            </w:r>
          </w:p>
        </w:tc>
        <w:tc>
          <w:tcPr>
            <w:tcW w:type="dxa" w:w="4400"/>
            <w:tcMar>
              <w:top w:type="dxa" w:w="60"/>
              <w:left w:type="dxa" w:w="100"/>
              <w:bottom w:type="dxa" w:w="60"/>
              <w:right w:type="dxa" w:w="100"/>
            </w:tcMar>
          </w:tcPr>
          <w:p>
            <w:pPr>
              <w:spacing w:after="40" w:before="40" w:line="240"/>
            </w:pPr>
            <w:r>
              <w:rPr>
                <w:b w:val="false"/>
                <w:bCs w:val="false"/>
                <w:color w:val="1A1A1A"/>
                <w:sz w:val="24"/>
                <w:szCs w:val="24"/>
              </w:rPr>
              <w:t xml:space="preserve">Any other relevant factors</w:t>
            </w:r>
          </w:p>
        </w:tc>
        <w:tc>
          <w:tcPr>
            <w:tcW w:type="dxa" w:w="5060"/>
            <w:tcMar>
              <w:top w:type="dxa" w:w="60"/>
              <w:left w:type="dxa" w:w="100"/>
              <w:bottom w:type="dxa" w:w="60"/>
              <w:right w:type="dxa" w:w="100"/>
            </w:tcMar>
          </w:tcPr>
          <w:p>
            <w:pPr>
              <w:spacing w:after="40" w:before="40" w:line="240"/>
            </w:pPr>
            <w:r>
              <w:rPr>
                <w:b w:val="false"/>
                <w:bCs w:val="false"/>
                <w:color w:val="1A1A1A"/>
                <w:sz w:val="24"/>
                <w:szCs w:val="24"/>
              </w:rPr>
              <w:t xml:space="preserve">The catch-all.</w:t>
            </w:r>
          </w:p>
        </w:tc>
      </w:tr>
    </w:tbl>
    <w:p>
      <w:pPr>
        <w:spacing w:after="200" w:before="240" w:line="276"/>
      </w:pPr>
      <w:r>
        <w:rPr>
          <w:b/>
          <w:bCs/>
          <w:color w:val="1A1A1A"/>
        </w:rPr>
        <w:t xml:space="preserve">Then 115.313(b). </w:t>
      </w:r>
      <w:r>
        <w:rPr>
          <w:color w:val="1A1A1A"/>
        </w:rPr>
        <w:t xml:space="preserve">Where the staffing plan is not complied with, the facility shall document and justify all deviations. That is the provision that turns the plan from paper into a record.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100" w:before="60" w:line="260"/>
            </w:pPr>
            <w:r>
              <w:rPr>
                <w:b/>
                <w:bCs/>
                <w:color w:val="1A1A1A"/>
                <w:sz w:val="24"/>
                <w:szCs w:val="24"/>
              </w:rPr>
              <w:t xml:space="preserve">Verification. </w:t>
            </w:r>
            <w:r>
              <w:rPr>
                <w:color w:val="1A1A1A"/>
                <w:sz w:val="24"/>
                <w:szCs w:val="24"/>
              </w:rPr>
              <w:t xml:space="preserve">The eleven factors are corroborated from two independent searches, including exact-phrase matches against the Cornell, eCFR, and PREA Resource Center listings of the standard. They have not been read from the Code of Federal Regulations itself, because network access to eCFR, Cornell, govinfo, and the PREA Resource Center was unavailable when this was prepared. Confirm the wording and numbering against 28 CFR 115.313(a) before this is adopted into a staffing plan.</w:t>
            </w:r>
          </w:p>
          <w:p>
            <w:pPr>
              <w:spacing w:after="60" w:line="260"/>
            </w:pPr>
            <w:r>
              <w:rPr>
                <w:b/>
                <w:bCs/>
                <w:color w:val="1A1A1A"/>
                <w:sz w:val="24"/>
                <w:szCs w:val="24"/>
              </w:rPr>
              <w:t xml:space="preserve">Not legal advice. </w:t>
            </w:r>
            <w:r>
              <w:rPr>
                <w:color w:val="1A1A1A"/>
                <w:sz w:val="24"/>
                <w:szCs w:val="24"/>
              </w:rPr>
              <w:t xml:space="preserve">Prepared for internal remediation planning. Statutory questions route to County Counsel.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2026-10-30T17:43:49.301Z</dcterms:created>
  <dcterms:modified xsi:type="dcterms:W3CDTF">2026-10-30T17:43:49.301Z</dcterms:modified>
</cp:coreProperties>
</file>

<file path=docProps/custom.xml><?xml version="1.0" encoding="utf-8"?>
<Properties xmlns="http://schemas.openxmlformats.org/officeDocument/2006/custom-properties" xmlns:vt="http://schemas.openxmlformats.org/officeDocument/2006/docPropsVTypes"/>
</file>