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10,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and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local government confinement facilities. There is no federal fine for a county and no private lawsuit under PREA itself, so the standards are not the risk. They are the measuring stick somebody else uses.</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civil liability.</w:t>
      </w:r>
      <w:r>
        <w:rPr>
          <w:b w:val="false"/>
          <w:bCs w:val="false"/>
          <w:i w:val="false"/>
          <w:iCs w:val="false"/>
          <w:color w:val="1A1A1A"/>
          <w:sz w:val="24"/>
          <w:szCs w:val="24"/>
        </w:rPr>
        <w:t xml:space="preserve"> Title 15 embeds PREA content in about ten sections, and BSCC inspects against it every two years. AB 452 removed the limitations period for childhood sexual assault occurring on or after 01/01/2024, so a claim arising from a resident today has no deadline and never will.</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The documents are mostly there. The problem is what they say.</w:t>
      </w:r>
      <w:r>
        <w:rPr>
          <w:b w:val="false"/>
          <w:bCs w:val="false"/>
          <w:i w:val="false"/>
          <w:iCs w:val="false"/>
          <w:color w:val="1A1A1A"/>
          <w:sz w:val="24"/>
          <w:szCs w:val="24"/>
        </w:rPr>
        <w:t xml:space="preserve"> Of 91 requirements assessed against 17 policies, thirteen are not gaps at all: the policy states a rule that contradicts the law or another one of our own orders. Those are the expensive ones, because a written wrong rule is evidence, and most of them are correctable by amendment.</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create personal exposure for staff, not just the County.</w:t>
      </w:r>
      <w:r>
        <w:rPr>
          <w:b w:val="false"/>
          <w:bCs w:val="false"/>
          <w:i w:val="false"/>
          <w:iCs w:val="false"/>
          <w:color w:val="1A1A1A"/>
          <w:sz w:val="24"/>
          <w:szCs w:val="24"/>
        </w:rPr>
        <w:t xml:space="preserve"> The mandated reporting timeline is wrong in two documents. One order directs supervisors to question a youth in a way that omits a statute that took effect in 2021. Both are correctable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recommended changes are drafted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rows. These seven. Each one is in the register with the policy text behind it, and each is written the same way: what our policy says, what the rule says, why it costs us, and what the fix is.</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creates classification S-8 for any LGBTQI youth, and III.I.1 requires single room housing at all times. OO 1352.5 III.I does the same for all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bars separating a youth from the general population or assigning a single occupancy room solely on a listed basis, and states the lawful alternative on its face: individualized placement, or a single room at the youth's specific request. 115.342(c) is to the same effect. 15 CCR 1324(k) separately requires the policy manual itself to bar classification and restrictive housing decisions on those bases.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cleanest adverse finding available against us, for three reasons. </w:t>
            </w:r>
            <w:r>
              <w:rPr>
                <w:b/>
                <w:bCs/>
                <w:i w:val="false"/>
                <w:iCs w:val="false"/>
                <w:color w:val="1A1A1A"/>
                <w:sz w:val="24"/>
                <w:szCs w:val="24"/>
              </w:rPr>
              <w:t xml:space="preserve">The timing.</w:t>
            </w:r>
            <w:r>
              <w:rPr>
                <w:b w:val="false"/>
                <w:bCs w:val="false"/>
                <w:i w:val="false"/>
                <w:iCs w:val="false"/>
                <w:color w:val="1A1A1A"/>
                <w:sz w:val="24"/>
                <w:szCs w:val="24"/>
              </w:rPr>
              <w:t xml:space="preserve"> 1352(e) is not new: it is in the edition effective 04/01/2014. S-8 was created 12/09/2019 and retained on the 02/27/2020 revision, five and a half years after the state rule was already in force. </w:t>
            </w:r>
            <w:r>
              <w:rPr>
                <w:b/>
                <w:bCs/>
                <w:i w:val="false"/>
                <w:iCs w:val="false"/>
                <w:color w:val="1A1A1A"/>
                <w:sz w:val="24"/>
                <w:szCs w:val="24"/>
              </w:rPr>
              <w:t xml:space="preserve">The comparison, from our own order.</w:t>
            </w:r>
            <w:r>
              <w:rPr>
                <w:b w:val="false"/>
                <w:bCs w:val="false"/>
                <w:i w:val="false"/>
                <w:iCs w:val="false"/>
                <w:color w:val="1A1A1A"/>
                <w:sz w:val="24"/>
                <w:szCs w:val="24"/>
              </w:rPr>
              <w:t xml:space="preserve"> III.I.1 for S-8 and III.E.1.a for S-4 High are word for word identical, and they are the only two provisions in the entire order imposing that mandate. S-4 High is the documented sex offence category. So the order gives LGBTQI youth the identical housing restriction it reserves for adjudicated sex offenders, and gives it to no one else. </w:t>
            </w:r>
            <w:r>
              <w:rPr>
                <w:b/>
                <w:bCs/>
                <w:i w:val="false"/>
                <w:iCs w:val="false"/>
                <w:color w:val="1A1A1A"/>
                <w:sz w:val="24"/>
                <w:szCs w:val="24"/>
              </w:rPr>
              <w:t xml:space="preserve">And the order contradicts itself:</w:t>
            </w:r>
            <w:r>
              <w:rPr>
                <w:b w:val="false"/>
                <w:bCs w:val="false"/>
                <w:i w:val="false"/>
                <w:iCs w:val="false"/>
                <w:color w:val="1A1A1A"/>
                <w:sz w:val="24"/>
                <w:szCs w:val="24"/>
              </w:rPr>
              <w:t xml:space="preserve"> II.M.1.a defers housing to OO 1352.5, and III.I.1 then forecloses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changes 1 and 2, drafted. Rescind the S-8 mandate and replace it with the 1352(e) list verbatim, carrying the regulation's own carve out for single occupancy at the youth's request, documented. Convert OO 1352.5 III.I to a presumptive, documented, individualized outcome. A fourth paragraph bars any classification code that carries an automatic housing consequence, which is what stops this reappearing under another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state that sexual assault is reported to Child Protective Services verbally within 24 hours. OO 1453 restated it on a 12/09/2019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requires a telephone report immediately or as soon as practicably possible, with the written report on form SS 8572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is personal criminal exposure for the employee, not an institutional finding.</w:t>
            </w:r>
            <w:r>
              <w:rPr>
                <w:b w:val="false"/>
                <w:bCs w:val="false"/>
                <w:i w:val="false"/>
                <w:iCs w:val="false"/>
                <w:color w:val="1A1A1A"/>
                <w:sz w:val="24"/>
                <w:szCs w:val="24"/>
              </w:rPr>
              <w:t xml:space="preserve"> The duty under 11166(i)(1) is individual, no supervisor may impede it, and 11166(c) carries penalties. A staff member who follows our written policy exactly can be the one prosecuted. The Code of Conduct VII.A.1 states the standard correctly, so the department contradicts itself in writing, which removes any argument that this was simply never considered.</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drafted and staged. Stage one corrects both provisions in place now. Stage two replaces both with a cross reference once a department wide General Order on child abuse reporting issues. Reading OO 1453 in full added a scope correction: every duty in it is keyed to sexual assault, so the insert is drafted to the CANRA trigger instead, which fixes the timeline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Confirm whether the county has designated Probation to receive mandated reports under PC 11165.9. One paragraph of the draft depends on it and it is unconfirmed.</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shall take an initial statement from the victim and suspect, and all suspects involved in a sexual assault shall be read a Miranda warning prior to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effective 01/01/2021, requires a youth 17 or younger to consult counsel, in person, by telephone or by video, before a custodial interrogation and before any waiver of Miranda. The consultation may not be waived.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The order says nothing about it</w:t>
            </w:r>
            <w:r>
              <w:rPr>
                <w:b w:val="false"/>
                <w:bCs w:val="false"/>
                <w:i w:val="false"/>
                <w:iCs w:val="false"/>
                <w:color w:val="1A1A1A"/>
                <w:sz w:val="24"/>
                <w:szCs w:val="24"/>
              </w:rPr>
              <w:t xml:space="preserve">, because it was last revised 12/09/2019, more than a year before the statute took effect. 625.6(b) directs courts to weigh noncompliance on admissibility, and to weigh a willful violation against the officer's credibility under Evidence Code 780. So the exposure runs to the supervisor personally, and the practical cost is that a statement taken under our own order can sink the case it was meant to support. Two further provisions, I.A.8 and I.A.10, confirm the design is deliberate rather than an oversight in drafting.</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Not yet drafted. It is a short amendment to I.A.6 plus a line in the supervisor guidance. Newest of the thirteen, found on reading the order on 10/29.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This is the one I would move first, because it is cheap, it is current, and it exposes individual supervisors every time it is followed.</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directs the incident review report to the PREA coordinator. The department advises the position does not exist.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upper level, agency wide PREA Coordinator with sufficient time and authority. 115.311(c) requires a compliance manager at each facility where an agency operates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consequences, and the second is the serious one. The required report has nowhere to go, so the incident review process terminates in a position that is not filled. And the order is a </w:t>
            </w:r>
            <w:r>
              <w:rPr>
                <w:b/>
                <w:bCs/>
                <w:i w:val="false"/>
                <w:iCs w:val="false"/>
                <w:color w:val="1A1A1A"/>
                <w:sz w:val="24"/>
                <w:szCs w:val="24"/>
              </w:rPr>
              <w:t xml:space="preserve">written departmental acknowledgment, dated 12/09/2019, that the role is needed.</w:t>
            </w:r>
            <w:r>
              <w:rPr>
                <w:b w:val="false"/>
                <w:bCs w:val="false"/>
                <w:i w:val="false"/>
                <w:iCs w:val="false"/>
                <w:color w:val="1A1A1A"/>
                <w:sz w:val="24"/>
                <w:szCs w:val="24"/>
              </w:rPr>
              <w:t xml:space="preserve"> That is considerably harder to answer than a silent gap would have been.</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8. This is a designation and an allocation of time, not a drafting exercise.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Blocked on this room, not on analysis.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its stated authority is PREA, and every operative duty in it is keyed to sexual assault: the staff reporting duty, the CPS report at I.A.9, the incident review at I.A.15.</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knowledge, suspicion or information regarding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sexual harassment to include repeated unwelcome sexual advances and repeated verbal comments of a derogatory or offensive sexual nature. Title 15 goes further than the federal definition in two respects: it counts coercion by manipulation, and it reaches voyeurism between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Read across three pages and fifteen items, nothing in OO 1453 reaches sexual harassment, exposure, or touching not characterised as assault. So we have a coordinated response plan in all but name for the most serious band, and nothing written for the band that produces the volume. </w:t>
            </w:r>
            <w:r>
              <w:rPr>
                <w:b/>
                <w:bCs/>
                <w:i w:val="false"/>
                <w:iCs w:val="false"/>
                <w:color w:val="1A1A1A"/>
                <w:sz w:val="24"/>
                <w:szCs w:val="24"/>
              </w:rPr>
              <w:t xml:space="preserve">That is where supervisors are improvising</w:t>
            </w:r>
            <w:r>
              <w:rPr>
                <w:b w:val="false"/>
                <w:bCs w:val="false"/>
                <w:i w:val="false"/>
                <w:iCs w:val="false"/>
                <w:color w:val="1A1A1A"/>
                <w:sz w:val="24"/>
                <w:szCs w:val="24"/>
              </w:rPr>
              <w:t xml:space="preserve">, and improvisation is what later reads as deliberate indifference. It is also the band where, with two residents both 18 or over, there is no external reporting duty of any kind, so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12, broaden OO 1453, plus recommended change 10 on the grievance route. The supervisor tier chart and classification card already do this operationally and can carry the load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conducts youth on youth administrative investigations in this band. It is not written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retains complaint and investigation records at least five years. PREA Policy XVIII.B retains case records associated with claims of sexual abuse at least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requires retention for as long as the alleged abuser is employed or incarcerated,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of the three can be read as authority to destroy a record the other two require. Against AB 452 that is the costly version of a filing question: the limitations period for childhood sexual assault occurring on or after 01/01/2024 is eliminated, so a claim arising from a resident today has no deadline. CCP 340.1 also provides treble damages for a cover up, and a destruction that followed one of our own schedules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7, drafted. One reconciled schedule, and paragraph 3 is written as a destruction moratorium for conduct on or after 01/01/2024, because no fixed retention figure can cover a claim with no limitations period.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The PREA Policy and Procedure for Juvenile Institutions carries an effective and revision date of 04/25/2013. The Internal Affairs policy dates to 01/11/2011. The Detention and Intake responsibility document is undated and references CYA throughout.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requires the policy and procedure manual to be administratively reviewed at least every two years and updated as necessary.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at all. The policy predates the 01/01/2019 Title 15 rewrite that added 1350.5, 1352.5, 1324(n) and 1361(h), and it predates WIC 208.3 and the renumbering of PC 288a to PC 287. </w:t>
            </w:r>
            <w:r>
              <w:rPr>
                <w:b/>
                <w:bCs/>
                <w:i w:val="false"/>
                <w:iCs w:val="false"/>
                <w:color w:val="1A1A1A"/>
                <w:sz w:val="24"/>
                <w:szCs w:val="24"/>
              </w:rPr>
              <w:t xml:space="preserve">On a BSCC inspection this is established by reading the cover page.</w:t>
            </w:r>
            <w:r>
              <w:rPr>
                <w:b w:val="false"/>
                <w:bCs w:val="false"/>
                <w:i w:val="false"/>
                <w:iCs w:val="false"/>
                <w:color w:val="1A1A1A"/>
                <w:sz w:val="24"/>
                <w:szCs w:val="24"/>
              </w:rPr>
              <w:t xml:space="preserve"> It also carries three of the thirteen conflicts on its own,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covers the reporting standard. Beyond that the policy is worth rewriting to Subpart D order so each provision maps to what an auditor scores, rather than amended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rather than another round of amendments, and set the biennial review on a calendar so this does not recur.</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Everything above is either drafted or blocked. These are the blockages,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Blocks recommended change 8, and our own order already routes work to the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conducts youth on youth administrative investigations</w:t>
      </w:r>
      <w:r>
        <w:rPr>
          <w:b w:val="false"/>
          <w:bCs w:val="false"/>
          <w:i w:val="false"/>
          <w:iCs w:val="false"/>
          <w:color w:val="1A1A1A"/>
          <w:sz w:val="24"/>
          <w:szCs w:val="24"/>
        </w:rPr>
        <w:t xml:space="preserve"> in the band below sexual assault. Not written anywhere. It is the one answer the supervisor materials cannot supply for themselves.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Produce the rosters and post assignments.</w:t>
      </w:r>
      <w:r>
        <w:rPr>
          <w:b w:val="false"/>
          <w:bCs w:val="false"/>
          <w:i w:val="false"/>
          <w:iCs w:val="false"/>
          <w:color w:val="1A1A1A"/>
          <w:sz w:val="24"/>
          <w:szCs w:val="24"/>
        </w:rPr>
        <w:t xml:space="preserve"> Settles whether the staffing finding is a real gap or a documentation gap, and unblocks change 9.</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Produce OO 1354 on separation</w:t>
      </w:r>
      <w:r>
        <w:rPr>
          <w:b w:val="false"/>
          <w:bCs w:val="false"/>
          <w:i w:val="false"/>
          <w:iCs w:val="false"/>
          <w:color w:val="1A1A1A"/>
          <w:sz w:val="24"/>
          <w:szCs w:val="24"/>
        </w:rPr>
        <w:t xml:space="preserve">, the orientation handbook, and the hiring and contractor screening procedures. Several findings may close on production rather than on remediation.</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designated Probation to receive mandated reports</w:t>
      </w:r>
      <w:r>
        <w:rPr>
          <w:b w:val="false"/>
          <w:bCs w:val="false"/>
          <w:i w:val="false"/>
          <w:iCs w:val="false"/>
          <w:color w:val="1A1A1A"/>
          <w:sz w:val="24"/>
          <w:szCs w:val="24"/>
        </w:rPr>
        <w:t xml:space="preserve"> under PC 11165.9. One paragraph of a drafted redline depends on it.</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Owners and target dates for the 22 critical rows.</w:t>
      </w:r>
      <w:r>
        <w:rPr>
          <w:b w:val="false"/>
          <w:bCs w:val="false"/>
          <w:i w:val="false"/>
          <w:iCs w:val="false"/>
          <w:color w:val="1A1A1A"/>
          <w:sz w:val="24"/>
          <w:szCs w:val="24"/>
        </w:rPr>
        <w:t xml:space="preserve"> The register has the columns and they are empty by design, because they are the department's to fill.</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Approve the PREA Policy rewrite</w:t>
      </w:r>
      <w:r>
        <w:rPr>
          <w:b w:val="false"/>
          <w:bCs w:val="false"/>
          <w:i w:val="false"/>
          <w:iCs w:val="false"/>
          <w:color w:val="1A1A1A"/>
          <w:sz w:val="24"/>
          <w:szCs w:val="24"/>
        </w:rPr>
        <w:t xml:space="preserve"> rather than a further round of item by item amendments, and put the 15 CCR 1324 biennial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from drafts/management-brief.json by npm run brief, from gap register Revision 10.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2026-10-29T22:29:41.780Z</dcterms:created>
  <dcterms:modified xsi:type="dcterms:W3CDTF">2026-10-29T22:29:41.780Z</dcterms:modified>
</cp:coreProperties>
</file>

<file path=docProps/custom.xml><?xml version="1.0" encoding="utf-8"?>
<Properties xmlns="http://schemas.openxmlformats.org/officeDocument/2006/custom-properties" xmlns:vt="http://schemas.openxmlformats.org/officeDocument/2006/docPropsVTypes"/>
</file>