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i w:val="false"/>
          <w:iCs w:val="false"/>
          <w:color w:val="1A1A1A"/>
          <w:sz w:val="34"/>
          <w:szCs w:val="34"/>
        </w:rPr>
        <w:t xml:space="preserve">PREA Incident Classification Card</w:t>
      </w:r>
    </w:p>
    <w:p>
      <w:pPr>
        <w:spacing w:after="120"/>
      </w:pPr>
      <w:r>
        <w:rPr>
          <w:b w:val="false"/>
          <w:bCs w:val="false"/>
          <w:i w:val="false"/>
          <w:iCs w:val="false"/>
          <w:color w:val="595959"/>
          <w:sz w:val="24"/>
          <w:szCs w:val="24"/>
        </w:rPr>
        <w:t xml:space="preserve">Supervisor field version. One page. Classify it, act, write it down.</w:t>
      </w:r>
      <w:r>
        <w:rPr>
          <w:b w:val="false"/>
          <w:bCs w:val="false"/>
          <w:i w:val="false"/>
          <w:iCs w:val="false"/>
          <w:color w:val="595959"/>
          <w:sz w:val="24"/>
          <w:szCs w:val="24"/>
        </w:rPr>
        <w:t xml:space="preserve">   Sacramento County Probation Department, Youth Detention Facility.</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Five steps, in order. Ages first, because age decides the CPS column before you look at the conduct. Everything past the classification decision, who investigates and where your role stops, is in the Supervisor Decision Guide.</w:t>
            </w:r>
          </w:p>
        </w:tc>
      </w:tr>
    </w:tbl>
    <w:p>
      <w:pPr>
        <w:pStyle w:val="Heading1"/>
        <w:spacing w:after="100" w:before="200"/>
      </w:pPr>
      <w:r>
        <w:rPr>
          <w:b/>
          <w:bCs/>
          <w:i w:val="false"/>
          <w:iCs w:val="false"/>
          <w:color w:val="1A1A1A"/>
          <w:sz w:val="34"/>
          <w:szCs w:val="34"/>
        </w:rPr>
        <w:t xml:space="preserve">Step 1.  </w:t>
      </w:r>
      <w:r>
        <w:rPr>
          <w:b/>
          <w:bCs/>
          <w:i w:val="false"/>
          <w:iCs w:val="false"/>
          <w:color w:val="1A1A1A"/>
          <w:sz w:val="34"/>
          <w:szCs w:val="34"/>
        </w:rPr>
        <w:t xml:space="preserve">Ages, before anything else</w:t>
      </w:r>
    </w:p>
    <w:p>
      <w:pPr>
        <w:spacing w:after="90" w:line="252"/>
      </w:pPr>
      <w:r>
        <w:rPr>
          <w:b w:val="false"/>
          <w:bCs w:val="false"/>
          <w:i w:val="false"/>
          <w:iCs w:val="false"/>
          <w:color w:val="1A1A1A"/>
          <w:sz w:val="24"/>
          <w:szCs w:val="24"/>
        </w:rPr>
        <w:t xml:space="preserve">Settle this first. Residents 18 and over are not children for CANRA, whatever the court jurisdiction, and the department does not treat them as dependent adults.</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7400"/>
      </w:tblGrid>
      <w:tr>
        <w:trPr>
          <w:tblHeader/>
        </w:trPr>
        <w:tc>
          <w:tcPr>
            <w:tcW w:type="dxa" w:w="3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is involved</w:t>
            </w:r>
          </w:p>
        </w:tc>
        <w:tc>
          <w:tcPr>
            <w:tcW w:type="dxa" w:w="7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happens to the CPS column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under 18</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Use the chart as written.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under 18, one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Still reports</w:t>
            </w:r>
            <w:r>
              <w:rPr>
                <w:b w:val="false"/>
                <w:bCs w:val="false"/>
                <w:i w:val="false"/>
                <w:iCs w:val="false"/>
                <w:color w:val="1A1A1A"/>
                <w:sz w:val="24"/>
                <w:szCs w:val="24"/>
              </w:rPr>
              <w:t xml:space="preserve">, on every tier the chart says YES. </w:t>
            </w:r>
            <w:r>
              <w:rPr>
                <w:b/>
                <w:bCs/>
                <w:i w:val="false"/>
                <w:iCs w:val="false"/>
                <w:color w:val="1A1A1A"/>
                <w:sz w:val="24"/>
                <w:szCs w:val="24"/>
              </w:rPr>
              <w:t xml:space="preserve">Never run consent analysis.</w:t>
            </w:r>
            <w:r>
              <w:rPr>
                <w:b w:val="false"/>
                <w:bCs w:val="false"/>
                <w:i w:val="false"/>
                <w:iCs w:val="false"/>
                <w:color w:val="1A1A1A"/>
                <w:sz w:val="24"/>
                <w:szCs w:val="24"/>
              </w:rPr>
              <w:t xml:space="preserve"> A minor cannot lawfully consent with an adult, so apparent willingness changes nothing.</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18 or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 CPS report on any tier.</w:t>
            </w:r>
            <w:r>
              <w:rPr>
                <w:b w:val="false"/>
                <w:bCs w:val="false"/>
                <w:i w:val="false"/>
                <w:iCs w:val="false"/>
                <w:color w:val="1A1A1A"/>
                <w:sz w:val="24"/>
                <w:szCs w:val="24"/>
              </w:rPr>
              <w:t xml:space="preserve"> No child, so no CANRA. PREA is unchanged. The external report goes to the </w:t>
            </w:r>
            <w:r>
              <w:rPr>
                <w:b/>
                <w:bCs/>
                <w:i w:val="false"/>
                <w:iCs w:val="false"/>
                <w:color w:val="1A1A1A"/>
                <w:sz w:val="24"/>
                <w:szCs w:val="24"/>
              </w:rPr>
              <w:t xml:space="preserve">Sheriff</w:t>
            </w:r>
            <w:r>
              <w:rPr>
                <w:b w:val="false"/>
                <w:bCs w:val="false"/>
                <w:i w:val="false"/>
                <w:iCs w:val="false"/>
                <w:color w:val="1A1A1A"/>
                <w:sz w:val="24"/>
                <w:szCs w:val="24"/>
              </w:rPr>
              <w:t xml:space="preserve">, not CPS, and only for sexual assault.</w:t>
            </w:r>
          </w:p>
        </w:tc>
      </w:tr>
    </w:tbl>
    <w:p>
      <w:pPr>
        <w:pStyle w:val="Heading1"/>
        <w:spacing w:after="100" w:before="200"/>
      </w:pPr>
      <w:r>
        <w:rPr>
          <w:b/>
          <w:bCs/>
          <w:i w:val="false"/>
          <w:iCs w:val="false"/>
          <w:color w:val="1A1A1A"/>
          <w:sz w:val="34"/>
          <w:szCs w:val="34"/>
        </w:rPr>
        <w:t xml:space="preserve">Step 2.  </w:t>
      </w:r>
      <w:r>
        <w:rPr>
          <w:b/>
          <w:bCs/>
          <w:i w:val="false"/>
          <w:iCs w:val="false"/>
          <w:color w:val="1A1A1A"/>
          <w:sz w:val="34"/>
          <w:szCs w:val="34"/>
        </w:rPr>
        <w:t xml:space="preserve">Find the conduct</w:t>
      </w:r>
    </w:p>
    <w:p>
      <w:pPr>
        <w:spacing w:after="90" w:line="252"/>
      </w:pPr>
      <w:r>
        <w:rPr>
          <w:b w:val="false"/>
          <w:bCs w:val="false"/>
          <w:i w:val="false"/>
          <w:iCs w:val="false"/>
          <w:color w:val="1A1A1A"/>
          <w:sz w:val="24"/>
          <w:szCs w:val="24"/>
        </w:rPr>
        <w:t xml:space="preserve">Two separate tests. They line up on touching and come apart everywhere else. Answering one never answers the other.</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4500"/>
        <w:gridCol w:w="2600"/>
        <w:gridCol w:w="3000"/>
      </w:tblGrid>
      <w:tr>
        <w:trPr>
          <w:tblHeader/>
        </w:trPr>
        <w:tc>
          <w:tcPr>
            <w:tcW w:type="dxa" w:w="7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w:t>
            </w:r>
          </w:p>
        </w:tc>
        <w:tc>
          <w:tcPr>
            <w:tcW w:type="dxa" w:w="4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happened</w:t>
            </w:r>
          </w:p>
        </w:tc>
        <w:tc>
          <w:tcPr>
            <w:tcW w:type="dxa" w:w="2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Is it PREA?</w:t>
            </w:r>
          </w:p>
        </w:tc>
        <w:tc>
          <w:tcPr>
            <w:tcW w:type="dxa" w:w="30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CPS report?</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sexualized comment. No contact, no exposure, no threat.</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PREA</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Sexualized comments or gestures, repeated and unwelcome, at the same youth.</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harassment</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Exposes genitals. No masturbation, no contact.</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 Read tier 4 first</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Masturbates in view of another youth.</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the youth who saw it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Touches genitals, anus, groin, breast, inner thigh or buttocks. Through clothing counts.</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6</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Oral, anal or penetrative contact, attempted or completed. Or anything above by force, threat or coercion.</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bl>
    <w:p>
      <w:pPr>
        <w:pStyle w:val="Heading1"/>
        <w:spacing w:after="100" w:before="200"/>
      </w:pPr>
      <w:r>
        <w:rPr>
          <w:b/>
          <w:bCs/>
          <w:i w:val="false"/>
          <w:iCs w:val="false"/>
          <w:color w:val="1A1A1A"/>
          <w:sz w:val="34"/>
          <w:szCs w:val="34"/>
        </w:rPr>
        <w:t xml:space="preserve">Step 3.  </w:t>
      </w:r>
      <w:r>
        <w:rPr>
          <w:b/>
          <w:bCs/>
          <w:i w:val="false"/>
          <w:iCs w:val="false"/>
          <w:color w:val="1A1A1A"/>
          <w:sz w:val="34"/>
          <w:szCs w:val="34"/>
        </w:rPr>
        <w:t xml:space="preserve">Check for a flip</w:t>
      </w:r>
    </w:p>
    <w:p>
      <w:pPr>
        <w:spacing w:after="90" w:line="252"/>
      </w:pPr>
      <w:r>
        <w:rPr>
          <w:b w:val="false"/>
          <w:bCs w:val="false"/>
          <w:i w:val="false"/>
          <w:iCs w:val="false"/>
          <w:color w:val="1A1A1A"/>
          <w:sz w:val="24"/>
          <w:szCs w:val="24"/>
        </w:rPr>
        <w:t xml:space="preserve">Any one of these moves the incident up and forces a deliberate CPS call, whatever tier the conduct looked like.</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Force, threat, coercion or leverage of any kind, including debt, protection or commissary.</w:t>
            </w:r>
          </w:p>
          <w:p>
            <w:pPr>
              <w:pStyle w:val="ListParagraph"/>
              <w:numPr>
                <w:ilvl w:val="0"/>
                <w:numId w:val="1"/>
              </w:numPr>
              <w:spacing w:after="60" w:before="40" w:line="264"/>
            </w:pPr>
            <w:r>
              <w:rPr>
                <w:b w:val="false"/>
                <w:bCs w:val="false"/>
                <w:i w:val="false"/>
                <w:iCs w:val="false"/>
                <w:color w:val="1A1A1A"/>
                <w:sz w:val="24"/>
                <w:szCs w:val="24"/>
              </w:rPr>
              <w:t xml:space="preserve">Any sign it happened before, reported or not.</w:t>
            </w:r>
          </w:p>
          <w:p>
            <w:pPr>
              <w:pStyle w:val="ListParagraph"/>
              <w:numPr>
                <w:ilvl w:val="0"/>
                <w:numId w:val="1"/>
              </w:numPr>
              <w:spacing w:after="60" w:before="40" w:line="264"/>
            </w:pPr>
            <w:r>
              <w:rPr>
                <w:b w:val="false"/>
                <w:bCs w:val="false"/>
                <w:i w:val="false"/>
                <w:iCs w:val="false"/>
                <w:color w:val="1A1A1A"/>
                <w:sz w:val="24"/>
                <w:szCs w:val="24"/>
              </w:rPr>
              <w:t xml:space="preserve">The target is under 14.</w:t>
            </w:r>
          </w:p>
          <w:p>
            <w:pPr>
              <w:pStyle w:val="ListParagraph"/>
              <w:numPr>
                <w:ilvl w:val="0"/>
                <w:numId w:val="1"/>
              </w:numPr>
              <w:spacing w:after="60" w:before="40" w:line="264"/>
            </w:pPr>
            <w:r>
              <w:rPr>
                <w:b w:val="false"/>
                <w:bCs w:val="false"/>
                <w:i w:val="false"/>
                <w:iCs w:val="false"/>
                <w:color w:val="1A1A1A"/>
                <w:sz w:val="24"/>
                <w:szCs w:val="24"/>
              </w:rPr>
              <w:t xml:space="preserve">A significant age, size, developmental or cognitive gap between the two.</w:t>
            </w:r>
          </w:p>
          <w:p>
            <w:pPr>
              <w:pStyle w:val="ListParagraph"/>
              <w:numPr>
                <w:ilvl w:val="0"/>
                <w:numId w:val="1"/>
              </w:numPr>
              <w:spacing w:after="60" w:before="40" w:line="264"/>
            </w:pPr>
            <w:r>
              <w:rPr>
                <w:b w:val="false"/>
                <w:bCs w:val="false"/>
                <w:i w:val="false"/>
                <w:iCs w:val="false"/>
                <w:color w:val="1A1A1A"/>
                <w:sz w:val="24"/>
                <w:szCs w:val="24"/>
              </w:rPr>
              <w:t xml:space="preserve">The target discloses prior sexual abuse, inside or outside the facility.</w:t>
            </w:r>
          </w:p>
          <w:p>
            <w:pPr>
              <w:pStyle w:val="ListParagraph"/>
              <w:numPr>
                <w:ilvl w:val="0"/>
                <w:numId w:val="1"/>
              </w:numPr>
              <w:spacing w:after="60" w:before="40" w:line="264"/>
            </w:pPr>
            <w:r>
              <w:rPr>
                <w:b w:val="false"/>
                <w:bCs w:val="false"/>
                <w:i w:val="false"/>
                <w:iCs w:val="false"/>
                <w:color w:val="1A1A1A"/>
                <w:sz w:val="24"/>
                <w:szCs w:val="24"/>
              </w:rPr>
              <w:t xml:space="preserve">Reason to suspect the youth who acted has himself been abused. That is a separate report about a different child.</w:t>
            </w:r>
          </w:p>
          <w:p>
            <w:pPr>
              <w:pStyle w:val="ListParagraph"/>
              <w:numPr>
                <w:ilvl w:val="0"/>
                <w:numId w:val="1"/>
              </w:numPr>
              <w:spacing w:after="60" w:before="40" w:line="264"/>
            </w:pPr>
            <w:r>
              <w:rPr>
                <w:b w:val="false"/>
                <w:bCs w:val="false"/>
                <w:i w:val="false"/>
                <w:iCs w:val="false"/>
                <w:color w:val="1A1A1A"/>
                <w:sz w:val="24"/>
                <w:szCs w:val="24"/>
              </w:rPr>
              <w:t xml:space="preserve">A pattern by the same youth toward more than one target.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Any staff involvement at all.</w:t>
            </w:r>
            <w:r>
              <w:rPr>
                <w:b w:val="false"/>
                <w:bCs w:val="false"/>
                <w:i w:val="false"/>
                <w:iCs w:val="false"/>
                <w:color w:val="1A1A1A"/>
                <w:sz w:val="24"/>
                <w:szCs w:val="24"/>
              </w:rPr>
              <w:t xml:space="preserve"> Off this chart entirely, and it reports regardless of tier.</w:t>
            </w:r>
          </w:p>
        </w:tc>
      </w:tr>
    </w:tbl>
    <w:p>
      <w:pPr>
        <w:pStyle w:val="Heading1"/>
        <w:spacing w:after="100" w:before="200"/>
      </w:pPr>
      <w:r>
        <w:rPr>
          <w:b/>
          <w:bCs/>
          <w:i w:val="false"/>
          <w:iCs w:val="false"/>
          <w:color w:val="1A1A1A"/>
          <w:sz w:val="34"/>
          <w:szCs w:val="34"/>
        </w:rPr>
        <w:t xml:space="preserve">Step 4.  </w:t>
      </w:r>
      <w:r>
        <w:rPr>
          <w:b/>
          <w:bCs/>
          <w:i w:val="false"/>
          <w:iCs w:val="false"/>
          <w:color w:val="1A1A1A"/>
          <w:sz w:val="34"/>
          <w:szCs w:val="34"/>
        </w:rPr>
        <w:t xml:space="preserve">Act</w:t>
      </w:r>
    </w:p>
    <w:p>
      <w:pPr>
        <w:spacing w:after="90" w:line="252"/>
      </w:pPr>
      <w:r>
        <w:rPr>
          <w:b w:val="false"/>
          <w:bCs w:val="false"/>
          <w:i w:val="false"/>
          <w:iCs w:val="false"/>
          <w:color w:val="1A1A1A"/>
          <w:sz w:val="24"/>
          <w:szCs w:val="24"/>
        </w:rPr>
        <w:t xml:space="preserve">Cumulative: each row adds to the one above it. Spelled out in full in the guide.</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2500"/>
        <w:gridCol w:w="8300"/>
      </w:tblGrid>
      <w:tr>
        <w:trPr>
          <w:tblHeader/>
        </w:trPr>
        <w:tc>
          <w:tcPr>
            <w:tcW w:type="dxa" w:w="2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When</w:t>
            </w:r>
          </w:p>
        </w:tc>
        <w:tc>
          <w:tcPr>
            <w:tcW w:type="dxa" w:w="83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tier, including tier 1</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Separate the youth, check the target is safe, tell the Duty Supervisor. Incident report naming both youth, </w:t>
            </w:r>
            <w:r>
              <w:rPr>
                <w:b/>
                <w:bCs/>
                <w:i w:val="false"/>
                <w:iCs w:val="false"/>
                <w:color w:val="1A1A1A"/>
                <w:sz w:val="24"/>
                <w:szCs w:val="24"/>
              </w:rPr>
              <w:t xml:space="preserve">the words used verbatim</w:t>
            </w:r>
            <w:r>
              <w:rPr>
                <w:b w:val="false"/>
                <w:bCs w:val="false"/>
                <w:i w:val="false"/>
                <w:iCs w:val="false"/>
                <w:color w:val="1A1A1A"/>
                <w:sz w:val="24"/>
                <w:szCs w:val="24"/>
              </w:rPr>
              <w:t xml:space="preserve">. Record your classification and your reason, including a decision not to report.</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 2 and above</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Log it as a PREA incident. If the target is at </w:t>
            </w:r>
            <w:r>
              <w:rPr>
                <w:b/>
                <w:bCs/>
                <w:i w:val="false"/>
                <w:iCs w:val="false"/>
                <w:color w:val="1A1A1A"/>
                <w:sz w:val="24"/>
                <w:szCs w:val="24"/>
              </w:rPr>
              <w:t xml:space="preserve">substantial risk of imminent sexual abuse</w:t>
            </w:r>
            <w:r>
              <w:rPr>
                <w:b w:val="false"/>
                <w:bCs w:val="false"/>
                <w:i w:val="false"/>
                <w:iCs w:val="false"/>
                <w:color w:val="1A1A1A"/>
                <w:sz w:val="24"/>
                <w:szCs w:val="24"/>
              </w:rPr>
              <w:t xml:space="preserve">, protect now, separately from any investigation. Reassess housing for both. Retaliation monitoring if anyone reported.</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 4, where a CPS report is due</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Telephone the report immediately</w:t>
            </w:r>
            <w:r>
              <w:rPr>
                <w:b w:val="false"/>
                <w:bCs w:val="false"/>
                <w:i w:val="false"/>
                <w:iCs w:val="false"/>
                <w:color w:val="1A1A1A"/>
                <w:sz w:val="24"/>
                <w:szCs w:val="24"/>
              </w:rPr>
              <w:t xml:space="preserve">, form SS 8572 within 36 hours. Do not wait for the investigation, the end of shift, or approval. The duty belongs to whoever formed the suspicion, and telling you does not discharge it.</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tiers 5 and 6</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abuse from the first moment. </w:t>
            </w:r>
            <w:r>
              <w:rPr>
                <w:b/>
                <w:bCs/>
                <w:i w:val="false"/>
                <w:iCs w:val="false"/>
                <w:color w:val="1A1A1A"/>
                <w:sz w:val="24"/>
                <w:szCs w:val="24"/>
              </w:rPr>
              <w:t xml:space="preserve">Preserve evidence</w:t>
            </w:r>
            <w:r>
              <w:rPr>
                <w:b w:val="false"/>
                <w:bCs w:val="false"/>
                <w:i w:val="false"/>
                <w:iCs w:val="false"/>
                <w:color w:val="1A1A1A"/>
                <w:sz w:val="24"/>
                <w:szCs w:val="24"/>
              </w:rPr>
              <w:t xml:space="preserve">, no showering or cleaning up. Refer for investigation, every allegation gets one. Tier 6 adds law enforcement, forensic exam off site, notice to parent or guardian and counsel.</w:t>
            </w:r>
          </w:p>
        </w:tc>
      </w:tr>
    </w:tbl>
    <w:p>
      <w:pPr>
        <w:pStyle w:val="Heading1"/>
        <w:spacing w:after="100" w:before="200"/>
      </w:pPr>
      <w:r>
        <w:rPr>
          <w:b/>
          <w:bCs/>
          <w:i w:val="false"/>
          <w:iCs w:val="false"/>
          <w:color w:val="1A1A1A"/>
          <w:sz w:val="34"/>
          <w:szCs w:val="34"/>
        </w:rPr>
        <w:t xml:space="preserve">Step 5.  </w:t>
      </w:r>
      <w:r>
        <w:rPr>
          <w:b/>
          <w:bCs/>
          <w:i w:val="false"/>
          <w:iCs w:val="false"/>
          <w:color w:val="1A1A1A"/>
          <w:sz w:val="34"/>
          <w:szCs w:val="34"/>
        </w:rPr>
        <w:t xml:space="preserve">Write the classification down</w:t>
      </w:r>
    </w:p>
    <w:p>
      <w:pPr>
        <w:spacing w:after="90" w:line="252"/>
      </w:pPr>
      <w:r>
        <w:rPr>
          <w:b w:val="false"/>
          <w:bCs w:val="false"/>
          <w:i w:val="false"/>
          <w:iCs w:val="false"/>
          <w:color w:val="1A1A1A"/>
          <w:sz w:val="24"/>
          <w:szCs w:val="24"/>
        </w:rPr>
        <w:t xml:space="preserve">Every time, including when you decide it is nothing. Sexual harassment requires repetition, and repetition only exists if the first one was written down.</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E7EEF6"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Tier: ____    Conduct in one line: ______________________________</w:t>
            </w:r>
          </w:p>
          <w:p>
            <w:pPr>
              <w:spacing w:after="60" w:before="90" w:line="264"/>
            </w:pPr>
            <w:r>
              <w:rPr>
                <w:b w:val="false"/>
                <w:bCs w:val="false"/>
                <w:i w:val="false"/>
                <w:iCs w:val="false"/>
                <w:color w:val="1A1A1A"/>
                <w:sz w:val="24"/>
                <w:szCs w:val="24"/>
              </w:rPr>
              <w:t xml:space="preserve">Ages: both under 18 / one under one over / both 18 or over</w:t>
            </w:r>
          </w:p>
          <w:p>
            <w:pPr>
              <w:spacing w:after="60" w:before="90" w:line="264"/>
            </w:pPr>
            <w:r>
              <w:rPr>
                <w:b w:val="false"/>
                <w:bCs w:val="false"/>
                <w:i w:val="false"/>
                <w:iCs w:val="false"/>
                <w:color w:val="1A1A1A"/>
                <w:sz w:val="24"/>
                <w:szCs w:val="24"/>
              </w:rPr>
              <w:t xml:space="preserve">PREA call: Not PREA  /  Sexual harassment  /  SEXUAL ABUSE</w:t>
            </w:r>
          </w:p>
          <w:p>
            <w:pPr>
              <w:spacing w:after="60" w:before="90" w:line="264"/>
            </w:pPr>
            <w:r>
              <w:rPr>
                <w:b w:val="false"/>
                <w:bCs w:val="false"/>
                <w:i w:val="false"/>
                <w:iCs w:val="false"/>
                <w:color w:val="1A1A1A"/>
                <w:sz w:val="24"/>
                <w:szCs w:val="24"/>
              </w:rPr>
              <w:t xml:space="preserve">Flip factors present: none / ____________________________________</w:t>
            </w:r>
          </w:p>
          <w:p>
            <w:pPr>
              <w:spacing w:after="60" w:before="90" w:line="264"/>
            </w:pPr>
            <w:r>
              <w:rPr>
                <w:b w:val="false"/>
                <w:bCs w:val="false"/>
                <w:i w:val="false"/>
                <w:iCs w:val="false"/>
                <w:color w:val="1A1A1A"/>
                <w:sz w:val="24"/>
                <w:szCs w:val="24"/>
              </w:rPr>
              <w:t xml:space="preserve">CPS report: made at ______ by ______  /  not made, because ______</w:t>
            </w:r>
          </w:p>
          <w:p>
            <w:pPr>
              <w:spacing w:after="60" w:before="90" w:line="264"/>
            </w:pPr>
            <w:r>
              <w:rPr>
                <w:b w:val="false"/>
                <w:bCs w:val="false"/>
                <w:i w:val="false"/>
                <w:iCs w:val="false"/>
                <w:color w:val="1A1A1A"/>
                <w:sz w:val="24"/>
                <w:szCs w:val="24"/>
              </w:rPr>
              <w:t xml:space="preserve">Protection and housing action taken: ____________________________</w:t>
            </w:r>
          </w:p>
          <w:p>
            <w:pPr>
              <w:spacing w:after="60" w:before="90" w:line="264"/>
            </w:pPr>
            <w:r>
              <w:rPr>
                <w:b w:val="false"/>
                <w:bCs w:val="false"/>
                <w:i w:val="false"/>
                <w:iCs w:val="false"/>
                <w:color w:val="1A1A1A"/>
                <w:sz w:val="24"/>
                <w:szCs w:val="24"/>
              </w:rPr>
              <w:t xml:space="preserve">Retaliation monitoring started: yes / no / not applicable</w:t>
            </w:r>
          </w:p>
          <w:p>
            <w:pPr>
              <w:spacing w:after="60" w:before="90" w:line="264"/>
            </w:pPr>
            <w:r>
              <w:rPr>
                <w:b w:val="false"/>
                <w:bCs w:val="false"/>
                <w:i w:val="false"/>
                <w:iCs w:val="false"/>
                <w:color w:val="1A1A1A"/>
                <w:sz w:val="24"/>
                <w:szCs w:val="24"/>
              </w:rPr>
              <w:t xml:space="preserve">Supervisor: ______________________  Date and time: ______________</w:t>
            </w:r>
          </w:p>
        </w:tc>
      </w:tr>
    </w:tbl>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7DDDD" w:color="auto" w:val="clear"/>
            <w:tcMar>
              <w:top w:type="dxa" w:w="60"/>
              <w:left w:type="dxa" w:w="100"/>
              <w:bottom w:type="dxa" w:w="60"/>
              <w:right w:type="dxa" w:w="100"/>
            </w:tcMar>
          </w:tcPr>
          <w:p>
            <w:pPr>
              <w:spacing w:after="60" w:before="60" w:line="252"/>
            </w:pPr>
            <w:r>
              <w:rPr>
                <w:b w:val="false"/>
                <w:bCs w:val="false"/>
                <w:i w:val="false"/>
                <w:iCs w:val="false"/>
                <w:color w:val="1A1A1A"/>
                <w:sz w:val="24"/>
                <w:szCs w:val="24"/>
              </w:rPr>
              <w:t xml:space="preserve"/>
            </w:r>
            <w:r>
              <w:rPr>
                <w:b/>
                <w:bCs/>
                <w:i w:val="false"/>
                <w:iCs w:val="false"/>
                <w:color w:val="1A1A1A"/>
                <w:sz w:val="24"/>
                <w:szCs w:val="24"/>
              </w:rPr>
              <w:t xml:space="preserve">If you are genuinely unsure, report.</w:t>
            </w:r>
            <w:r>
              <w:rPr>
                <w:b w:val="false"/>
                <w:bCs w:val="false"/>
                <w:i w:val="false"/>
                <w:iCs w:val="false"/>
                <w:color w:val="1A1A1A"/>
                <w:sz w:val="24"/>
                <w:szCs w:val="24"/>
              </w:rPr>
              <w:t xml:space="preserve"> The CANRA threshold is reasonable suspicion, which is deliberately low. Reporters have immunity. Failing to report is a crime. The risk is asymmetric on purpose, so classify fast where the chart is clear and report where it is not.</w:t>
            </w:r>
          </w:p>
        </w:tc>
      </w:tr>
    </w:tbl>
    <w:p>
      <w:pPr>
        <w:spacing w:before="140" w:line="252"/>
      </w:pPr>
      <w:r>
        <w:rPr>
          <w:b w:val="false"/>
          <w:bCs w:val="false"/>
          <w:i/>
          <w:iCs/>
          <w:color w:val="1A1A1A"/>
          <w:sz w:val="24"/>
          <w:szCs w:val="24"/>
        </w:rPr>
        <w:t xml:space="preserve">Not legal advice. Statutory questions, and every CANRA call in the grey, go to County Counsel.  </w:t>
      </w:r>
      <w:r>
        <w:rPr>
          <w:b w:val="false"/>
          <w:bCs w:val="false"/>
          <w:i/>
          <w:iCs/>
          <w:color w:val="595959"/>
          <w:sz w:val="24"/>
          <w:szCs w:val="24"/>
        </w:rPr>
        <w:t xml:space="preserve">Generated from drafts/supervisor-guide.json by npm run field-card, from gap register Revision 10. Do not hand-edit.</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Classification Card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00" w:before="20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2026-10-29T22:29:43.522Z</dcterms:created>
  <dcterms:modified xsi:type="dcterms:W3CDTF">2026-10-29T22:29:43.522Z</dcterms:modified>
</cp:coreProperties>
</file>

<file path=docProps/custom.xml><?xml version="1.0" encoding="utf-8"?>
<Properties xmlns="http://schemas.openxmlformats.org/officeDocument/2006/custom-properties" xmlns:vt="http://schemas.openxmlformats.org/officeDocument/2006/docPropsVTypes"/>
</file>