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0"/>
          <w:szCs w:val="40"/>
        </w:rPr>
        <w:t xml:space="preserve">Youth sexual conduct: what supervisors must do</w:t>
      </w:r>
    </w:p>
    <w:p>
      <w:pPr>
        <w:spacing w:after="420"/>
        <w:jc w:val="center"/>
      </w:pPr>
      <w:r>
        <w:rPr>
          <w:color w:val="5A5A5A"/>
          <w:sz w:val="26"/>
          <w:szCs w:val="26"/>
        </w:rPr>
        <w:t xml:space="preserve">A decision guide for comments, exposure, and touching between youth</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22"/>
                <w:szCs w:val="2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Where this guide quotes 28 CFR 115.6 and the Penal Code 11165.1 definitions, that text is corroborated from search, including exact-phrase matches against the Cornell and eCFR listings, and has NOT been read from the Code of Federal Regulations or the Penal Code directly, because network access to those sources is blocked from the drafting environment. The Title 15 citations are different: those were read in full from the edition effective 01/01/2019 and are quoted into the gap register. Confirm the federal and Penal Code quotations against primary source before this issues, alongside the CANRA questions already routed to County Counsel.</w:t>
            </w:r>
          </w:p>
        </w:tc>
      </w:tr>
    </w:tbl>
    <w:p>
      <w:pPr>
        <w:spacing w:after="0"/>
      </w:pPr>
    </w:p>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Never let one answer the other.</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They have different thresholds and they cross. Conduct can be PREA sexual abuse and not CPS reportable. Conduct can be CPS reportable and not fit PREA sexual harassment. Answering one does not answer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19"/>
                <w:szCs w:val="19"/>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19"/>
                <w:szCs w:val="19"/>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A single unwelcome sexualized comment directed at another youth, with no contact,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Sexualized comments, gestures, or actions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One youth exposes genitals to another youth, or masturbates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ESCALATE. Fact dependent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Not PREA on these facts. </w:t>
            </w:r>
            <w:r>
              <w:rPr>
                <w:color w:val="1A1A1A"/>
                <w:sz w:val="19"/>
                <w:szCs w:val="19"/>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Words alone are not conduct in violation of any offense enumerated at Penal Code 11165.1.</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 not tier 1.</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gestures, or actions of a derogatory or offensive nature, repeated and unwelcome, directed at the same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w:t>
            </w:r>
            <w:r>
              <w:rPr>
                <w:color w:val="1A1A1A"/>
                <w:sz w:val="19"/>
                <w:szCs w:val="19"/>
              </w:rPr>
              <w:t xml:space="preserve">Sexual harassment under 115.6, prong one. This is a reportable PREA incident and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Still not on these facts alone. Repetition makes it PREA; it does not by itself make it an enumerated Penal Code offense.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and that is a separate duty from the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115.367 wants at least 90 days of monitoring of the reporting youth's treatment, including disciplinary reports and housing or program changes,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genitals to another youth, or masturbates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only if repeated. </w:t>
            </w:r>
            <w:r>
              <w:rPr>
                <w:color w:val="1A1A1A"/>
                <w:sz w:val="19"/>
                <w:szCs w:val="19"/>
              </w:rPr>
              <w:t xml:space="preserve">Not sexual abuse, because there is no contact. It is an "action of a derogatory or offensive sexual nature" under the harassment prong, so a single incident still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Penal Code 314, indecent exposure, is not among the offenses enumerated at 11165.1. Section 647.6 is the only non-contact offense on that list and it turns on an abnormal sexual interest in children, which is a poor fit between similarly aged detained youth.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Consider whether the exposure was directed at a specific youth or general. Directed conduct is the stronger indicator for the protection assessment under 115.362.</w:t>
            </w:r>
          </w:p>
          <w:p>
            <w:pPr>
              <w:pStyle w:val="ListParagraph"/>
              <w:numPr>
                <w:ilvl w:val="0"/>
                <w:numId w:val="1"/>
              </w:numPr>
              <w:spacing w:after="60" w:before="40" w:line="264"/>
            </w:pPr>
            <w:r>
              <w:rPr>
                <w:color w:val="1A1A1A"/>
              </w:rPr>
              <w:t xml:space="preserve">Consider a Penal Code 314 referral separately. That is a law enforcement and District Attorney question, not a CANRA question, and the two do not travel together.</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This is sexual abuse under 115.6. The body areas are enumerated by name, contact through clothing counts, and the only exclusion is contact incidental to a physical altercation. It is not horseplay and it is not a tier below the comment cases. It is the most commonly waved-off conduct in this entire guide.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ESCALATE. Fact dependent. </w:t>
            </w:r>
            <w:r>
              <w:rPr>
                <w:color w:val="1A1A1A"/>
                <w:sz w:val="19"/>
                <w:szCs w:val="19"/>
              </w:rPr>
              <w:t xml:space="preserve">Depends on the facts and this is the row that needs County Counsel. Penal Code 243.4, sexual battery, is not among the offenses enumerated at 11165.1. Section 288 requires a victim under 14, or 14 or 15 with a perpetrator at least 10 years older, so between similarly aged detained youth it often will not apply. That produces the counterintuitive result that conduct which is unambiguously PREA sexual abuse may not be CANRA reportable on its face. Do not resolve this one from the table. Escalate it.</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 not after the facts are sorted out.</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an investigation of all allegations of sexual abuse; there is no discretion to decide investigation is unnecessary.</w:t>
            </w:r>
          </w:p>
          <w:p>
            <w:pPr>
              <w:pStyle w:val="ListParagraph"/>
              <w:numPr>
                <w:ilvl w:val="0"/>
                <w:numId w:val="1"/>
              </w:numPr>
              <w:spacing w:after="60" w:before="40" w:line="264"/>
            </w:pPr>
            <w:r>
              <w:rPr>
                <w:color w:val="1A1A1A"/>
              </w:rPr>
              <w:t xml:space="preserve">Make the CANRA determination deliberately, with the ages of both youth in front of you, and document the reasoning either way.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Sexual abuse under 115.6, at the most serious end. Full response.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YES. Report. </w:t>
            </w:r>
            <w:r>
              <w:rPr>
                <w:color w:val="1A1A1A"/>
                <w:sz w:val="19"/>
                <w:szCs w:val="19"/>
              </w:rPr>
              <w:t xml:space="preserve">Report. Penal Code 261, 286, 287, and 289 are all enumerated at 11165.1, and force or coercion removes the voluntary-conduct exception. Telephone report immediately or as soon as is practicably possible, written report on Department of Justice form SS 8572 within 36 hours.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4.</w:t>
            </w:r>
          </w:p>
          <w:p>
            <w:pPr>
              <w:pStyle w:val="ListParagraph"/>
              <w:numPr>
                <w:ilvl w:val="0"/>
                <w:numId w:val="1"/>
              </w:numPr>
              <w:spacing w:after="60" w:before="40" w:line="264"/>
            </w:pPr>
            <w:r>
              <w:rPr>
                <w:color w:val="1A1A1A"/>
              </w:rPr>
              <w:t xml:space="preserve">Mandated report by telephone immediately. Do not wait for the investigation, the shift to end, or a supervisor's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made the comment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CANRA column in tiers 3, 4, and 5, and in particular whether peer-on-peer touching between similarly aged detained youth is reportable where no enumerated offense clearly applies. That is the question staff actually face and it is the one this guide cannot answer on its own.</w:t>
      </w:r>
    </w:p>
    <w:p>
      <w:pPr>
        <w:pStyle w:val="ListParagraph"/>
        <w:numPr>
          <w:ilvl w:val="0"/>
          <w:numId w:val="1"/>
        </w:numPr>
        <w:spacing w:after="80" w:line="264"/>
      </w:pPr>
      <w:r>
        <w:rPr>
          <w:color w:val="1A1A1A"/>
        </w:rPr>
        <w:t xml:space="preserve">Whether Penal Code 647.6 can reach directed sexualized conduct between detained minors, which determines tier 3.</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2026-10-06T19:11:14.284Z</dcterms:created>
  <dcterms:modified xsi:type="dcterms:W3CDTF">2026-10-06T19:11:14.284Z</dcterms:modified>
</cp:coreProperties>
</file>

<file path=docProps/custom.xml><?xml version="1.0" encoding="utf-8"?>
<Properties xmlns="http://schemas.openxmlformats.org/officeDocument/2006/custom-properties" xmlns:vt="http://schemas.openxmlformats.org/officeDocument/2006/docPropsVTypes"/>
</file>