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11.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pStyle w:val="ListParagraph"/>
        <w:numPr>
          <w:ilvl w:val="0"/>
          <w:numId w:val="1"/>
        </w:numPr>
        <w:spacing w:after="80" w:line="264"/>
      </w:pPr>
      <w:r>
        <w:rPr>
          <w:color w:val="1A1A1A"/>
        </w:rPr>
        <w:t xml:space="preserve">OO 1453 Sexual Assault, eff. 04/25/2013, rev. 12/09/2019 (produced and read in full in Revision 10)</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OO 1453 Sexual Assault,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A formal written reported shall be completed and forwarded to Child Protective Services within 36 hours of receiving information concerning the incident.</w:t>
            </w:r>
          </w:p>
        </w:tc>
      </w:tr>
    </w:tbl>
    <w:p>
      <w:pPr>
        <w:spacing w:after="200" w:before="60"/>
      </w:pPr>
      <w:r>
        <w:rPr>
          <w:i/>
          <w:iCs/>
          <w:color w:val="5A5A5A"/>
          <w:sz w:val="24"/>
          <w:szCs w:val="24"/>
        </w:rPr>
        <w:t xml:space="preserve">VERIFIED in Revision 10 against OO 1453 as produced, eff. 04/25/2013, rev. 12/09/2019. This is the order's actual text, including the typographical error in "written reported", which is the order's and not a transcription slip.</w:t>
      </w:r>
    </w:p>
    <w:p>
      <w:pPr>
        <w:spacing w:after="60"/>
      </w:pPr>
      <w:r>
        <w:rPr>
          <w:b/>
          <w:bCs/>
          <w:color w:val="1A1A1A"/>
        </w:rPr>
        <w:t xml:space="preserve">PREA Policy and Procedure, Juvenile Institutions, V.A.4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 The PREA Policy has still never been produced. Replace this with the policy's real words before circulating.</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ListParagraph"/>
        <w:numPr>
          <w:ilvl w:val="0"/>
          <w:numId w:val="1"/>
        </w:numPr>
        <w:spacing w:after="80" w:line="264"/>
      </w:pPr>
      <w:r>
        <w:rPr>
          <w:color w:val="1A1A1A"/>
        </w:rPr>
        <w:t xml:space="preserve">CORRECT THE SCOPE AS WELL AS THE TIMELINE, new in Revision 10 from reading the whole of OO 1453. Every operative duty in that order is keyed to "sexual assault": the Purpose paragraph's staff reporting duty, I.A.9's CPS report, and I.A.15's incident review. Nothing in the three pages reaches sexual harassment, exposure, or touching not characterised as assault. But PC 11165.1(b)(4) makes the intentional touching of a child's intimate parts for sexual arousal reportable, and (b)(5) makes masturbation in a child's presence reportable on the first occurrence. So the order as written misses reportable conduct. The insert below is drafted to the CANRA trigger rather than to the word "assault", which fixes both defects in one amendment.</w:t>
      </w:r>
    </w:p>
    <w:p>
      <w:pPr>
        <w:pStyle w:val="ListParagraph"/>
        <w:numPr>
          <w:ilvl w:val="0"/>
          <w:numId w:val="1"/>
        </w:numPr>
        <w:spacing w:after="80" w:line="264"/>
      </w:pPr>
      <w:r>
        <w:rPr>
          <w:color w:val="1A1A1A"/>
        </w:rPr>
        <w:t xml:space="preserve">While I.A.9 is open, consider amending I.A.6 in the same cycle. It directs a Miranda warning before questioning a suspect and says nothing about the WIC 625.6 consultation with counsel, which has been mandatory and unwaivable for youth 17 and under since 01/01/2021. That is register row 91 and conflict 13, and it is a separate amendment rather than part of this one, but it is in the same order and the same revision cycle.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10 against OO 1453 as produced, eff. 04/25/2013, rev. 12/09/2019. I.A.9 and its section number are the order's own words and this half of the redline may now circulate as a true redline.</w:t>
            </w:r>
          </w:p>
          <w:p>
            <w:pPr>
              <w:pStyle w:val="ListParagraph"/>
              <w:numPr>
                <w:ilvl w:val="0"/>
                <w:numId w:val="1"/>
              </w:numPr>
              <w:spacing w:after="60" w:before="40" w:line="264"/>
            </w:pPr>
            <w:r>
              <w:rPr>
                <w:color w:val="1A1A1A"/>
              </w:rPr>
              <w:t xml:space="preserve">The PREA Policy has still never been produced. V.A.4 above is a reconstruction of what the register describes, not a quotation, and the section number traces to the register. Confirm it against the policy before circulating.</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That designation is still unconfirmed. Confirm before adopting it.</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p>
            <w:pPr>
              <w:pStyle w:val="ListParagraph"/>
              <w:numPr>
                <w:ilvl w:val="0"/>
                <w:numId w:val="1"/>
              </w:numPr>
              <w:spacing w:after="60" w:before="40" w:line="264"/>
            </w:pPr>
            <w:r>
              <w:rPr>
                <w:color w:val="1A1A1A"/>
              </w:rPr>
              <w:t xml:space="preserve">**Penal Code 261.5, 288.5 and 289.6 in the S-4A offence list are the drafter's judgment**, not sections the order enumerates and not sections this review has verified as the right additions. Only 287 and 289 are confirmed omissions, recorded against the order's own enumeration at II.G.1 and II.G.3. Confirm all three with County Counsel, or strike them and keep the successor-statute catch-all, which is what stops the next renumbering reopening the gap that 287 left. **The same caveat appears on the tracked changes copy of OO 1352, and the two say the same thing on purpose.**</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p>
            <w:pPr>
              <w:pStyle w:val="ListParagraph"/>
              <w:numPr>
                <w:ilvl w:val="0"/>
                <w:numId w:val="1"/>
              </w:numPr>
              <w:spacing w:after="60" w:before="40" w:line="264"/>
            </w:pPr>
            <w:r>
              <w:rPr>
                <w:color w:val="1A1A1A"/>
              </w:rPr>
              <w:t xml:space="preserve">CORRECTED IN REVISION 10. This change previously listed "OO 1453 Sexual Assault, records provisions" among its targets. OO 1453 was produced and read in full in Revision 10 and IT HAS NO RECORDS RETENTION PROVISION. Three pages, fifteen numbered items, none of which sets a retention period. I.A.11.c places evidence in the evidence locker at Intake and Booking, which is chain of custody rather than retention, and I.A.14 forwards investigative reports to the Supervising District Attorney and the Sheriff's Sexual Assaults Unit. The target has been removed. The practical effect narrows this change in the department's favour: the retention conflict is between Internal Affairs XI.C.1 and PREA Policy XVIII.B, with the Internal Complaints provision alongside them, and OO 1453 contributes nothing to reconcile.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2026-10-30T18:00:30.278Z</dcterms:created>
  <dcterms:modified xsi:type="dcterms:W3CDTF">2026-10-30T18:00:30.278Z</dcterms:modified>
</cp:coreProperties>
</file>

<file path=docProps/custom.xml><?xml version="1.0" encoding="utf-8"?>
<Properties xmlns="http://schemas.openxmlformats.org/officeDocument/2006/custom-properties" xmlns:vt="http://schemas.openxmlformats.org/officeDocument/2006/docPropsVTypes"/>
</file>