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Redlines</w:t>
      </w:r>
    </w:p>
    <w:p>
      <w:pPr>
        <w:spacing w:after="500"/>
        <w:jc w:val="center"/>
      </w:pPr>
      <w:r>
        <w:rPr>
          <w:color w:val="5A5A5A"/>
          <w:sz w:val="32"/>
          <w:szCs w:val="32"/>
        </w:rPr>
        <w:t xml:space="preserve">Recommended changes 1 to 7</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Amendment language for the seven changes correctable without new policy. Drawn from gap register Revision 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proposed amendment language prepared for internal remediation planning. Statutory questions, and every item in a Before adoption block,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a redline</w:t>
      </w:r>
    </w:p>
    <w:p>
      <w:pPr>
        <w:spacing w:after="120" w:line="276"/>
      </w:pPr>
      <w:r>
        <w:rPr>
          <w:color w:val="1A1A1A"/>
        </w:rPr>
        <w:t xml:space="preserve">Each change gives the provision to strike, the language to insert in its place, the conforming edits the amendment needs to be complete, and a Before adoption block. Read that block first.</w:t>
      </w:r>
    </w:p>
    <w:p>
      <w:pPr>
        <w:spacing w:after="120" w:line="276"/>
      </w:pPr>
      <w:r>
        <w:rPr>
          <w:color w:val="1A1A1A"/>
        </w:rPr>
        <w:t xml:space="preserve">Struck text is shaded and struck through. Where the source order has not been produced to this review, the struck text is a reconstruction of what the register describes, not a quotation, and each item says which it is. Inserted language is shaded and is written to be pasted into the order with its own numbering.</w:t>
      </w:r>
    </w:p>
    <w:p>
      <w:pPr>
        <w:spacing w:after="120" w:line="276"/>
      </w:pPr>
      <w:r>
        <w:rPr>
          <w:color w:val="1A1A1A"/>
        </w:rPr>
        <w:t xml:space="preserve">Items 1 through 7 require no new policy and can be completed on an amendment cycle. They are ordered as they appear in the master report.</w:t>
      </w:r>
    </w:p>
    <w:p>
      <w:pPr>
        <w:pStyle w:val="Heading2"/>
      </w:pPr>
      <w:r>
        <w:t xml:space="preserve">Source documents</w:t>
      </w:r>
    </w:p>
    <w:p>
      <w:pPr>
        <w:spacing w:after="120" w:line="276"/>
      </w:pPr>
      <w:r>
        <w:rPr>
          <w:color w:val="1A1A1A"/>
        </w:rPr>
        <w:t xml:space="preserve">Produced and read directly:</w:t>
      </w:r>
    </w:p>
    <w:p>
      <w:pPr>
        <w:pStyle w:val="ListParagraph"/>
        <w:numPr>
          <w:ilvl w:val="0"/>
          <w:numId w:val="1"/>
        </w:numPr>
        <w:spacing w:after="80" w:line="264"/>
      </w:pPr>
      <w:r>
        <w:rPr>
          <w:color w:val="1A1A1A"/>
        </w:rPr>
        <w:t xml:space="preserve">OO 1354.5 Room Confinement</w:t>
      </w:r>
    </w:p>
    <w:p>
      <w:pPr>
        <w:pStyle w:val="ListParagraph"/>
        <w:numPr>
          <w:ilvl w:val="0"/>
          <w:numId w:val="1"/>
        </w:numPr>
        <w:spacing w:after="80" w:line="264"/>
      </w:pPr>
      <w:r>
        <w:rPr>
          <w:color w:val="1A1A1A"/>
        </w:rPr>
        <w:t xml:space="preserve">OO 1390/1391 Discipline and Discipline Process</w:t>
      </w:r>
    </w:p>
    <w:p>
      <w:pPr>
        <w:pStyle w:val="ListParagraph"/>
        <w:numPr>
          <w:ilvl w:val="0"/>
          <w:numId w:val="1"/>
        </w:numPr>
        <w:spacing w:after="80" w:line="264"/>
      </w:pPr>
      <w:r>
        <w:rPr>
          <w:color w:val="1A1A1A"/>
        </w:rPr>
        <w:t xml:space="preserve">Internal Complaints (Administrative P&amp;P Manual)</w:t>
      </w:r>
    </w:p>
    <w:p>
      <w:pPr>
        <w:pStyle w:val="ListParagraph"/>
        <w:numPr>
          <w:ilvl w:val="0"/>
          <w:numId w:val="1"/>
        </w:numPr>
        <w:spacing w:after="80" w:line="264"/>
      </w:pPr>
      <w:r>
        <w:rPr>
          <w:color w:val="1A1A1A"/>
        </w:rPr>
        <w:t xml:space="preserve">Title 15, Minimum Standards for Juvenile Facilities, rev. 04/01/2014</w:t>
      </w:r>
    </w:p>
    <w:p>
      <w:pPr>
        <w:spacing w:after="120" w:line="276"/>
      </w:pPr>
      <w:r>
        <w:rPr>
          <w:color w:val="1A1A1A"/>
        </w:rPr>
        <w:t xml:space="preserve">Not produced. Every provision cited in these documents traces to the register, which traces to the earlier review that read them. Confirm each section number and its wording against the PDF before any of this is circulated:</w:t>
      </w:r>
    </w:p>
    <w:p>
      <w:pPr>
        <w:pStyle w:val="ListParagraph"/>
        <w:numPr>
          <w:ilvl w:val="0"/>
          <w:numId w:val="1"/>
        </w:numPr>
        <w:spacing w:after="80" w:line="264"/>
      </w:pPr>
      <w:r>
        <w:rPr>
          <w:color w:val="1A1A1A"/>
        </w:rPr>
        <w:t xml:space="preserve">OO 1352 Classification</w:t>
      </w:r>
    </w:p>
    <w:p>
      <w:pPr>
        <w:pStyle w:val="ListParagraph"/>
        <w:numPr>
          <w:ilvl w:val="0"/>
          <w:numId w:val="1"/>
        </w:numPr>
        <w:spacing w:after="80" w:line="264"/>
      </w:pPr>
      <w:r>
        <w:rPr>
          <w:color w:val="1A1A1A"/>
        </w:rPr>
        <w:t xml:space="preserve">OO 1352.5 Transgender and Intersex Youth</w:t>
      </w:r>
    </w:p>
    <w:p>
      <w:pPr>
        <w:pStyle w:val="ListParagraph"/>
        <w:numPr>
          <w:ilvl w:val="0"/>
          <w:numId w:val="1"/>
        </w:numPr>
        <w:spacing w:after="80" w:line="264"/>
      </w:pPr>
      <w:r>
        <w:rPr>
          <w:color w:val="1A1A1A"/>
        </w:rPr>
        <w:t xml:space="preserve">PREA Policy and Procedure, Juvenile Institutions</w:t>
      </w:r>
    </w:p>
    <w:p>
      <w:pPr>
        <w:pStyle w:val="ListParagraph"/>
        <w:numPr>
          <w:ilvl w:val="0"/>
          <w:numId w:val="1"/>
        </w:numPr>
        <w:spacing w:after="80" w:line="264"/>
      </w:pPr>
      <w:r>
        <w:rPr>
          <w:color w:val="1A1A1A"/>
        </w:rPr>
        <w:t xml:space="preserve">OO 1453 Sexual Assault</w:t>
      </w:r>
    </w:p>
    <w:p>
      <w:pPr>
        <w:pStyle w:val="ListParagraph"/>
        <w:numPr>
          <w:ilvl w:val="0"/>
          <w:numId w:val="1"/>
        </w:numPr>
        <w:spacing w:after="80" w:line="264"/>
      </w:pPr>
      <w:r>
        <w:rPr>
          <w:color w:val="1A1A1A"/>
        </w:rPr>
        <w:t xml:space="preserve">Internal Affairs Administrative Investigations</w:t>
      </w:r>
    </w:p>
    <w:p>
      <w:pPr>
        <w:pStyle w:val="Heading2"/>
      </w:pPr>
      <w:r>
        <w:t xml:space="preserve">The seven changes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5200"/>
        <w:gridCol w:w="1200"/>
        <w:gridCol w:w="3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5200"/>
            <w:shd w:fill="E8E8E8" w:color="auto" w:val="clear"/>
            <w:tcMar>
              <w:top w:type="dxa" w:w="60"/>
              <w:left w:type="dxa" w:w="100"/>
              <w:bottom w:type="dxa" w:w="60"/>
              <w:right w:type="dxa" w:w="100"/>
            </w:tcMar>
          </w:tcPr>
          <w:p>
            <w:pPr>
              <w:spacing w:after="40" w:before="40" w:line="240"/>
            </w:pPr>
            <w:r>
              <w:rPr>
                <w:b/>
                <w:bCs/>
                <w:color w:val="1A1A1A"/>
                <w:sz w:val="24"/>
                <w:szCs w:val="24"/>
              </w:rPr>
              <w:t xml:space="preserve">Change</w:t>
            </w:r>
          </w:p>
        </w:tc>
        <w:tc>
          <w:tcPr>
            <w:tcW w:type="dxa" w:w="120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060"/>
            <w:shd w:fill="E8E8E8"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Rescind the S-8 single-room mandate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(eff. 12/09/2019, rev. 02/27/2020), II.M, III.E, III.I</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Convert the transgender and intersex single-room rule to a presumptive, documented outcome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 03/01/2019), III.I</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Correct the mandated child abuse reporting standard and relocate the duty</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V.A.4</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Correct the cross-facility notification timeline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V.A.7</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Rewrite the false allegations provision to a bad-faith standard</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XIV.A</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Delete the S-4 victim-to-perpetrator inference and split the code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II.F.2 and its note, II.G, II.H, III.E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Adopt a single reconciled records retention schedule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XI.C.1</w:t>
            </w:r>
          </w:p>
        </w:tc>
      </w:tr>
    </w:tbl>
    <w:p>
      <w:r>
        <w:br w:type="page"/>
      </w:r>
    </w:p>
    <w:p>
      <w:pPr>
        <w:pStyle w:val="Heading1"/>
      </w:pPr>
      <w:r>
        <w:t xml:space="preserve">1. Rescind the S-8 single-room mandate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(eff. 12/09/2019, rev. 02/27/2020), II.M, III.E,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1324(k), verified against the edition effective 01/01/2019. Revision 5 cited this as 1324(h) from the 04/01/2014 edition; the 2019 rewrite renumbered it and broadened it</w:t>
            </w:r>
          </w:p>
          <w:p>
            <w:pPr>
              <w:spacing w:after="40" w:before="20" w:line="240"/>
            </w:pPr>
            <w:r>
              <w:rPr>
                <w:color w:val="1A1A1A"/>
                <w:sz w:val="24"/>
                <w:szCs w:val="24"/>
              </w:rPr>
              <w:t xml:space="preserve">15 CCR 1352(f), verified against the edition effective 01/01/2019, a third and independent hook</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36, 75</w:t>
            </w:r>
          </w:p>
        </w:tc>
      </w:tr>
    </w:tbl>
    <w:p>
      <w:pPr>
        <w:pStyle w:val="Heading2"/>
      </w:pPr>
      <w:r>
        <w:t xml:space="preserve">The defect</w:t>
      </w:r>
    </w:p>
    <w:p>
      <w:pPr>
        <w:spacing w:after="120" w:line="276"/>
      </w:pPr>
      <w:r>
        <w:rPr>
          <w:color w:val="1A1A1A"/>
        </w:rPr>
        <w:t xml:space="preserve">OO 1352 II.M creates classification S-8 for any LGBTQI youth, and III.I requires single-room housing at all times for S-8. 15 CCR 1352(e) prohibits exactly that, and it has done so since at least April 1, 2014, which is verified against the produced text. S-8 was created December 9, 2019 and retained on the February 27, 2020 revision, five and a half years after the state rule was already in force. The provision also contradicts the Purpose and Scope paragraph of OO 1352 itself, PREA Policy III.E, and OO 1352.5 III.H, which took effect March 1, 2019 and states that staff shall not consider a youth's sexual orientation or gender identity as a reason to isolate or withhold program options. S-8 is materially broader than the OO 1352.5 III.I provision, because it sweeps in lesbian, gay, bisexual, and questioning youth for whom no anatomical privacy rationale exists at all. 15 CCR 1324(k), verified against the edition effective 01/01/2019, supplies a second and independent hook: the policy and procedure manual must itself bar classification and restrictive housing decisions made solely on these bases, so S-8 is a defect in the required contents of the manual as well as an operational violation.</w:t>
      </w:r>
    </w:p>
    <w:p>
      <w:pPr>
        <w:pStyle w:val="Heading2"/>
      </w:pPr>
      <w:r>
        <w:t xml:space="preserve">Strike</w:t>
      </w:r>
    </w:p>
    <w:p>
      <w:pPr>
        <w:spacing w:after="60"/>
      </w:pPr>
      <w:r>
        <w:rPr>
          <w:b/>
          <w:bCs/>
          <w:color w:val="1A1A1A"/>
        </w:rPr>
        <w:t xml:space="preserve">OO 1352 II.M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S-8. Classification assigned to any youth who is lesbian, gay, bisexual, transgender, questioning, or intersex.</w:t>
            </w:r>
          </w:p>
        </w:tc>
      </w:tr>
    </w:tbl>
    <w:p>
      <w:pPr>
        <w:spacing w:after="200" w:before="60"/>
      </w:pPr>
      <w:r>
        <w:rPr>
          <w:i/>
          <w:iCs/>
          <w:color w:val="5A5A5A"/>
          <w:sz w:val="24"/>
          <w:szCs w:val="24"/>
        </w:rPr>
        <w:t xml:space="preserve">Described in the register, not read in this review.</w:t>
      </w:r>
    </w:p>
    <w:p>
      <w:pPr>
        <w:spacing w:after="60"/>
      </w:pPr>
      <w:r>
        <w:rPr>
          <w:b/>
          <w:bCs/>
          <w:color w:val="1A1A1A"/>
        </w:rPr>
        <w:t xml:space="preserve">OO 1352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Youth classified S-8 shall be housed in a single room at all times.</w:t>
            </w:r>
          </w:p>
        </w:tc>
      </w:tr>
    </w:tbl>
    <w:p>
      <w:pPr>
        <w:spacing w:after="200" w:before="60"/>
      </w:pPr>
      <w:r>
        <w:rPr>
          <w:i/>
          <w:iCs/>
          <w:color w:val="5A5A5A"/>
          <w:sz w:val="24"/>
          <w:szCs w:val="24"/>
        </w:rPr>
        <w:t xml:space="preserve">Described in the register, not read in this review.</w:t>
      </w:r>
    </w:p>
    <w:p>
      <w:pPr>
        <w:spacing w:after="60"/>
      </w:pPr>
      <w:r>
        <w:rPr>
          <w:b/>
          <w:bCs/>
          <w:color w:val="1A1A1A"/>
        </w:rPr>
        <w:t xml:space="preserve">OO 1352 III.E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Every S-8 entry in the housing matrix.</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 II.M,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Prohibited bases for separation and single occupancy assignment</w:t>
            </w:r>
          </w:p>
          <w:p>
            <w:pPr>
              <w:spacing w:after="120" w:line="276"/>
            </w:pPr>
            <w:r>
              <w:rPr>
                <w:color w:val="1A1A1A"/>
              </w:rPr>
              <w:t xml:space="preserve">1. 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mental or physical disability, or HIV status.</w:t>
            </w:r>
          </w:p>
          <w:p>
            <w:pPr>
              <w:spacing w:after="120" w:line="276"/>
            </w:pPr>
            <w:r>
              <w:rPr>
                <w:color w:val="1A1A1A"/>
              </w:rPr>
              <w:t xml:space="preserve">2. 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p>
          <w:p>
            <w:pPr>
              <w:spacing w:after="120" w:line="276"/>
            </w:pPr>
            <w:r>
              <w:rPr>
                <w:color w:val="1A1A1A"/>
              </w:rPr>
              <w:t xml:space="preserve">3. 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p>
          <w:p>
            <w:pPr>
              <w:spacing w:after="60" w:line="276"/>
            </w:pPr>
            <w:r>
              <w:rPr>
                <w:color w:val="1A1A1A"/>
              </w:rPr>
              <w:t xml:space="preserve">4. No classification code shall be created or maintained whose assignment carries an automatic housing consequence on any basis listed in paragraph 1.</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Renumber the balance of section II if II.M is struck rather than replaced. The replacement language above is written to occupy II.M so that no renumbering is needed.</w:t>
      </w:r>
    </w:p>
    <w:p>
      <w:pPr>
        <w:pStyle w:val="ListParagraph"/>
        <w:numPr>
          <w:ilvl w:val="0"/>
          <w:numId w:val="1"/>
        </w:numPr>
        <w:spacing w:after="80" w:line="264"/>
      </w:pPr>
      <w:r>
        <w:rPr>
          <w:color w:val="1A1A1A"/>
        </w:rPr>
        <w:t xml:space="preserve">Remove S-8 from the JPIP classification code table and from any classification worksheet, intake form, or screen that offers it, so the code cannot be assigned after the order is amended.</w:t>
      </w:r>
    </w:p>
    <w:p>
      <w:pPr>
        <w:pStyle w:val="ListParagraph"/>
        <w:numPr>
          <w:ilvl w:val="0"/>
          <w:numId w:val="1"/>
        </w:numPr>
        <w:spacing w:after="80" w:line="264"/>
      </w:pPr>
      <w:r>
        <w:rPr>
          <w:color w:val="1A1A1A"/>
        </w:rPr>
        <w:t xml:space="preserve">Identify every youth currently carrying S-8 and re-determine housing individually under OO 1352.5 III.B and III.F within a stated number of days, documenting each outcome. Without this step the order changes and the practice does not.</w:t>
      </w:r>
    </w:p>
    <w:p>
      <w:pPr>
        <w:pStyle w:val="ListParagraph"/>
        <w:numPr>
          <w:ilvl w:val="0"/>
          <w:numId w:val="1"/>
        </w:numPr>
        <w:spacing w:after="80" w:line="264"/>
      </w:pPr>
      <w:r>
        <w:rPr>
          <w:color w:val="1A1A1A"/>
        </w:rPr>
        <w:t xml:space="preserve">Add the amended provision to the next classification officer training cycle and to the OO 1322 training record.</w:t>
      </w:r>
    </w:p>
    <w:p>
      <w:pPr>
        <w:pStyle w:val="ListParagraph"/>
        <w:numPr>
          <w:ilvl w:val="0"/>
          <w:numId w:val="1"/>
        </w:numPr>
        <w:spacing w:after="80" w:line="264"/>
      </w:pPr>
      <w:r>
        <w:rPr>
          <w:color w:val="1A1A1A"/>
        </w:rPr>
        <w:t xml:space="preserve">Confirm that the Purpose and Scope paragraph of OO 1352, PREA Policy III.E, and OO 1352.5 III.H now read consistently with the amendment. All three already state the correct rule.</w:t>
      </w:r>
    </w:p>
    <w:p>
      <w:pPr>
        <w:pStyle w:val="Heading2"/>
      </w:pPr>
      <w:r>
        <w:t xml:space="preserve">Why</w:t>
      </w:r>
    </w:p>
    <w:p>
      <w:pPr>
        <w:spacing w:after="120" w:line="276"/>
      </w:pPr>
      <w:r>
        <w:rPr>
          <w:color w:val="1A1A1A"/>
        </w:rPr>
        <w:t xml:space="preserve">This is the strongest municipal liability exhibit in the packet and the clearest breach of a mandatory Title 15 duty. Government Code 815.6 attaches liability to the failure to discharge a mandatory duty imposed by enactment, and a regulation is an enactment under Government Code 810.6. The correction is a deletion and a four-paragraph insert, and its value grows the earlier it is dated: an amendment adopted before an incident is a compliance record, and one adopted after is an admission with a date on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 has never been produced to this review. The section numbers II.M, III.E, and III.I come from the register, which traces to the earlier review that read the order. Pull the PDF and confirm the numbering and the actual wording before this goes to the policy shop.</w:t>
            </w:r>
          </w:p>
          <w:p>
            <w:pPr>
              <w:pStyle w:val="ListParagraph"/>
              <w:numPr>
                <w:ilvl w:val="0"/>
                <w:numId w:val="1"/>
              </w:numPr>
              <w:spacing w:after="60" w:before="40" w:line="264"/>
            </w:pPr>
            <w:r>
              <w:rPr>
                <w:color w:val="1A1A1A"/>
              </w:rPr>
              <w:t xml:space="preserve">The struck text above is a reconstruction of what the register describes, not a quotation. Replace it with the order's real words before circulating the redline.</w:t>
            </w:r>
          </w:p>
          <w:p>
            <w:pPr>
              <w:pStyle w:val="ListParagraph"/>
              <w:numPr>
                <w:ilvl w:val="0"/>
                <w:numId w:val="1"/>
              </w:numPr>
              <w:spacing w:after="60" w:before="40" w:line="264"/>
            </w:pPr>
            <w:r>
              <w:rPr>
                <w:color w:val="1A1A1A"/>
              </w:rPr>
              <w:t xml:space="preserve">The 15 CCR 1352(e) language quoted in the insert is now verified against both editions and is word for word identical in each, so it did not move. Its neighbours did: the non-discrimination provision went from 1324(h) to 1324(k), which is corrected above. 1352(f) is new in the 2019 edition and is added to the authority line.</w:t>
            </w:r>
          </w:p>
        </w:tc>
      </w:tr>
    </w:tbl>
    <w:p>
      <w:r>
        <w:br w:type="page"/>
      </w:r>
    </w:p>
    <w:p>
      <w:pPr>
        <w:pStyle w:val="Heading1"/>
      </w:pPr>
      <w:r>
        <w:t xml:space="preserve">2. Convert the transgender and intersex single-room rule to a presumptive, documented outcome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1352.5 Transgender and Intersex Youth (eff. 03/01/2019),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115.342(c)-(g)</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1352.5, cited but not confirmed: absent from the produced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37, 75</w:t>
            </w:r>
          </w:p>
        </w:tc>
      </w:tr>
    </w:tbl>
    <w:p>
      <w:pPr>
        <w:pStyle w:val="Heading2"/>
      </w:pPr>
      <w:r>
        <w:t xml:space="preserve">The defect</w:t>
      </w:r>
    </w:p>
    <w:p>
      <w:pPr>
        <w:spacing w:after="120" w:line="276"/>
      </w:pPr>
      <w:r>
        <w:rPr>
          <w:color w:val="1A1A1A"/>
        </w:rPr>
        <w:t xml:space="preserve">OO 1352.5 is otherwise a strong order. It supplies individualized assessment at admission, no automatic housing by external anatomy, documented reasons for any placement not matching gender identity, consideration of the youth's own preferences and provider recommendations, monthly reassessment which exceeds the twice-yearly federal minimum, private showers for all youth, and preservation of program participation. III.I undoes part of it by providing that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Categorical is still categorical.</w:t>
      </w:r>
    </w:p>
    <w:p>
      <w:pPr>
        <w:pStyle w:val="Heading2"/>
      </w:pPr>
      <w:r>
        <w:t xml:space="preserve">Strike</w:t>
      </w:r>
    </w:p>
    <w:p>
      <w:pPr>
        <w:spacing w:after="60"/>
      </w:pPr>
      <w:r>
        <w:rPr>
          <w:b/>
          <w:bCs/>
          <w:color w:val="1A1A1A"/>
        </w:rPr>
        <w:t xml:space="preserve">OO 1352.5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transgender and intersex youth shall be provided a single room.</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1352.5 III.I,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Room assignment</w:t>
            </w:r>
          </w:p>
          <w:p>
            <w:pPr>
              <w:spacing w:after="120" w:line="276"/>
            </w:pPr>
            <w:r>
              <w:rPr>
                <w:color w:val="1A1A1A"/>
              </w:rPr>
              <w:t xml:space="preserve">1. The room assignment of a transgender or intersex youth shall be determined individually under III.B and III.F. It shall not be determined by the youth's status as transgender or intersex.</w:t>
            </w:r>
          </w:p>
          <w:p>
            <w:pPr>
              <w:spacing w:after="120" w:line="276"/>
            </w:pPr>
            <w:r>
              <w:rPr>
                <w:color w:val="1A1A1A"/>
              </w:rPr>
              <w:t xml:space="preserve">2. Single occupancy housing is the presumptive outcome of that determination, and the presumption is overcome where the individualized determination supports shared housing consistent with the youth's own perception of where the youth will be most secure. The determination shall be revisited at each reassessment required by III.G.</w:t>
            </w:r>
          </w:p>
          <w:p>
            <w:pPr>
              <w:spacing w:after="120" w:line="276"/>
            </w:pPr>
            <w:r>
              <w:rPr>
                <w:color w:val="1A1A1A"/>
              </w:rPr>
              <w:t xml:space="preserve">3. Whether the determination results in single occupancy or shared housing, the reasons shall be documented in the JPIP classification comments with the date and justification required by III.F, including the youth's stated preference and, where the assignment departs from that preference, the reason it does.</w:t>
            </w:r>
          </w:p>
          <w:p>
            <w:pPr>
              <w:spacing w:after="120" w:line="276"/>
            </w:pPr>
            <w:r>
              <w:rPr>
                <w:color w:val="1A1A1A"/>
              </w:rPr>
              <w:t xml:space="preserve">4. A single occupancy assignment made under this section shall not reduce the youth's access to programming, education, recreation, visiting, or any other activity, as III.K requires.</w:t>
            </w:r>
          </w:p>
          <w:p>
            <w:pPr>
              <w:spacing w:after="60" w:line="276"/>
            </w:pPr>
            <w:r>
              <w:rPr>
                <w:color w:val="1A1A1A"/>
              </w:rPr>
              <w:t xml:space="preserve">5. Nothing in this section limits a youth's right to request single occupancy housing. A request shall be documented under III.F and honored where operationally feasible.</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a line to the JPIP classification comment prompt so the documentation required by paragraph 3 is captured at the point of decision rather than reconstructed later.</w:t>
      </w:r>
    </w:p>
    <w:p>
      <w:pPr>
        <w:pStyle w:val="ListParagraph"/>
        <w:numPr>
          <w:ilvl w:val="0"/>
          <w:numId w:val="1"/>
        </w:numPr>
        <w:spacing w:after="80" w:line="264"/>
      </w:pPr>
      <w:r>
        <w:rPr>
          <w:color w:val="1A1A1A"/>
        </w:rPr>
        <w:t xml:space="preserve">Confirm the cross-reference in OO 1352 after change 1 is adopted, so the two orders point at the same individualized determination.</w:t>
      </w:r>
    </w:p>
    <w:p>
      <w:pPr>
        <w:pStyle w:val="ListParagraph"/>
        <w:numPr>
          <w:ilvl w:val="0"/>
          <w:numId w:val="1"/>
        </w:numPr>
        <w:spacing w:after="80" w:line="264"/>
      </w:pPr>
      <w:r>
        <w:rPr>
          <w:color w:val="1A1A1A"/>
        </w:rPr>
        <w:t xml:space="preserve">Cross-reference OO 1360 IV to OO 1352.5 IV.A.3.b on searches, which is a separate open recommendation and is cheapest to adopt in the same amendment cycle.</w:t>
      </w:r>
    </w:p>
    <w:p>
      <w:pPr>
        <w:pStyle w:val="Heading2"/>
      </w:pPr>
      <w:r>
        <w:t xml:space="preserve">Why</w:t>
      </w:r>
    </w:p>
    <w:p>
      <w:pPr>
        <w:spacing w:after="120" w:line="276"/>
      </w:pPr>
      <w:r>
        <w:rPr>
          <w:color w:val="1A1A1A"/>
        </w:rPr>
        <w:t xml:space="preserve">Preserves the protective intent that produced III.I while removing the categorical defect, and resolves the internal contradiction with III.B, III.F, and III.H of the same order. The presumption does the operational work that the mandate was doing, and the documentation requirement is what makes it a determination rather than a rule in different words. State the presumption plainly, and audit the JPIP entries: a presumption applied without a real determination is the same defect wearing better clothes.</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1352.5 has never been produced to this review. Confirm the III.I numbering and wording against the PDF.</w:t>
            </w:r>
          </w:p>
          <w:p>
            <w:pPr>
              <w:pStyle w:val="ListParagraph"/>
              <w:numPr>
                <w:ilvl w:val="0"/>
                <w:numId w:val="1"/>
              </w:numPr>
              <w:spacing w:after="60" w:before="40" w:line="264"/>
            </w:pPr>
            <w:r>
              <w:rPr>
                <w:color w:val="1A1A1A"/>
              </w:rPr>
              <w:t xml:space="preserve">The 15 CCR 1352.5 citation is carried forward unconfirmed. That section does not exist in the produced 04/01/2014 edition of Title 15. Obtain the current BSCC edition before quoting 1352.5 in the amendment's authority line.</w:t>
            </w:r>
          </w:p>
        </w:tc>
      </w:tr>
    </w:tbl>
    <w:p>
      <w:r>
        <w:br w:type="page"/>
      </w:r>
    </w:p>
    <w:p>
      <w:pPr>
        <w:pStyle w:val="Heading1"/>
      </w:pPr>
      <w:r>
        <w:t xml:space="preserve">3. Correct the mandated child abuse reporting standard and relocate the duty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V.A.4</w:t>
            </w:r>
          </w:p>
          <w:p>
            <w:pPr>
              <w:spacing w:after="40" w:before="20" w:line="240"/>
            </w:pPr>
            <w:r>
              <w:rPr>
                <w:color w:val="1A1A1A"/>
                <w:sz w:val="24"/>
                <w:szCs w:val="24"/>
              </w:rPr>
              <w:t xml:space="preserve">OO 1453 Sexual Assault (rev. 12/09/2019), I.A.9</w:t>
            </w:r>
          </w:p>
          <w:p>
            <w:pPr>
              <w:spacing w:after="40" w:before="20" w:line="240"/>
            </w:pPr>
            <w:r>
              <w:rPr>
                <w:color w:val="1A1A1A"/>
                <w:sz w:val="24"/>
                <w:szCs w:val="24"/>
              </w:rPr>
              <w:t xml:space="preserve">New department-wide General Order on child abuse and neglect reporting</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115.361(b)</w:t>
            </w:r>
          </w:p>
          <w:p>
            <w:pPr>
              <w:spacing w:after="40" w:before="20" w:line="240"/>
            </w:pPr>
            <w:r>
              <w:rPr>
                <w:color w:val="1A1A1A"/>
                <w:sz w:val="24"/>
                <w:szCs w:val="24"/>
              </w:rPr>
              <w:t xml:space="preserve">Penal Code 11166(a), 11165.9, 11166(i)(1), 11166(j), 11172(a)</w:t>
            </w:r>
          </w:p>
          <w:p>
            <w:pPr>
              <w:spacing w:after="40" w:before="20" w:line="240"/>
            </w:pPr>
            <w:r>
              <w:rPr>
                <w:color w:val="1A1A1A"/>
                <w:sz w:val="24"/>
                <w:szCs w:val="24"/>
              </w:rPr>
              <w:t xml:space="preserve">Penal Code 11166(c), penalties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48, 77</w:t>
            </w:r>
          </w:p>
        </w:tc>
      </w:tr>
    </w:tbl>
    <w:p>
      <w:pPr>
        <w:pStyle w:val="Heading2"/>
      </w:pPr>
      <w:r>
        <w:t xml:space="preserve">The defect</w:t>
      </w:r>
    </w:p>
    <w:p>
      <w:pPr>
        <w:spacing w:after="120" w:line="276"/>
      </w:pPr>
      <w:r>
        <w:rPr>
          <w:color w:val="1A1A1A"/>
        </w:rPr>
        <w:t xml:space="preserve">The twenty-four hour Child Protective Services timeline appears in two departmental documents. PREA Policy V.A.4 states it, and OO 1453 I.A.9 restates it: all incidents of sexual assault shall be reported to Child Protective Services verbally within twenty-four hours, with the written report within thirty-six hours. Penal Code 11166(a) requires the telephone report immediately or as soon as is practicably possible. OO 1453 was last revised December 9, 2019, six years after the PREA policy, so the department restated the error rather than catching it on review. The Code of Conduct at VII.A.1 states the standard correctly, so three departmental documents address the same duty and two of them are wrong. A policy that tells a mandated reporter a report is timely at twenty-three hours is telling that employee to commit a misdemeanor, and the employee, not the department, carries that exposure.</w:t>
      </w:r>
    </w:p>
    <w:p>
      <w:pPr>
        <w:pStyle w:val="Heading2"/>
      </w:pPr>
      <w:r>
        <w:t xml:space="preserve">Strike</w:t>
      </w:r>
    </w:p>
    <w:p>
      <w:pPr>
        <w:spacing w:after="60"/>
      </w:pPr>
      <w:r>
        <w:rPr>
          <w:b/>
          <w:bCs/>
          <w:color w:val="1A1A1A"/>
        </w:rPr>
        <w:t xml:space="preserve">PREA Policy V.A.4 and OO 1453 I.A.9, the same defect in both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with a written report submitted within 36 hours.</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Stage one, the interim in-place correction. Adopt in PREA Policy V.A.4 and OO 1453 I.A.9 now, without waiting for the General Order.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Mandated reporting of child abuse and neglect</w:t>
            </w:r>
          </w:p>
          <w:p>
            <w:pPr>
              <w:spacing w:after="120" w:line="276"/>
            </w:pPr>
            <w:r>
              <w:rPr>
                <w:color w:val="1A1A1A"/>
              </w:rPr>
              <w:t xml:space="preserve">1. An employee who, in their professional capacity or within the scope of their employment, has knowledge of or observes a resident whom the employee knows or reasonably suspects has been the victim of child abuse or neglect shall make a report to an agency specified in Penal Code section 11165.9 immediately, or as soon as is practicably possible, by telephone, and shall prepare and send, fax, or electronically transmit a written follow-up report on Department of Justice form SS 8572 within thirty-six hours of receiving the information concerning the incident.</w:t>
            </w:r>
          </w:p>
          <w:p>
            <w:pPr>
              <w:spacing w:after="120" w:line="276"/>
            </w:pPr>
            <w:r>
              <w:rPr>
                <w:color w:val="1A1A1A"/>
              </w:rPr>
              <w:t xml:space="preserve">2. The duty imposed by paragraph 1 is individual and may not be delegated. Notifying a supervisor, the Duty Supervisor, Internal Affairs, or any departmental office does not satisfy the duty and does not delay it. Internal notification requirements in this policy are in addition to the mandated report, not a substitute for it and not a step before it.</w:t>
            </w:r>
          </w:p>
          <w:p>
            <w:pPr>
              <w:spacing w:after="120" w:line="276"/>
            </w:pPr>
            <w:r>
              <w:rPr>
                <w:color w:val="1A1A1A"/>
              </w:rPr>
              <w:t xml:space="preserve">3. No supervisor or administrator shall impede or inhibit a report, and no employee shall be subject to any sanction for making a report.</w:t>
            </w:r>
          </w:p>
          <w:p>
            <w:pPr>
              <w:spacing w:after="60" w:line="276"/>
            </w:pPr>
            <w:r>
              <w:rPr>
                <w:color w:val="1A1A1A"/>
              </w:rPr>
              <w:t xml:space="preserve">4. Where the department receives a report of suspected child abuse or neglect in its capacity as a county probation department, it shall itself report the information to the law enforcement agency having jurisdiction over the case, to the agency responsible for investigating the matter under Welfare and Institutions Code section 300, and to the district attorney's office, by telephone, fax, or electronic transmission immediately or as soon as practicably possible, with the written report within thirty-six hours.</w:t>
            </w:r>
          </w:p>
        </w:tc>
      </w:tr>
    </w:tbl>
    <w:p>
      <w:pPr>
        <w:spacing w:after="140"/>
      </w:pPr>
      <w:r>
        <w:rPr>
          <w:color w:val="1A1A1A"/>
        </w:rPr>
        <w:t xml:space="preserve"/>
      </w:r>
    </w:p>
    <w:p>
      <w:pPr>
        <w:spacing w:after="60"/>
      </w:pPr>
      <w:r>
        <w:rPr>
          <w:b/>
          <w:bCs/>
          <w:color w:val="1A1A1A"/>
        </w:rPr>
        <w:t xml:space="preserve">Stage two, once the General Order issues. Replaces stage one in PREA Policy V.A.4 and OO 1453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Cross-reference</w:t>
            </w:r>
          </w:p>
          <w:p>
            <w:pPr>
              <w:spacing w:after="60" w:line="276"/>
            </w:pPr>
            <w:r>
              <w:rPr>
                <w:color w:val="1A1A1A"/>
              </w:rPr>
              <w:t xml:space="preserve">Any incident of suspected child abuse or neglect, including any sexual abuse or sexual assault of a resident, shall be reported in accordance with the General Order on Mandatory Reporting of Child Abuse and Neglect. Nothing in this policy alters, delays, or adds a condition to the duty imposed by Penal Code section 11166(a).</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Do not delete the incident reporting and Duty Supervisor notification duties in either document. Paragraph 2 of stage one is drafted so the internal duties survive alongside the mandated report rather than competing with it.</w:t>
      </w:r>
    </w:p>
    <w:p>
      <w:pPr>
        <w:pStyle w:val="ListParagraph"/>
        <w:numPr>
          <w:ilvl w:val="0"/>
          <w:numId w:val="1"/>
        </w:numPr>
        <w:spacing w:after="80" w:line="264"/>
      </w:pPr>
      <w:r>
        <w:rPr>
          <w:color w:val="1A1A1A"/>
        </w:rPr>
        <w:t xml:space="preserve">Conform the Code of Conduct VII.A.1 to the same cross-reference once the General Order issues. It is currently correct, so it is a consistency edit, not a correction.</w:t>
      </w:r>
    </w:p>
    <w:p>
      <w:pPr>
        <w:pStyle w:val="ListParagraph"/>
        <w:numPr>
          <w:ilvl w:val="0"/>
          <w:numId w:val="1"/>
        </w:numPr>
        <w:spacing w:after="80" w:line="264"/>
      </w:pPr>
      <w:r>
        <w:rPr>
          <w:color w:val="1A1A1A"/>
        </w:rPr>
        <w:t xml:space="preserve">Add the reporting standard to the Tier 1 training outline and to the annual refresher, and keep a signed acknowledgment on file. Confirm with County Counsel whether Penal Code 11166.5 applies to departmental employees.</w:t>
      </w:r>
    </w:p>
    <w:p>
      <w:pPr>
        <w:pStyle w:val="ListParagraph"/>
        <w:numPr>
          <w:ilvl w:val="0"/>
          <w:numId w:val="1"/>
        </w:numPr>
        <w:spacing w:after="80" w:line="264"/>
      </w:pPr>
      <w:r>
        <w:rPr>
          <w:color w:val="1A1A1A"/>
        </w:rPr>
        <w:t xml:space="preserve">Add a cross-reference for residents aged eighteen and older, who fall outside CANRA, to the existing General Order on Mandatory Reporting of Dependent Adult and Elder Abuse.</w:t>
      </w:r>
    </w:p>
    <w:p>
      <w:pPr>
        <w:pStyle w:val="Heading2"/>
      </w:pPr>
      <w:r>
        <w:t xml:space="preserve">Why</w:t>
      </w:r>
    </w:p>
    <w:p>
      <w:pPr>
        <w:spacing w:after="120" w:line="276"/>
      </w:pPr>
      <w:r>
        <w:rPr>
          <w:color w:val="1A1A1A"/>
        </w:rPr>
        <w:t xml:space="preserve">This ends the practice of restating a legal standard in multiple documents, which is how the error propagated and how it survived a 2019 revision. The relocation matters as much as the correction: a single General Order is one place to amend when the Penal Code changes, and one place for an auditor or a plaintiff to look. Stage one exists because the General Order will take an approval cycle that the current text cannot safely wait through.</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PREA Policy nor OO 1453 has been produced to this review. Confirm V.A.4 and I.A.9 against the PDFs.</w:t>
            </w:r>
          </w:p>
          <w:p>
            <w:pPr>
              <w:pStyle w:val="ListParagraph"/>
              <w:numPr>
                <w:ilvl w:val="0"/>
                <w:numId w:val="1"/>
              </w:numPr>
              <w:spacing w:after="60" w:before="40" w:line="264"/>
            </w:pPr>
            <w:r>
              <w:rPr>
                <w:color w:val="1A1A1A"/>
              </w:rPr>
              <w:t xml:space="preserve">Paragraph 4 assumes the department receives mandated reports in its capacity as a county probation department. Penal Code 11165.9 makes that turn on whether the county has designated the probation department to receive them. Confirm the designation with County Counsel before adopting paragraph 4.</w:t>
            </w:r>
          </w:p>
          <w:p>
            <w:pPr>
              <w:pStyle w:val="ListParagraph"/>
              <w:numPr>
                <w:ilvl w:val="0"/>
                <w:numId w:val="1"/>
              </w:numPr>
              <w:spacing w:after="60" w:before="40" w:line="264"/>
            </w:pPr>
            <w:r>
              <w:rPr>
                <w:color w:val="1A1A1A"/>
              </w:rPr>
              <w:t xml:space="preserve">Full contents for the General Order are in the master report at Part 4.1. Model its structure on the existing Dependent Adult and Elder Abuse General Order, which is the department's own working template for this kind of duty.</w:t>
            </w:r>
          </w:p>
        </w:tc>
      </w:tr>
    </w:tbl>
    <w:p>
      <w:r>
        <w:br w:type="page"/>
      </w:r>
    </w:p>
    <w:p>
      <w:pPr>
        <w:pStyle w:val="Heading1"/>
      </w:pPr>
      <w:r>
        <w:t xml:space="preserve">4. Correct the cross-facility notification timeline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V.A.7</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115.363(a)-(d)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52, 47</w:t>
            </w:r>
          </w:p>
        </w:tc>
      </w:tr>
    </w:tbl>
    <w:p>
      <w:pPr>
        <w:pStyle w:val="Heading2"/>
      </w:pPr>
      <w:r>
        <w:t xml:space="preserve">The defect</w:t>
      </w:r>
    </w:p>
    <w:p>
      <w:pPr>
        <w:spacing w:after="120" w:line="276"/>
      </w:pPr>
      <w:r>
        <w:rPr>
          <w:color w:val="1A1A1A"/>
        </w:rPr>
        <w:t xml:space="preserve">The policy sets a fourteen-day window for the Chief Deputy or Assistant Chief Deputy to notify the head of the facility where the abuse allegedly occurred. The federal standard is seventy-two hours. The fourteen-day figure appears to have been carried over from the attorney notification timeline at 115.361(e)(3). This is a straight timeline error and the shortest correction in the set.</w:t>
      </w:r>
    </w:p>
    <w:p>
      <w:pPr>
        <w:pStyle w:val="Heading2"/>
      </w:pPr>
      <w:r>
        <w:t xml:space="preserve">Strike</w:t>
      </w:r>
    </w:p>
    <w:p>
      <w:pPr>
        <w:spacing w:after="60"/>
      </w:pPr>
      <w:r>
        <w:rPr>
          <w:b/>
          <w:bCs/>
          <w:color w:val="1A1A1A"/>
        </w:rPr>
        <w:t xml:space="preserve">PREA Policy V.A.7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Within 14 days of receiving the allegation, the Chief Deputy or Assistant Chief Deputy shall notify the head of the facility where the alleged abuse occurred.</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V.A.7,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Allegations of abuse at another facility</w:t>
            </w:r>
          </w:p>
          <w:p>
            <w:pPr>
              <w:spacing w:after="120" w:line="276"/>
            </w:pPr>
            <w:r>
              <w:rPr>
                <w:color w:val="1A1A1A"/>
              </w:rPr>
              <w:t xml:space="preserve">1. Upon receiving an allegation that a resident was sexually abused while confined at another facility, the Chief Deputy or Assistant Chief Deputy shall notify the head of that facility, or the appropriate office of the agency operating it, and the appropriate investigative agency, as soon as possible and no later than seventy-two hours after receiving the allegation.</w:t>
            </w:r>
          </w:p>
          <w:p>
            <w:pPr>
              <w:spacing w:after="120" w:line="276"/>
            </w:pPr>
            <w:r>
              <w:rPr>
                <w:color w:val="1A1A1A"/>
              </w:rPr>
              <w:t xml:space="preserve">2. The notification shall be documented in writing, recording the date and time the allegation was received, the date and time of the notification, the person notified, and the method used. The documentation shall be retained under the department's records retention schedule for sexual abuse records.</w:t>
            </w:r>
          </w:p>
          <w:p>
            <w:pPr>
              <w:spacing w:after="60" w:line="276"/>
            </w:pPr>
            <w:r>
              <w:rPr>
                <w:color w:val="1A1A1A"/>
              </w:rPr>
              <w:t xml:space="preserve">3. Where the department receives such a notification from another agency, the facility administrator shall ensure the allegation is referred for investigation in accordance with this policy, and shall document the referral.</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Check every other timeline in PREA Policy section V against the standard it implements, since the fourteen-day figure looks like a transposition from the attorney notification rule and a transposition rarely happens once.</w:t>
      </w:r>
    </w:p>
    <w:p>
      <w:pPr>
        <w:pStyle w:val="ListParagraph"/>
        <w:numPr>
          <w:ilvl w:val="0"/>
          <w:numId w:val="1"/>
        </w:numPr>
        <w:spacing w:after="80" w:line="264"/>
      </w:pPr>
      <w:r>
        <w:rPr>
          <w:color w:val="1A1A1A"/>
        </w:rPr>
        <w:t xml:space="preserve">The reporting duty at 115.361(a) is a separate open item that lives in the same section and should be amended in the same cycle: sexual harassment as a separately reportable category, reports of retaliation, and reports of staff neglect or violation of responsibilities contributing to an incident.</w:t>
      </w:r>
    </w:p>
    <w:p>
      <w:pPr>
        <w:pStyle w:val="Heading2"/>
      </w:pPr>
      <w:r>
        <w:t xml:space="preserve">Why</w:t>
      </w:r>
    </w:p>
    <w:p>
      <w:pPr>
        <w:spacing w:after="120" w:line="276"/>
      </w:pPr>
      <w:r>
        <w:rPr>
          <w:color w:val="1A1A1A"/>
        </w:rPr>
        <w:t xml:space="preserve">28 CFR 115.363(b). One sentence, no policy judgment required, and it removes a provision that on its face directs staff to sit on an allegation for up to eleven days longer than the standard allows. Paragraph 3 adds the receiving side of the same standard, which the current policy does not address at all and which costs nothing to include in the same amendment.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V.A.7 numbering and wording against the PDF.</w:t>
            </w:r>
          </w:p>
          <w:p>
            <w:pPr>
              <w:pStyle w:val="ListParagraph"/>
              <w:numPr>
                <w:ilvl w:val="0"/>
                <w:numId w:val="1"/>
              </w:numPr>
              <w:spacing w:after="60" w:before="40" w:line="264"/>
            </w:pPr>
            <w:r>
              <w:rPr>
                <w:color w:val="1A1A1A"/>
              </w:rPr>
              <w:t xml:space="preserve">The reference to a records retention schedule in paragraph 2 assumes change 7 is adopted. If change 7 is deferred, cite the existing schedule instead, and note that the existing schedule is the subject of change 7.</w:t>
            </w:r>
          </w:p>
        </w:tc>
      </w:tr>
    </w:tbl>
    <w:p>
      <w:r>
        <w:br w:type="page"/>
      </w:r>
    </w:p>
    <w:p>
      <w:pPr>
        <w:pStyle w:val="Heading1"/>
      </w:pPr>
      <w:r>
        <w:t xml:space="preserve">5. Rewrite the false allegations provision to a bad-faith standard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XIV.A</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115.378(f), good-faith reporting protection, verified</w:t>
            </w:r>
          </w:p>
          <w:p>
            <w:pPr>
              <w:spacing w:after="40" w:before="20" w:line="240"/>
            </w:pPr>
            <w:r>
              <w:rPr>
                <w:color w:val="1A1A1A"/>
                <w:sz w:val="24"/>
                <w:szCs w:val="24"/>
              </w:rPr>
              <w:t xml:space="preserve">28 CFR 115.352(g), discipline only on a demonstrated bad-faith showing</w:t>
            </w:r>
          </w:p>
          <w:p>
            <w:pPr>
              <w:spacing w:after="40" w:before="20" w:line="240"/>
            </w:pPr>
            <w:r>
              <w:rPr>
                <w:color w:val="1A1A1A"/>
                <w:sz w:val="24"/>
                <w:szCs w:val="24"/>
              </w:rPr>
              <w:t xml:space="preserve">15 CCR 1391(f), due process for major rule violations as a class, verified against the edition effective 01/01/2019. Revision 5 cited this as 1391(e) from the 04/01/2014 edition; the 2019 rewrite renumbered it, and 1391(e) is now minor rule violations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64, 42</w:t>
            </w:r>
          </w:p>
        </w:tc>
      </w:tr>
    </w:tbl>
    <w:p>
      <w:pPr>
        <w:pStyle w:val="Heading2"/>
      </w:pPr>
      <w:r>
        <w:t xml:space="preserve">The defect</w:t>
      </w:r>
    </w:p>
    <w:p>
      <w:pPr>
        <w:spacing w:after="120" w:line="276"/>
      </w:pPr>
      <w:r>
        <w:rPr>
          <w:color w:val="1A1A1A"/>
        </w:rPr>
        <w:t xml:space="preserve">PREA Policy XIV.A permits discipline where an investigation determines allegations were false. 115.378(f) protects a good-faith report based on a reasonable belief even where the investigation does not substantiate it, and 115.352(g) permits discipline only where the agency demonstrates the report was made in bad faith. Unsubstantiated is not the same finding as false, and the current provision collapses the two. As written it chills reporting, and it will be read to a jury that way in any case where the department argues it had no notice. OO 1390/1391 contains no false reporting provision, so it neither cures nor compounds the defect, and neither its minor nor its major rule violation list includes false reporting or lying. That is worth preserving in the rewrite.</w:t>
      </w:r>
    </w:p>
    <w:p>
      <w:pPr>
        <w:pStyle w:val="Heading2"/>
      </w:pPr>
      <w:r>
        <w:t xml:space="preserve">Strike</w:t>
      </w:r>
    </w:p>
    <w:p>
      <w:pPr>
        <w:spacing w:after="60"/>
      </w:pPr>
      <w:r>
        <w:rPr>
          <w:b/>
          <w:bCs/>
          <w:color w:val="1A1A1A"/>
        </w:rPr>
        <w:t xml:space="preserve">PREA Policy XIV.A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resident may be subject to disciplinary action where an investigation determines that the allegation was false.</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XIV.A,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Reports made in good faith</w:t>
            </w:r>
          </w:p>
          <w:p>
            <w:pPr>
              <w:spacing w:after="120" w:line="276"/>
            </w:pPr>
            <w:r>
              <w:rPr>
                <w:color w:val="1A1A1A"/>
              </w:rPr>
              <w:t xml:space="preserve">1. A resident or employee who reports sexual abuse or sexual harassment in good faith, based on a reasonable belief that the conduct described occurred, has not made a false report and has not engaged in lying, even where the investigation does not substantiate the allegation. A finding that an allegation is unsubstantiated is not a finding that the report was false.</w:t>
            </w:r>
          </w:p>
          <w:p>
            <w:pPr>
              <w:spacing w:after="120" w:line="276"/>
            </w:pPr>
            <w:r>
              <w:rPr>
                <w:color w:val="1A1A1A"/>
              </w:rPr>
              <w:t xml:space="preserve">2. A resident may be disciplined in connection with a report of sexual abuse or sexual harassment only where the department demonstrates that the resident made the report in bad faith. The demonstration shall be made through the disciplinary process in OO 1390/1391, and the basis for the bad-faith finding shall be stated in the written finding required by that process.</w:t>
            </w:r>
          </w:p>
          <w:p>
            <w:pPr>
              <w:spacing w:after="120" w:line="276"/>
            </w:pPr>
            <w:r>
              <w:rPr>
                <w:color w:val="1A1A1A"/>
              </w:rPr>
              <w:t xml:space="preserve">3. No employee shall be disciplined or subjected to any adverse action for reporting sexual abuse or sexual harassment in good faith, and no employee shall be disciplined for a report that is not substantiated.</w:t>
            </w:r>
          </w:p>
          <w:p>
            <w:pPr>
              <w:spacing w:after="60" w:line="276"/>
            </w:pPr>
            <w:r>
              <w:rPr>
                <w:color w:val="1A1A1A"/>
              </w:rPr>
              <w:t xml:space="preserve">4. Neither the minor nor the major rule violation lists in OO 1390/1391 includes false reporting or lying, and nothing in this section creates such a violation.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the companion provision from the same standard in the same amendment: a resident may be disciplined for sexual contact with a staff member only upon a finding that the staff member did not consent to the contact. The subsection lettering for this element is not asserted here, so state it by content until the CFR is checked.</w:t>
      </w:r>
    </w:p>
    <w:p>
      <w:pPr>
        <w:pStyle w:val="ListParagraph"/>
        <w:numPr>
          <w:ilvl w:val="0"/>
          <w:numId w:val="1"/>
        </w:numPr>
        <w:spacing w:after="80" w:line="264"/>
      </w:pPr>
      <w:r>
        <w:rPr>
          <w:color w:val="1A1A1A"/>
        </w:rPr>
        <w:t xml:space="preserve">Add the same bad-faith rule to OO 1361 so a youth who files a sexual abuse grievance is protected at the point of filing as well as at the point of discipline. This is one of the five open grievance items and it is the cheapest of them.</w:t>
      </w:r>
    </w:p>
    <w:p>
      <w:pPr>
        <w:pStyle w:val="ListParagraph"/>
        <w:numPr>
          <w:ilvl w:val="0"/>
          <w:numId w:val="1"/>
        </w:numPr>
        <w:spacing w:after="80" w:line="264"/>
      </w:pPr>
      <w:r>
        <w:rPr>
          <w:color w:val="1A1A1A"/>
        </w:rPr>
        <w:t xml:space="preserve">Where the department wants a route for a demonstrably fabricated report, paragraph 2 supplies it. Do not add a separate false reporting rule violation to OO 1390/1391; that would recreate the defect in a second document.</w:t>
      </w:r>
    </w:p>
    <w:p>
      <w:pPr>
        <w:pStyle w:val="Heading2"/>
      </w:pPr>
      <w:r>
        <w:t xml:space="preserve">Why</w:t>
      </w:r>
    </w:p>
    <w:p>
      <w:pPr>
        <w:spacing w:after="120" w:line="276"/>
      </w:pPr>
      <w:r>
        <w:rPr>
          <w:color w:val="1A1A1A"/>
        </w:rPr>
        <w:t xml:space="preserve">28 CFR 115.378(f) and 115.352(g). Beyond compliance, the current provision damages the department's own defense. Every failure-to-protect case turns on notice, and a policy that punishes unsubstantiated reports is the plaintiff's explanation for why the department has so few of them. The rewrite costs nothing operationally: paragraph 2 preserves the ability to discipline the fabricated report, and puts the burden where the standard puts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XIV.A numbering and wording against the PDF.</w:t>
            </w:r>
          </w:p>
          <w:p>
            <w:pPr>
              <w:pStyle w:val="ListParagraph"/>
              <w:numPr>
                <w:ilvl w:val="0"/>
                <w:numId w:val="1"/>
              </w:numPr>
              <w:spacing w:after="60" w:before="40" w:line="264"/>
            </w:pPr>
            <w:r>
              <w:rPr>
                <w:color w:val="1A1A1A"/>
              </w:rPr>
              <w:t xml:space="preserve">Only 115.378(f) is verified. The subsection lettering inside 115.378 beyond (f) is not asserted, because network egress in the drafting environment is restricted and eCFR could not be reached. Check the lettering against the CFR before the authority line goes into an adopted order. This is open question 12.</w:t>
            </w:r>
          </w:p>
        </w:tc>
      </w:tr>
    </w:tbl>
    <w:p>
      <w:r>
        <w:br w:type="page"/>
      </w:r>
    </w:p>
    <w:p>
      <w:pPr>
        <w:pStyle w:val="Heading1"/>
      </w:pPr>
      <w:r>
        <w:t xml:space="preserve">6. Delete the S-4 victim-to-perpetrator inference and split the code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High</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II.F.2 and its note, II.G, II.H, III.E</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115.341(c)</w:t>
            </w:r>
          </w:p>
          <w:p>
            <w:pPr>
              <w:spacing w:after="40" w:before="20" w:line="240"/>
            </w:pPr>
            <w:r>
              <w:rPr>
                <w:color w:val="1A1A1A"/>
                <w:sz w:val="24"/>
                <w:szCs w:val="24"/>
              </w:rPr>
              <w:t xml:space="preserve">28 CFR 115.342</w:t>
            </w:r>
          </w:p>
          <w:p>
            <w:pPr>
              <w:spacing w:after="40" w:before="20" w:line="240"/>
            </w:pPr>
            <w:r>
              <w:rPr>
                <w:color w:val="1A1A1A"/>
                <w:sz w:val="24"/>
                <w:szCs w:val="24"/>
              </w:rPr>
              <w:t xml:space="preserve">15 CCR 1350.5(a), cited but not confirmed: absent from the produced edition</w:t>
            </w:r>
          </w:p>
          <w:p>
            <w:pPr>
              <w:spacing w:after="40" w:before="20" w:line="240"/>
            </w:pPr>
            <w:r>
              <w:rPr>
                <w:color w:val="1A1A1A"/>
                <w:sz w:val="24"/>
                <w:szCs w:val="24"/>
              </w:rPr>
              <w:t xml:space="preserve">Penal Code 287, renumbered from 288a by SB 1494 effective 01/01/2019</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80, 78, 32</w:t>
            </w:r>
          </w:p>
        </w:tc>
      </w:tr>
    </w:tbl>
    <w:p>
      <w:pPr>
        <w:pStyle w:val="Heading2"/>
      </w:pPr>
      <w:r>
        <w:t xml:space="preserve">The defect</w:t>
      </w:r>
    </w:p>
    <w:p>
      <w:pPr>
        <w:spacing w:after="120" w:line="276"/>
      </w:pP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inference runs against 115.341(c), which lists prior victimization and prior abusiveness as separate factors serving different purposes. Second, S-4 as a code mixes populations: S-4 High captures youth with sex offense adjudications, while S-4 Low captures both youth who act out sexually and youth who have been victims of sexual abuse or are susceptible to victimization. The housing matrix at III.E keeps those populations apart in practice, so the operational outcome is sound. The defect is in the classification logic and its documentation, and it will not survive an auditor tracing how victimization risk and abusiveness risk are separately assessed and separately acted on.</w:t>
      </w:r>
    </w:p>
    <w:p>
      <w:pPr>
        <w:pStyle w:val="Heading2"/>
      </w:pPr>
      <w:r>
        <w:t xml:space="preserve">Strike</w:t>
      </w:r>
    </w:p>
    <w:p>
      <w:pPr>
        <w:spacing w:after="60"/>
      </w:pPr>
      <w:r>
        <w:rPr>
          <w:b/>
          <w:bCs/>
          <w:color w:val="1A1A1A"/>
        </w:rPr>
        <w:t xml:space="preserve">OO 1352 II.F.2, the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history of being a victim of molest, arson, or cruelty to animals should alert the Classification Officer for possible sexually inappropriate tendencies.</w:t>
            </w:r>
          </w:p>
        </w:tc>
      </w:tr>
    </w:tbl>
    <w:p>
      <w:pPr>
        <w:spacing w:after="200" w:before="60"/>
      </w:pPr>
      <w:r>
        <w:rPr>
          <w:i/>
          <w:iCs/>
          <w:color w:val="5A5A5A"/>
          <w:sz w:val="24"/>
          <w:szCs w:val="24"/>
        </w:rPr>
        <w:t xml:space="preserve">Quoted in register row 80 from the earlier review, which read the order.</w:t>
      </w:r>
    </w:p>
    <w:p>
      <w:pPr>
        <w:spacing w:after="60"/>
      </w:pPr>
      <w:r>
        <w:rPr>
          <w:b/>
          <w:bCs/>
          <w:color w:val="1A1A1A"/>
        </w:rPr>
        <w:t xml:space="preserve">OO 1352 II.H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portion of the S-4 Low criteria that groups youth who act out sexually together with youth who have been victims of sexual abuse or are susceptible to victimization.</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 II.F.2, replacing the struck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Use of victimization history</w:t>
            </w:r>
          </w:p>
          <w:p>
            <w:pPr>
              <w:spacing w:after="60" w:line="276"/>
            </w:pPr>
            <w:r>
              <w:rPr>
                <w:color w:val="1A1A1A"/>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p>
        </w:tc>
      </w:tr>
    </w:tbl>
    <w:p>
      <w:pPr>
        <w:spacing w:after="140"/>
      </w:pPr>
      <w:r>
        <w:rPr>
          <w:color w:val="1A1A1A"/>
        </w:rPr>
        <w:t xml:space="preserve"/>
      </w:r>
    </w:p>
    <w:p>
      <w:pPr>
        <w:spacing w:after="60"/>
      </w:pPr>
      <w:r>
        <w:rPr>
          <w:b/>
          <w:bCs/>
          <w:color w:val="1A1A1A"/>
        </w:rPr>
        <w:t xml:space="preserve">OO 1352 II.G, risk of sexual abusiveness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S-4A, risk of being sexually abusive toward other youth</w:t>
            </w:r>
          </w:p>
          <w:p>
            <w:pPr>
              <w:spacing w:after="120" w:line="276"/>
            </w:pPr>
            <w:r>
              <w:rPr>
                <w:color w:val="1A1A1A"/>
              </w:rPr>
              <w:t xml:space="preserve">1. Assign S-4A where the youth has a sustained petition, conviction, or documented finding for an offense under Penal Code sections 261, 261.5, 286, 287, 288, 288.5, 289, or 289.6, or under any successor or equivalent statute.</w:t>
            </w:r>
          </w:p>
          <w:p>
            <w:pPr>
              <w:spacing w:after="120" w:line="276"/>
            </w:pPr>
            <w:r>
              <w:rPr>
                <w:color w:val="1A1A1A"/>
              </w:rPr>
              <w:t xml:space="preserve">2. Assign S-4A where the youth has documented sexually aggressive or sexually coercive conduct toward another person while in custody, in placement, or in the community, whether or not it resulted in a petition.</w:t>
            </w:r>
          </w:p>
          <w:p>
            <w:pPr>
              <w:spacing w:after="60" w:line="276"/>
            </w:pPr>
            <w:r>
              <w:rPr>
                <w:color w:val="1A1A1A"/>
              </w:rPr>
              <w:t xml:space="preserve">3. The basis for an S-4A assignment shall be recorded in JPIP with the source of the information and the date.</w:t>
            </w:r>
          </w:p>
        </w:tc>
      </w:tr>
    </w:tbl>
    <w:p>
      <w:pPr>
        <w:spacing w:after="140"/>
      </w:pPr>
      <w:r>
        <w:rPr>
          <w:color w:val="1A1A1A"/>
        </w:rPr>
        <w:t xml:space="preserve"/>
      </w:r>
    </w:p>
    <w:p>
      <w:pPr>
        <w:spacing w:after="60"/>
      </w:pPr>
      <w:r>
        <w:rPr>
          <w:b/>
          <w:bCs/>
          <w:color w:val="1A1A1A"/>
        </w:rPr>
        <w:t xml:space="preserve">OO 1352 II.H, risk of sexual victimization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S-4B, risk of being sexually abused by other youth</w:t>
            </w:r>
          </w:p>
          <w:p>
            <w:pPr>
              <w:spacing w:after="120" w:line="276"/>
            </w:pPr>
            <w:r>
              <w:rPr>
                <w:color w:val="1A1A1A"/>
              </w:rPr>
              <w:t xml:space="preserve">1. Assign S-4B where screening under OO 1350.5 identifies the youth as at risk of sexual victimization, including prior sexual victimization whether or not it occurred in custody.</w:t>
            </w:r>
          </w:p>
          <w:p>
            <w:pPr>
              <w:spacing w:after="120" w:line="276"/>
            </w:pPr>
            <w:r>
              <w:rPr>
                <w:color w:val="1A1A1A"/>
              </w:rPr>
              <w:t xml:space="preserve">2. An S-4A assignment and an S-4B assignment are independent. A youth may carry both, one, or neither, and each shall be assessed, coded, and documented separately.</w:t>
            </w:r>
          </w:p>
          <w:p>
            <w:pPr>
              <w:spacing w:after="60" w:line="276"/>
            </w:pPr>
            <w:r>
              <w:rPr>
                <w:color w:val="1A1A1A"/>
              </w:rPr>
              <w:t xml:space="preserve">3. 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Rebuild the III.E housing matrix on the S-4A and S-4B codes. The matrix already keeps these populations apart, so this is a relabeling of a working rule, not a change to it.</w:t>
      </w:r>
    </w:p>
    <w:p>
      <w:pPr>
        <w:pStyle w:val="ListParagraph"/>
        <w:numPr>
          <w:ilvl w:val="0"/>
          <w:numId w:val="1"/>
        </w:numPr>
        <w:spacing w:after="80" w:line="264"/>
      </w:pPr>
      <w:r>
        <w:rPr>
          <w:color w:val="1A1A1A"/>
        </w:rPr>
        <w:t xml:space="preserve">Add Penal Code 287 to the S-4 High enumerated offenses. The current list carries sodomy under 286, lewd or lascivious acts under 288, and rape under 261, and omits 287 entirely, so a youth with a documented 287 adjudication does not meet the enumerated criteria on the face of the order. The insert at II.G.1 above already includes it, and the catch-all for successor statutes prevents the next renumbering from reopening the same gap.</w:t>
      </w:r>
    </w:p>
    <w:p>
      <w:pPr>
        <w:pStyle w:val="ListParagraph"/>
        <w:numPr>
          <w:ilvl w:val="0"/>
          <w:numId w:val="1"/>
        </w:numPr>
        <w:spacing w:after="80" w:line="264"/>
      </w:pPr>
      <w:r>
        <w:rPr>
          <w:color w:val="1A1A1A"/>
        </w:rPr>
        <w:t xml:space="preserve">Correct PREA Policy I.I.1, which cites Penal Code section 288a (Oral Copulation). 288a was renumbered to 287 by SB 1494 effective January 1, 2019. Same amendment cycle, different document.</w:t>
      </w:r>
    </w:p>
    <w:p>
      <w:pPr>
        <w:pStyle w:val="ListParagraph"/>
        <w:numPr>
          <w:ilvl w:val="0"/>
          <w:numId w:val="1"/>
        </w:numPr>
        <w:spacing w:after="80" w:line="264"/>
      </w:pPr>
      <w:r>
        <w:rPr>
          <w:color w:val="1A1A1A"/>
        </w:rPr>
        <w:t xml:space="preserve">Delete the reference in OO 1352 II.C.3 to a pending commitment to the Division of Juvenile Justice. DJJ closed June 30, 2023 under SB 823.</w:t>
      </w:r>
    </w:p>
    <w:p>
      <w:pPr>
        <w:pStyle w:val="ListParagraph"/>
        <w:numPr>
          <w:ilvl w:val="0"/>
          <w:numId w:val="1"/>
        </w:numPr>
        <w:spacing w:after="80" w:line="264"/>
      </w:pPr>
      <w:r>
        <w:rPr>
          <w:color w:val="1A1A1A"/>
        </w:rPr>
        <w:t xml:space="preserve">Update the JPIP code table, the classification worksheet, and classification officer training to the split codes, and map existing S-4 assignments onto S-4A, S-4B, or both.</w:t>
      </w:r>
    </w:p>
    <w:p>
      <w:pPr>
        <w:pStyle w:val="Heading2"/>
      </w:pPr>
      <w:r>
        <w:t xml:space="preserve">Why</w:t>
      </w:r>
    </w:p>
    <w:p>
      <w:pPr>
        <w:spacing w:after="120" w:line="276"/>
      </w:pPr>
      <w:r>
        <w:rPr>
          <w:color w:val="1A1A1A"/>
        </w:rPr>
        <w:t xml:space="preserve">115.341(c) treats prior victimization and prior abusiveness as separate factors driving different responses, and 115.342 requires the results be used to keep residents safe rather than to restrict them. The housing matrix already produces the right operational answer; the defect is that the department cannot show its work. The note at II.F.2 is the sharper problem: it is one sentence, it is indefensible on the current science, and in litigation it is a gift to a plaintiff's expert. It should not survive another revision cycle.</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 has never been produced to this review. Confirm II.F.2, II.G, II.H, and III.E against the PDF, including whether the S-4 High and S-4 Low labels are as the register describes them.</w:t>
            </w:r>
          </w:p>
          <w:p>
            <w:pPr>
              <w:pStyle w:val="ListParagraph"/>
              <w:numPr>
                <w:ilvl w:val="0"/>
                <w:numId w:val="1"/>
              </w:numPr>
              <w:spacing w:after="60" w:before="40" w:line="264"/>
            </w:pPr>
            <w:r>
              <w:rPr>
                <w:color w:val="1A1A1A"/>
              </w:rPr>
              <w:t xml:space="preserve">The struck note is quoted from register row 80, which traces to the earlier review that read the order. Everything else struck here is described rather than quoted.</w:t>
            </w:r>
          </w:p>
          <w:p>
            <w:pPr>
              <w:pStyle w:val="ListParagraph"/>
              <w:numPr>
                <w:ilvl w:val="0"/>
                <w:numId w:val="1"/>
              </w:numPr>
              <w:spacing w:after="60" w:before="40" w:line="264"/>
            </w:pPr>
            <w:r>
              <w:rPr>
                <w:color w:val="1A1A1A"/>
              </w:rPr>
              <w:t xml:space="preserve">The 15 CCR 1350.5(a) citation is carried forward unconfirmed. That section does not exist in the produced 04/01/2014 edition of Title 15.</w:t>
            </w:r>
          </w:p>
          <w:p>
            <w:pPr>
              <w:pStyle w:val="ListParagraph"/>
              <w:numPr>
                <w:ilvl w:val="0"/>
                <w:numId w:val="1"/>
              </w:numPr>
              <w:spacing w:after="60" w:before="40" w:line="264"/>
            </w:pPr>
            <w:r>
              <w:rPr>
                <w:color w:val="1A1A1A"/>
              </w:rPr>
              <w:t xml:space="preserve">Penal Code 288.5 and 289.6 are included in the II.G.1 list on the drafter's judgment, not from the current order. Confirm the department wants that scope before adoption.</w:t>
            </w:r>
          </w:p>
        </w:tc>
      </w:tr>
    </w:tbl>
    <w:p>
      <w:r>
        <w:br w:type="page"/>
      </w:r>
    </w:p>
    <w:p>
      <w:pPr>
        <w:pStyle w:val="Heading1"/>
      </w:pPr>
      <w:r>
        <w:t xml:space="preserve">7. Adopt a single reconciled records retention schedule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Internal Affairs Administrative Investigations, XI.C.1</w:t>
            </w:r>
          </w:p>
          <w:p>
            <w:pPr>
              <w:spacing w:after="40" w:before="20" w:line="240"/>
            </w:pPr>
            <w:r>
              <w:rPr>
                <w:color w:val="1A1A1A"/>
                <w:sz w:val="24"/>
                <w:szCs w:val="24"/>
              </w:rPr>
              <w:t xml:space="preserve">PREA Policy and Procedure, Juvenile Institutions, XVIII.B</w:t>
            </w:r>
          </w:p>
          <w:p>
            <w:pPr>
              <w:spacing w:after="40" w:before="20" w:line="240"/>
            </w:pPr>
            <w:r>
              <w:rPr>
                <w:color w:val="1A1A1A"/>
                <w:sz w:val="24"/>
                <w:szCs w:val="24"/>
              </w:rPr>
              <w:t xml:space="preserve">Internal Complaints (Administrative P&amp;P Manual, rev. 10/30/2013), retention provision</w:t>
            </w:r>
          </w:p>
          <w:p>
            <w:pPr>
              <w:spacing w:after="40" w:before="20" w:line="240"/>
            </w:pPr>
            <w:r>
              <w:rPr>
                <w:color w:val="1A1A1A"/>
                <w:sz w:val="24"/>
                <w:szCs w:val="24"/>
              </w:rPr>
              <w:t xml:space="preserve">OO 1453 Sexual Assault, records provisions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115.371(j)</w:t>
            </w:r>
          </w:p>
          <w:p>
            <w:pPr>
              <w:spacing w:after="40" w:before="20" w:line="240"/>
            </w:pPr>
            <w:r>
              <w:rPr>
                <w:color w:val="1A1A1A"/>
                <w:sz w:val="24"/>
                <w:szCs w:val="24"/>
              </w:rPr>
              <w:t xml:space="preserve">28 CFR 115.389(c), ten-year data retention</w:t>
            </w:r>
          </w:p>
          <w:p>
            <w:pPr>
              <w:spacing w:after="40" w:before="20" w:line="240"/>
            </w:pPr>
            <w:r>
              <w:rPr>
                <w:color w:val="1A1A1A"/>
                <w:sz w:val="24"/>
                <w:szCs w:val="24"/>
              </w:rPr>
              <w:t xml:space="preserve">Code of Civil Procedure 340.1 as amended by AB 452</w:t>
            </w:r>
          </w:p>
          <w:p>
            <w:pPr>
              <w:spacing w:after="40" w:before="20" w:line="240"/>
            </w:pPr>
            <w:r>
              <w:rPr>
                <w:color w:val="1A1A1A"/>
                <w:sz w:val="24"/>
                <w:szCs w:val="24"/>
              </w:rPr>
              <w:t xml:space="preserve">Code of Civil Procedure 352; Government Code 905(m)</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59, 72</w:t>
            </w:r>
          </w:p>
        </w:tc>
      </w:tr>
    </w:tbl>
    <w:p>
      <w:pPr>
        <w:pStyle w:val="Heading2"/>
      </w:pPr>
      <w:r>
        <w:t xml:space="preserve">The defect</w:t>
      </w:r>
    </w:p>
    <w:p>
      <w:pPr>
        <w:spacing w:after="120" w:line="276"/>
      </w:pPr>
      <w:r>
        <w:rPr>
          <w:color w:val="1A1A1A"/>
        </w:rPr>
        <w:t xml:space="preserve">Three different retention rules govern the same records, and a fourth document points at one of them without stating a period.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as long as the alleged abuser is incarcerated or employed by the agency, plus five years, which for a long-tenured employee is far longer than either. Internal Complaints states that all discretionary and non-discretionary investigative documentation and evidence shall be retained by Internal Affairs, with no period, so the reconciled schedule has to be reflected in four documents rather than three. A department that destroys a sexual abuse investigation file at five years under the Internal Affairs schedule violates its own PREA policy and the federal standard in the same act.</w:t>
      </w:r>
    </w:p>
    <w:p>
      <w:pPr>
        <w:pStyle w:val="Heading2"/>
      </w:pPr>
      <w:r>
        <w:t xml:space="preserve">Strike</w:t>
      </w:r>
    </w:p>
    <w:p>
      <w:pPr>
        <w:spacing w:after="60"/>
      </w:pPr>
      <w:r>
        <w:rPr>
          <w:b/>
          <w:bCs/>
          <w:color w:val="1A1A1A"/>
        </w:rPr>
        <w:t xml:space="preserve">Internal Affairs XI.C.1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five-year period, as applied to records within the scope of the schedule below. The five-year rule may stand for other citizen complaint records.</w:t>
            </w:r>
          </w:p>
        </w:tc>
      </w:tr>
    </w:tbl>
    <w:p>
      <w:pPr>
        <w:spacing w:after="200" w:before="60"/>
      </w:pPr>
      <w:r>
        <w:rPr>
          <w:i/>
          <w:iCs/>
          <w:color w:val="5A5A5A"/>
          <w:sz w:val="24"/>
          <w:szCs w:val="24"/>
        </w:rPr>
        <w:t xml:space="preserve">Described in the register, not read in this review.</w:t>
      </w:r>
    </w:p>
    <w:p>
      <w:pPr>
        <w:spacing w:after="60"/>
      </w:pPr>
      <w:r>
        <w:rPr>
          <w:b/>
          <w:bCs/>
          <w:color w:val="1A1A1A"/>
        </w:rPr>
        <w:t xml:space="preserve">PREA Policy XVIII.B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ten-year period stated as the retention rule for case records associated with claims of sexual abuse, which is replaced by the cross-reference below.</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New provision, adopted in identical terms in all four documents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Records retention, sexual abuse and sexual harassment</w:t>
            </w:r>
          </w:p>
          <w:p>
            <w:pPr>
              <w:spacing w:after="120" w:line="276"/>
            </w:pPr>
            <w:r>
              <w:rPr>
                <w:color w:val="1A1A1A"/>
              </w:rPr>
              <w:t xml:space="preserve">1. Scope. This section governs every record created in connection with an allegation, investigation, or incident of sexual abuse or sexual harassment involving a resident, including the grievance or intake document, the Personnel Complaint Intake Form, incident reports, investigative reports and case files, witness statements, video and audio recordings, photographs, records of medical and mental health referrals made in response, and the disciplinary or personnel outcome.</w:t>
            </w:r>
          </w:p>
          <w:p>
            <w:pPr>
              <w:spacing w:after="120" w:line="276"/>
            </w:pPr>
            <w:r>
              <w:rPr>
                <w:color w:val="1A1A1A"/>
              </w:rPr>
              <w:t xml:space="preserve">2. Retention. A record within paragraph 1 shall be retained for the longest of the following: ten years from the date the case is closed; for records of an investigation into alleged staff conduct, as long as the alleged abuser remains incarcerated or employed by the department, plus five years; ten years after the resident reaches eighteen years of age, where the resident was under eighteen at the time of the alleged conduct; and any longer period required by law, by a litigation hold, or by the records retention schedule adopted by the County.</w:t>
            </w:r>
          </w:p>
          <w:p>
            <w:pPr>
              <w:spacing w:after="120" w:line="276"/>
            </w:pPr>
            <w:r>
              <w:rPr>
                <w:color w:val="1A1A1A"/>
              </w:rPr>
              <w:t xml:space="preserve">3. Conduct occurring on or after January 1, 2024. Code of Civil Procedure section 340.1, as amended by Assembly Bill 452, eliminated the limitations period for a claim of childhood sexual assault occurring on or after that date. No record within paragraph 1 concerning conduct on or after January 1, 2024 shall be destroyed until County Counsel has determined the applicable schedule in light of that section.</w:t>
            </w:r>
          </w:p>
          <w:p>
            <w:pPr>
              <w:spacing w:after="120" w:line="276"/>
            </w:pPr>
            <w:r>
              <w:rPr>
                <w:color w:val="1A1A1A"/>
              </w:rPr>
              <w:t xml:space="preserve">4. Hold. No record within paragraph 1 shall be destroyed while any claim, investigation, audit, inspection, or litigation involving the incident is pending or reasonably anticipated.</w:t>
            </w:r>
          </w:p>
          <w:p>
            <w:pPr>
              <w:spacing w:after="120" w:line="276"/>
            </w:pPr>
            <w:r>
              <w:rPr>
                <w:color w:val="1A1A1A"/>
              </w:rPr>
              <w:t xml:space="preserve">5. Authorization and log. Destruction of a record within paragraph 1 requires written authorization from the Internal Affairs Manager. Each destruction shall be entered in a log identifying the record, the authority relied on, the date, and the person authorizing it.</w:t>
            </w:r>
          </w:p>
          <w:p>
            <w:pPr>
              <w:spacing w:after="60" w:line="276"/>
            </w:pPr>
            <w:r>
              <w:rPr>
                <w:color w:val="1A1A1A"/>
              </w:rPr>
              <w:t xml:space="preserve">6. Aggregated data. Data collected under the department's PREA data provisions shall be securely retained for at least ten years, with personal identifiers removed before any publication.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Adopt paragraph 1 through 5 verbatim in all four documents rather than paraphrasing in each. Paraphrase is what produced the three-way conflict.</w:t>
      </w:r>
    </w:p>
    <w:p>
      <w:pPr>
        <w:pStyle w:val="ListParagraph"/>
        <w:numPr>
          <w:ilvl w:val="0"/>
          <w:numId w:val="1"/>
        </w:numPr>
        <w:spacing w:after="80" w:line="264"/>
      </w:pPr>
      <w:r>
        <w:rPr>
          <w:color w:val="1A1A1A"/>
        </w:rPr>
        <w:t xml:space="preserve">Where a document already states a period, replace the period with the cross-reference so there is exactly one schedule in force.</w:t>
      </w:r>
    </w:p>
    <w:p>
      <w:pPr>
        <w:pStyle w:val="ListParagraph"/>
        <w:numPr>
          <w:ilvl w:val="0"/>
          <w:numId w:val="1"/>
        </w:numPr>
        <w:spacing w:after="80" w:line="264"/>
      </w:pPr>
      <w:r>
        <w:rPr>
          <w:color w:val="1A1A1A"/>
        </w:rPr>
        <w:t xml:space="preserve">Confirm the retention rule reaches video. Video is the record most often governed by a separate and much shorter system retention default, and it is the record most likely to decide a case.</w:t>
      </w:r>
    </w:p>
    <w:p>
      <w:pPr>
        <w:pStyle w:val="ListParagraph"/>
        <w:numPr>
          <w:ilvl w:val="0"/>
          <w:numId w:val="1"/>
        </w:numPr>
        <w:spacing w:after="80" w:line="264"/>
      </w:pPr>
      <w:r>
        <w:rPr>
          <w:color w:val="1A1A1A"/>
        </w:rPr>
        <w:t xml:space="preserve">Adopt the schedule with County Counsel, not by policy revision alone. The Government Claims Act presentation requirement does not apply to these claims under Government Code 905(m), so the department will not see a claim before suit.</w:t>
      </w:r>
    </w:p>
    <w:p>
      <w:pPr>
        <w:pStyle w:val="ListParagraph"/>
        <w:numPr>
          <w:ilvl w:val="0"/>
          <w:numId w:val="1"/>
        </w:numPr>
        <w:spacing w:after="80" w:line="264"/>
      </w:pPr>
      <w:r>
        <w:rPr>
          <w:color w:val="1A1A1A"/>
        </w:rPr>
        <w:t xml:space="preserve">The Institutional Policy on Documentation, Confidentiality and Maintenance of Records and the Institutional Policy on Video Recording and Photograph System are both outstanding. Request them before the schedule is finalized, since either may already carry a conflicting period.</w:t>
      </w:r>
    </w:p>
    <w:p>
      <w:pPr>
        <w:pStyle w:val="Heading2"/>
      </w:pPr>
      <w:r>
        <w:t xml:space="preserve">Why</w:t>
      </w:r>
    </w:p>
    <w:p>
      <w:pPr>
        <w:spacing w:after="120" w:line="276"/>
      </w:pPr>
      <w:r>
        <w:rPr>
          <w:color w:val="1A1A1A"/>
        </w:rPr>
        <w:t xml:space="preserve">AB 452 eliminated the limitations period for childhood sexual assault occurring on or after January 1, 2024, and Code of Civil Procedure 352 tolls a minor's limitations period for earlier incidents. The practical exposure is a file destroyed years before suit is filed. Destruction under the current five-year Internal Affairs schedule risks an adverse inference instruction and the loss of any ability to defend on the merits, and CCP 340.1 provides treble damages where a cover-up is shown. This is the one change in the set the department cannot fully solve on its own: paragraph 3 is drafted as a moratorium precisely because no fixed period covers a claim with no limitations period.</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Internal Affairs policy nor the PREA Policy has been produced to this review. Confirm XI.C.1 and XVIII.B against the PDFs.</w:t>
            </w:r>
          </w:p>
          <w:p>
            <w:pPr>
              <w:pStyle w:val="ListParagraph"/>
              <w:numPr>
                <w:ilvl w:val="0"/>
                <w:numId w:val="1"/>
              </w:numPr>
              <w:spacing w:after="60" w:before="40" w:line="264"/>
            </w:pPr>
            <w:r>
              <w:rPr>
                <w:color w:val="1A1A1A"/>
              </w:rPr>
              <w:t xml:space="preserve">Internal Complaints has been produced and read, so its retention sentence is the one item in this change that is grounded in the source document.</w:t>
            </w:r>
          </w:p>
          <w:p>
            <w:pPr>
              <w:pStyle w:val="ListParagraph"/>
              <w:numPr>
                <w:ilvl w:val="0"/>
                <w:numId w:val="1"/>
              </w:numPr>
              <w:spacing w:after="60" w:before="40" w:line="264"/>
            </w:pPr>
            <w:r>
              <w:rPr>
                <w:color w:val="1A1A1A"/>
              </w:rPr>
              <w:t xml:space="preserve">Paragraph 2 and paragraph 3 are drafting proposals, not legal advice. Route both to County Counsel before adoption, together with the question of whether the County's own records retention schedule already binds these records to a shorter period.</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Redlines, Recommended changes 1 to 7. YDF, register Revision 7.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2026-10-06T19:13:51.723Z</dcterms:created>
  <dcterms:modified xsi:type="dcterms:W3CDTF">2026-10-06T19:13:51.724Z</dcterms:modified>
</cp:coreProperties>
</file>

<file path=docProps/custom.xml><?xml version="1.0" encoding="utf-8"?>
<Properties xmlns="http://schemas.openxmlformats.org/officeDocument/2006/custom-properties" xmlns:vt="http://schemas.openxmlformats.org/officeDocument/2006/docPropsVTypes"/>
</file>