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S-8. Classification assigned to any youth who is lesbian, gay, bisexual, transgender, questioning, or intersex.</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classified S-8 shall be housed in a single room at all times.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The section numbers II.M, III.E, and III.I come from the register, which traces to the earlier review that read the order. Pull the PDF and confirm the numbering and the actual wording before this goes to the policy shop.</w:t>
            </w:r>
          </w:p>
          <w:p>
            <w:pPr>
              <w:pStyle w:val="ListParagraph"/>
              <w:numPr>
                <w:ilvl w:val="0"/>
                <w:numId w:val="1"/>
              </w:numPr>
              <w:spacing w:after="60" w:before="40" w:line="264"/>
            </w:pPr>
            <w:r>
              <w:rPr>
                <w:color w:val="1A1A1A"/>
              </w:rPr>
              <w:t xml:space="preserve">The struck text above is a reconstruction of what the register describes, not a quotation. Replace it with the order's real words before circulating the redline.</w:t>
            </w:r>
          </w:p>
          <w:p>
            <w:pPr>
              <w:pStyle w:val="ListParagraph"/>
              <w:numPr>
                <w:ilvl w:val="0"/>
                <w:numId w:val="1"/>
              </w:numPr>
              <w:spacing w:after="60" w:before="40" w:line="264"/>
            </w:pPr>
            <w:r>
              <w:rPr>
                <w:color w:val="1A1A1A"/>
              </w:rPr>
              <w:t xml:space="preserve">The 15 CCR 1352(e) language quoted in the insert is now verified against both editions and is word for word identical in each, so it did not move. Its neighbours did: the non-discrimination provision went from 1324(h) to 1324(k), which is corrected above. 1352(f) is new in the 2019 edition and is added to the authority line.</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cited but not confirmed: absent from the produced edition</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history of being a victim of molest, arson, or cruelty to animals should alert the Classification Officer for possible sexually inappropriate tendencies.</w:t>
            </w:r>
          </w:p>
        </w:tc>
      </w:tr>
    </w:tbl>
    <w:p>
      <w:pPr>
        <w:spacing w:after="200" w:before="60"/>
      </w:pPr>
      <w:r>
        <w:rPr>
          <w:i/>
          <w:iCs/>
          <w:color w:val="5A5A5A"/>
          <w:sz w:val="24"/>
          <w:szCs w:val="24"/>
        </w:rPr>
        <w:t xml:space="preserve">Quoted in register row 80 from the earlier review, which read the order.</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portion of the S-4 Low criteria that groups youth who act out sexually together with youth who have been victims of sexual abuse or are susceptible to victimization.</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to the S-4 High enumerated offenses. The current list carries sodomy under 286, lewd or lascivious acts under 288, and rape under 261, and omits 287 entirely, so a youth with a documented 287 adjudication does not meet the enumerated criteria on the face of the order. The insert at II.G.1 above already includes it, and the catch-all for successor statutes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Confirm II.F.2, II.G, II.H, and III.E against the PDF, including whether the S-4 High and S-4 Low labels are as the register describes them.</w:t>
            </w:r>
          </w:p>
          <w:p>
            <w:pPr>
              <w:pStyle w:val="ListParagraph"/>
              <w:numPr>
                <w:ilvl w:val="0"/>
                <w:numId w:val="1"/>
              </w:numPr>
              <w:spacing w:after="60" w:before="40" w:line="264"/>
            </w:pPr>
            <w:r>
              <w:rPr>
                <w:color w:val="1A1A1A"/>
              </w:rPr>
              <w:t xml:space="preserve">The struck note is quoted from register row 80, which traces to the earlier review that read the order. Everything else struck here is described rather than quoted.</w:t>
            </w:r>
          </w:p>
          <w:p>
            <w:pPr>
              <w:pStyle w:val="ListParagraph"/>
              <w:numPr>
                <w:ilvl w:val="0"/>
                <w:numId w:val="1"/>
              </w:numPr>
              <w:spacing w:after="60" w:before="40" w:line="264"/>
            </w:pPr>
            <w:r>
              <w:rPr>
                <w:color w:val="1A1A1A"/>
              </w:rPr>
              <w:t xml:space="preserve">The 15 CCR 1350.5(a) citation is carried forward unconfirmed. That section does not exist in the produced 04/01/2014 edition of Title 15.</w:t>
            </w:r>
          </w:p>
          <w:p>
            <w:pPr>
              <w:pStyle w:val="ListParagraph"/>
              <w:numPr>
                <w:ilvl w:val="0"/>
                <w:numId w:val="1"/>
              </w:numPr>
              <w:spacing w:after="60" w:before="40" w:line="264"/>
            </w:pPr>
            <w:r>
              <w:rPr>
                <w:color w:val="1A1A1A"/>
              </w:rPr>
              <w:t xml:space="preserve">Penal Code 288.5 and 289.6 are included in the II.G.1 list on the drafter's judgment, not from the current order. Confirm the department wants that scope before adoption.</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p>
            <w:pPr>
              <w:spacing w:after="40" w:before="20" w:line="240"/>
            </w:pPr>
            <w:r>
              <w:rPr>
                <w:color w:val="1A1A1A"/>
                <w:sz w:val="24"/>
                <w:szCs w:val="24"/>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8.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2026-10-06T19:47:18.454Z</dcterms:created>
  <dcterms:modified xsi:type="dcterms:W3CDTF">2026-10-06T19:47:18.454Z</dcterms:modified>
</cp:coreProperties>
</file>

<file path=docProps/custom.xml><?xml version="1.0" encoding="utf-8"?>
<Properties xmlns="http://schemas.openxmlformats.org/officeDocument/2006/custom-properties" xmlns:vt="http://schemas.openxmlformats.org/officeDocument/2006/docPropsVTypes"/>
</file>