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8. 87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20</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87</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24"/>
          <w:szCs w:val="24"/>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24"/>
          <w:szCs w:val="24"/>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24"/>
          <w:szCs w:val="24"/>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never produced;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w:t>
      </w:r>
    </w:p>
    <w:p>
      <w:pPr>
        <w:spacing w:after="240" w:line="260"/>
      </w:pPr>
      <w:r>
        <w:rPr>
          <w:i/>
          <w:iCs/>
          <w:color w:val="5A5A5A"/>
          <w:sz w:val="24"/>
          <w:szCs w:val="24"/>
        </w:rPr>
        <w:t xml:space="preserve">Change log: NEW in 8, from facility facts confirmed by the department.</w:t>
      </w: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never produced.</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w:t>
      </w:r>
    </w:p>
    <w:p>
      <w:pPr>
        <w:spacing w:after="240" w:line="260"/>
      </w:pPr>
      <w:r>
        <w:rPr>
          <w:i/>
          <w:iCs/>
          <w:color w:val="5A5A5A"/>
          <w:sz w:val="24"/>
          <w:szCs w:val="24"/>
        </w:rPr>
        <w:t xml:space="preserve">Change log: NEW in 8, from facility facts confirmed by the department.</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w:t>
      </w:r>
    </w:p>
    <w:p>
      <w:pPr>
        <w:spacing w:after="240" w:line="260"/>
      </w:pPr>
      <w:r>
        <w:rPr>
          <w:i/>
          <w:iCs/>
          <w:color w:val="5A5A5A"/>
          <w:sz w:val="24"/>
          <w:szCs w:val="24"/>
        </w:rPr>
        <w:t xml:space="preserve">Change log: NEW in 8. The mixed-age consent collision, from facility facts.</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w:t>
      </w:r>
    </w:p>
    <w:p>
      <w:pPr>
        <w:spacing w:after="240" w:line="260"/>
      </w:pPr>
      <w:r>
        <w:rPr>
          <w:i/>
          <w:iCs/>
          <w:color w:val="5A5A5A"/>
          <w:sz w:val="24"/>
          <w:szCs w:val="24"/>
        </w:rPr>
        <w:t xml:space="preserve">Change log: REVISED in 8: priority Medium to High. Adults are in the main population, so this is the primary reporting pathway once CANRA drops away.</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87.</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Silent on. </w:t>
      </w:r>
      <w:r>
        <w:rPr>
          <w:color w:val="1A1A1A"/>
        </w:rPr>
        <w:t xml:space="preserve">row 84 (28 CFR 115.341(a)-(e); 115.342(a)-(b); 15 CCR 1302 (definition of youth), 1350.5(d)-(f), 1352, 1354).</w:t>
      </w: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11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84 (28 CFR 115.341(a)-(e); 115.342(a)-(b); 15 CCR 1302 (definition of youth), 1350.5(d)-(f), 1352, 1354); row 86 (28 CFR 115.313(a); 115.342(a)-(b); 15 CCR 1324 (required contents of the manual), 1352).</w:t>
      </w:r>
    </w:p>
    <w:p>
      <w:pPr>
        <w:spacing w:after="260" w:line="260"/>
      </w:pPr>
      <w:r>
        <w:rPr>
          <w:color w:val="5A5A5A"/>
          <w:sz w:val="24"/>
          <w:szCs w:val="24"/>
        </w:rPr>
        <w:t xml:space="preserve">All rows: 31, 32, 34, 35, 36, 78, 80, 82, 83, 84, 86.</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8.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8</dc:description>
  <cp:lastModifiedBy>Un-named</cp:lastModifiedBy>
  <cp:revision>1</cp:revision>
  <dcterms:created xsi:type="dcterms:W3CDTF">2026-10-06T19:47:17.417Z</dcterms:created>
  <dcterms:modified xsi:type="dcterms:W3CDTF">2026-10-06T19:47:17.417Z</dcterms:modified>
</cp:coreProperties>
</file>

<file path=docProps/custom.xml><?xml version="1.0" encoding="utf-8"?>
<Properties xmlns="http://schemas.openxmlformats.org/officeDocument/2006/custom-properties" xmlns:vt="http://schemas.openxmlformats.org/officeDocument/2006/docPropsVTypes"/>
</file>