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 w:eastAsia="맑은 고딕"/>
          <w:b/>
          <w:sz w:val="22"/>
        </w:rPr>
        <w:t>[별지 제2호서식]</w:t>
      </w:r>
    </w:p>
    <w:p>
      <w:pPr>
        <w:jc w:val="center"/>
      </w:pPr>
      <w:r>
        <w:rPr>
          <w:rFonts w:ascii="맑은 고딕" w:hAnsi="맑은 고딕" w:eastAsia="맑은 고딕"/>
          <w:b/>
          <w:color w:val="1F3A68"/>
          <w:sz w:val="44"/>
        </w:rPr>
        <w:t>전자금융사고 보고서</w:t>
      </w:r>
    </w:p>
    <w:p>
      <w:pPr>
        <w:jc w:val="center"/>
      </w:pPr>
      <w:r>
        <w:rPr>
          <w:rFonts w:ascii="맑은 고딕" w:hAnsi="맑은 고딕" w:eastAsia="맑은 고딕"/>
          <w:b w:val="0"/>
          <w:color w:val="606060"/>
          <w:sz w:val="20"/>
        </w:rPr>
        <w:t>(사내 세칙 정렬 10섹션 임원 보고용 본문 포함)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EEF1F7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보고일자</w:t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{보고일자}</w:t>
            </w:r>
          </w:p>
        </w:tc>
        <w:tc>
          <w:tcPr>
            <w:tcW w:type="dxa" w:w="2436"/>
            <w:shd w:fill="EEF1F7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보고 종류</w:t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{보고종류}</w:t>
            </w:r>
          </w:p>
        </w:tc>
      </w:tr>
      <w:tr>
        <w:tc>
          <w:tcPr>
            <w:tcW w:type="dxa" w:w="2436"/>
            <w:shd w:fill="EEF1F7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사고번호 (case_id)</w:t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{case_id}</w:t>
            </w:r>
          </w:p>
        </w:tc>
        <w:tc>
          <w:tcPr>
            <w:tcW w:type="dxa" w:w="2436"/>
            <w:shd w:fill="EEF1F7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사고 발생 시점 (T0, KST)</w:t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{T0_KST}</w:t>
            </w:r>
          </w:p>
        </w:tc>
      </w:tr>
      <w:tr>
        <w:tc>
          <w:tcPr>
            <w:tcW w:type="dxa" w:w="2436"/>
            <w:shd w:fill="EEF1F7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사고 유형</w:t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{사고유형}</w:t>
            </w:r>
          </w:p>
        </w:tc>
        <w:tc>
          <w:tcPr>
            <w:tcW w:type="dxa" w:w="2436"/>
            <w:shd w:fill="EEF1F7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사고 등급</w:t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{사고등급}</w:t>
            </w:r>
          </w:p>
        </w:tc>
      </w:tr>
      <w:tr>
        <w:tc>
          <w:tcPr>
            <w:tcW w:type="dxa" w:w="2436"/>
            <w:shd w:fill="EEF1F7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등급 확정 권한</w:t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{등급확정권한}</w:t>
            </w:r>
          </w:p>
        </w:tc>
        <w:tc>
          <w:tcPr>
            <w:tcW w:type="dxa" w:w="2436"/>
            <w:shd w:fill="EEF1F7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1차보고 기한</w:t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{보고기한_최초}</w:t>
            </w:r>
          </w:p>
        </w:tc>
      </w:tr>
      <w:tr>
        <w:tc>
          <w:tcPr>
            <w:tcW w:type="dxa" w:w="2436"/>
            <w:shd w:fill="EEF1F7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보고기관</w:t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금융감독원 (EFARS)</w:t>
            </w:r>
          </w:p>
        </w:tc>
        <w:tc>
          <w:tcPr>
            <w:tcW w:type="dxa" w:w="2436"/>
            <w:shd w:fill="EEF1F7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보고 채널</w:t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{보고채널}</w:t>
            </w:r>
          </w:p>
        </w:tc>
      </w:tr>
      <w:tr>
        <w:tc>
          <w:tcPr>
            <w:tcW w:type="dxa" w:w="2436"/>
            <w:shd w:fill="EEF1F7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작성자(실무)</w:t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IT사고대응반장</w:t>
            </w:r>
          </w:p>
        </w:tc>
        <w:tc>
          <w:tcPr>
            <w:tcW w:type="dxa" w:w="2436"/>
            <w:shd w:fill="EEF1F7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총괄 검토</w:t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IT운영부장</w:t>
            </w:r>
          </w:p>
        </w:tc>
      </w:tr>
    </w:tbl>
    <w:p/>
    <w:p>
      <w:r>
        <w:rPr>
          <w:rFonts w:ascii="맑은 고딕" w:hAnsi="맑은 고딕" w:eastAsia="맑은 고딕"/>
          <w:b w:val="0"/>
          <w:color w:val="606060"/>
          <w:sz w:val="18"/>
        </w:rPr>
        <w:t>※ 보고 종류 enum: 1차보고 / 경과보고 / 종료보고 / 원인분석 보고서</w:t>
      </w:r>
    </w:p>
    <w:p>
      <w:r>
        <w:rPr>
          <w:rFonts w:ascii="맑은 고딕" w:hAnsi="맑은 고딕" w:eastAsia="맑은 고딕"/>
          <w:b w:val="0"/>
          <w:color w:val="606060"/>
          <w:sz w:val="18"/>
        </w:rPr>
        <w:t>※ 보고 채널 enum: EFARS (원칙) / 서면·팩스·유선 (부득이 시) — 사내 세칙 제10조</w:t>
      </w:r>
    </w:p>
    <w:p>
      <w:r>
        <w:br w:type="page"/>
      </w:r>
    </w:p>
    <w:p>
      <w:pPr>
        <w:spacing w:before="160" w:after="80"/>
      </w:pPr>
      <w:r>
        <w:rPr>
          <w:rFonts w:ascii="맑은 고딕" w:hAnsi="맑은 고딕" w:eastAsia="맑은 고딕"/>
          <w:b/>
          <w:color w:val="1F3A68"/>
          <w:sz w:val="28"/>
        </w:rPr>
        <w:t>§0. 임원 요약 (Executive Summary)</w:t>
      </w:r>
    </w:p>
    <w:p>
      <w:r>
        <w:rPr>
          <w:rFonts w:ascii="맑은 고딕" w:hAnsi="맑은 고딕" w:eastAsia="맑은 고딕"/>
          <w:b w:val="0"/>
          <w:sz w:val="18"/>
        </w:rPr>
        <w:t>(6~8줄, 220자 단문 요약본은 별도 .txt로 동시 생성)</w:t>
      </w:r>
    </w:p>
    <w:p>
      <w:r>
        <w:rPr>
          <w:rFonts w:ascii="맑은 고딕" w:hAnsi="맑은 고딕" w:eastAsia="맑은 고딕"/>
          <w:b/>
          <w:sz w:val="20"/>
        </w:rPr>
        <w:t xml:space="preserve">[임원요약] </w:t>
      </w:r>
      <w:r>
        <w:rPr>
          <w:rFonts w:ascii="맑은 고딕" w:hAnsi="맑은 고딕" w:eastAsia="맑은 고딕"/>
          <w:b w:val="0"/>
          <w:color w:val="C00000"/>
          <w:sz w:val="20"/>
        </w:rPr>
        <w:t>{임원요약}</w:t>
      </w:r>
      <w:r>
        <w:rPr>
          <w:rFonts w:ascii="맑은 고딕" w:hAnsi="맑은 고딕" w:eastAsia="맑은 고딕"/>
          <w:b w:val="0"/>
          <w:color w:val="808080"/>
          <w:sz w:val="18"/>
        </w:rPr>
        <w:t xml:space="preserve">  ※ 사건/시점/유형·등급/등급확정권한/영향등급/현재상태/사내 vs 외부/결정요청 8개 요소</w:t>
      </w:r>
    </w:p>
    <w:p>
      <w:pPr>
        <w:spacing w:before="160" w:after="80"/>
      </w:pPr>
      <w:r>
        <w:rPr>
          <w:rFonts w:ascii="맑은 고딕" w:hAnsi="맑은 고딕" w:eastAsia="맑은 고딕"/>
          <w:b/>
          <w:color w:val="1F3A68"/>
          <w:sz w:val="28"/>
        </w:rPr>
        <w:t>§1. 사고 개요</w:t>
      </w:r>
    </w:p>
    <w:p>
      <w:pPr>
        <w:spacing w:before="160" w:after="80"/>
      </w:pPr>
      <w:r>
        <w:rPr>
          <w:rFonts w:ascii="맑은 고딕" w:hAnsi="맑은 고딕" w:eastAsia="맑은 고딕"/>
          <w:b/>
          <w:color w:val="1F3A68"/>
          <w:sz w:val="22"/>
        </w:rPr>
        <w:t>1-1. 사고 타임라인</w:t>
      </w:r>
    </w:p>
    <w:p>
      <w:r>
        <w:rPr>
          <w:rFonts w:ascii="맑은 고딕" w:hAnsi="맑은 고딕" w:eastAsia="맑은 고딕"/>
          <w:b w:val="0"/>
          <w:sz w:val="18"/>
        </w:rPr>
        <w:t>(user_facts에서 추출한 시각·이벤트만 표시. 추정 시각 금지.)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3A68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시각 (KST)</w:t>
            </w:r>
          </w:p>
        </w:tc>
        <w:tc>
          <w:tcPr>
            <w:tcW w:type="dxa" w:w="3249"/>
            <w:shd w:fill="1F3A68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이벤트</w:t>
            </w:r>
          </w:p>
        </w:tc>
        <w:tc>
          <w:tcPr>
            <w:tcW w:type="dxa" w:w="3249"/>
            <w:shd w:fill="1F3A68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출처/근거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</w:tbl>
    <w:p/>
    <w:p>
      <w:pPr>
        <w:spacing w:before="160" w:after="80"/>
      </w:pPr>
      <w:r>
        <w:rPr>
          <w:rFonts w:ascii="맑은 고딕" w:hAnsi="맑은 고딕" w:eastAsia="맑은 고딕"/>
          <w:b/>
          <w:color w:val="1F3A68"/>
          <w:sz w:val="22"/>
        </w:rPr>
        <w:t>1-2. 영향 시스템·서비스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1F3A68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시스템·서비스</w:t>
            </w:r>
          </w:p>
        </w:tc>
        <w:tc>
          <w:tcPr>
            <w:tcW w:type="dxa" w:w="2436"/>
            <w:shd w:fill="1F3A68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다운타임</w:t>
            </w:r>
          </w:p>
        </w:tc>
        <w:tc>
          <w:tcPr>
            <w:tcW w:type="dxa" w:w="2436"/>
            <w:shd w:fill="1F3A68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영향 사용자 범위</w:t>
            </w:r>
          </w:p>
        </w:tc>
        <w:tc>
          <w:tcPr>
            <w:tcW w:type="dxa" w:w="2436"/>
            <w:shd w:fill="1F3A68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근거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</w:tbl>
    <w:p/>
    <w:p>
      <w:pPr>
        <w:spacing w:before="160" w:after="80"/>
      </w:pPr>
      <w:r>
        <w:rPr>
          <w:rFonts w:ascii="맑은 고딕" w:hAnsi="맑은 고딕" w:eastAsia="맑은 고딕"/>
          <w:b/>
          <w:color w:val="1F3A68"/>
          <w:sz w:val="22"/>
        </w:rPr>
        <w:t>1-3. 사고 유형 (사내 세칙 제6조)</w:t>
      </w:r>
    </w:p>
    <w:p>
      <w:r>
        <w:rPr>
          <w:rFonts w:ascii="맑은 고딕" w:hAnsi="맑은 고딕" w:eastAsia="맑은 고딕"/>
          <w:b/>
          <w:sz w:val="20"/>
        </w:rPr>
        <w:t xml:space="preserve">[사고유형] </w:t>
      </w:r>
      <w:r>
        <w:rPr>
          <w:rFonts w:ascii="맑은 고딕" w:hAnsi="맑은 고딕" w:eastAsia="맑은 고딕"/>
          <w:b w:val="0"/>
          <w:color w:val="C00000"/>
          <w:sz w:val="20"/>
        </w:rPr>
        <w:t>{사고유형}</w:t>
      </w:r>
      <w:r>
        <w:rPr>
          <w:rFonts w:ascii="맑은 고딕" w:hAnsi="맑은 고딕" w:eastAsia="맑은 고딕"/>
          <w:b w:val="0"/>
          <w:color w:val="808080"/>
          <w:sz w:val="18"/>
        </w:rPr>
        <w:t xml:space="preserve">  ※ enum: 전산장애 / 보안침해 / 부정거래 — 1개 선택</w:t>
      </w:r>
    </w:p>
    <w:p>
      <w:r>
        <w:rPr>
          <w:rFonts w:ascii="맑은 고딕" w:hAnsi="맑은 고딕" w:eastAsia="맑은 고딕"/>
          <w:b w:val="0"/>
          <w:sz w:val="18"/>
        </w:rPr>
        <w:t>[근거: 사내 세칙 제6조]</w:t>
      </w:r>
    </w:p>
    <w:p>
      <w:pPr>
        <w:spacing w:before="160" w:after="80"/>
      </w:pPr>
      <w:r>
        <w:rPr>
          <w:rFonts w:ascii="맑은 고딕" w:hAnsi="맑은 고딕" w:eastAsia="맑은 고딕"/>
          <w:b/>
          <w:color w:val="1F3A68"/>
          <w:sz w:val="22"/>
        </w:rPr>
        <w:t>1-4. 사고 등급 + 대응 수준 (사내 세칙 제7조)</w:t>
      </w:r>
    </w:p>
    <w:p>
      <w:r>
        <w:rPr>
          <w:rFonts w:ascii="맑은 고딕" w:hAnsi="맑은 고딕" w:eastAsia="맑은 고딕"/>
          <w:b/>
          <w:sz w:val="20"/>
        </w:rPr>
        <w:t xml:space="preserve">[사고등급] </w:t>
      </w:r>
      <w:r>
        <w:rPr>
          <w:rFonts w:ascii="맑은 고딕" w:hAnsi="맑은 고딕" w:eastAsia="맑은 고딕"/>
          <w:b w:val="0"/>
          <w:color w:val="C00000"/>
          <w:sz w:val="20"/>
        </w:rPr>
        <w:t>{사고등급}</w:t>
      </w:r>
      <w:r>
        <w:rPr>
          <w:rFonts w:ascii="맑은 고딕" w:hAnsi="맑은 고딕" w:eastAsia="맑은 고딕"/>
          <w:b w:val="0"/>
          <w:color w:val="808080"/>
          <w:sz w:val="18"/>
        </w:rPr>
        <w:t xml:space="preserve">  ※ enum: 1등급 / 2등급 / 3등급 / 4등급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1F3A68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등급</w:t>
            </w:r>
          </w:p>
        </w:tc>
        <w:tc>
          <w:tcPr>
            <w:tcW w:type="dxa" w:w="1949"/>
            <w:shd w:fill="1F3A68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영향 범위</w:t>
            </w:r>
          </w:p>
        </w:tc>
        <w:tc>
          <w:tcPr>
            <w:tcW w:type="dxa" w:w="1949"/>
            <w:shd w:fill="1F3A68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지속/피해</w:t>
            </w:r>
          </w:p>
        </w:tc>
        <w:tc>
          <w:tcPr>
            <w:tcW w:type="dxa" w:w="1949"/>
            <w:shd w:fill="1F3A68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대응 수준</w:t>
            </w:r>
          </w:p>
        </w:tc>
        <w:tc>
          <w:tcPr>
            <w:tcW w:type="dxa" w:w="1949"/>
            <w:shd w:fill="1F3A68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본 사고 해당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1등급</w:t>
            </w:r>
          </w:p>
        </w:tc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전사 핵심 채널 전면 중단</w:t>
            </w:r>
          </w:p>
        </w:tc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4h 초과 또는 1억원+</w:t>
            </w:r>
          </w:p>
        </w:tc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비상대응위원회 즉시 소집</w:t>
            </w:r>
          </w:p>
        </w:tc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☐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2등급</w:t>
            </w:r>
          </w:p>
        </w:tc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주요 서비스 일부 중단</w:t>
            </w:r>
          </w:p>
        </w:tc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1~4h 또는 1천만원+</w:t>
            </w:r>
          </w:p>
        </w:tc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IT사고대응반장 책임 운영</w:t>
            </w:r>
          </w:p>
        </w:tc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☐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3등급</w:t>
            </w:r>
          </w:p>
        </w:tc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단위업무 지연</w:t>
            </w:r>
          </w:p>
        </w:tc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1h 이내 / 경미</w:t>
            </w:r>
          </w:p>
        </w:tc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담당팀 자체 대응</w:t>
            </w:r>
          </w:p>
        </w:tc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☐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4등급</w:t>
            </w:r>
          </w:p>
        </w:tc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내부 시스템 한정</w:t>
            </w:r>
          </w:p>
        </w:tc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우회처리 가능</w:t>
            </w:r>
          </w:p>
        </w:tc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정기 보고로 갈음</w:t>
            </w:r>
          </w:p>
        </w:tc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☐</w:t>
            </w:r>
          </w:p>
        </w:tc>
      </w:tr>
    </w:tbl>
    <w:p/>
    <w:p>
      <w:r>
        <w:rPr>
          <w:rFonts w:ascii="맑은 고딕" w:hAnsi="맑은 고딕" w:eastAsia="맑은 고딕"/>
          <w:b w:val="0"/>
          <w:sz w:val="18"/>
        </w:rPr>
        <w:t>[근거: 사내 세칙 제7조]</w:t>
      </w:r>
    </w:p>
    <w:p>
      <w:pPr>
        <w:spacing w:before="160" w:after="80"/>
      </w:pPr>
      <w:r>
        <w:rPr>
          <w:rFonts w:ascii="맑은 고딕" w:hAnsi="맑은 고딕" w:eastAsia="맑은 고딕"/>
          <w:b/>
          <w:color w:val="1F3A68"/>
          <w:sz w:val="22"/>
        </w:rPr>
        <w:t>1-5. 등급 확정 권한 (사내 세칙 제7조②)</w:t>
      </w:r>
    </w:p>
    <w:p>
      <w:r>
        <w:rPr>
          <w:rFonts w:ascii="맑은 고딕" w:hAnsi="맑은 고딕" w:eastAsia="맑은 고딕"/>
          <w:b/>
          <w:sz w:val="20"/>
        </w:rPr>
        <w:t xml:space="preserve">[등급확정권한] </w:t>
      </w:r>
      <w:r>
        <w:rPr>
          <w:rFonts w:ascii="맑은 고딕" w:hAnsi="맑은 고딕" w:eastAsia="맑은 고딕"/>
          <w:b w:val="0"/>
          <w:color w:val="C00000"/>
          <w:sz w:val="20"/>
        </w:rPr>
        <w:t>{등급확정권한}</w:t>
      </w:r>
      <w:r>
        <w:rPr>
          <w:rFonts w:ascii="맑은 고딕" w:hAnsi="맑은 고딕" w:eastAsia="맑은 고딕"/>
          <w:b w:val="0"/>
          <w:color w:val="808080"/>
          <w:sz w:val="18"/>
        </w:rPr>
        <w:t xml:space="preserve">  ※ 본 등급은 IT사고대응반장의 1차 평가이며, 2등급 이상은 비상대응위원장의 최종 확정 필요</w:t>
      </w:r>
    </w:p>
    <w:p>
      <w:r>
        <w:rPr>
          <w:rFonts w:ascii="맑은 고딕" w:hAnsi="맑은 고딕" w:eastAsia="맑은 고딕"/>
          <w:b w:val="0"/>
          <w:sz w:val="18"/>
        </w:rPr>
        <w:t>[근거: 사내 세칙 제7조②]</w:t>
      </w:r>
    </w:p>
    <w:p>
      <w:pPr>
        <w:spacing w:before="160" w:after="80"/>
      </w:pPr>
      <w:r>
        <w:rPr>
          <w:rFonts w:ascii="맑은 고딕" w:hAnsi="맑은 고딕" w:eastAsia="맑은 고딕"/>
          <w:b/>
          <w:color w:val="1F3A68"/>
          <w:sz w:val="28"/>
        </w:rPr>
        <w:t>§2. 사고 영향 분석 (정성 평가만 — 정량 금액 산출 금지)</w:t>
      </w:r>
    </w:p>
    <w:p>
      <w:r>
        <w:rPr>
          <w:rFonts w:ascii="맑은 고딕" w:hAnsi="맑은 고딕" w:eastAsia="맑은 고딕"/>
          <w:b w:val="0"/>
          <w:sz w:val="18"/>
        </w:rPr>
        <w:t>각 4축(업무·고객·재무·규제·평판)에 대해 ①영향 등급(저/중/고) ②평가 근거 ③가정 ④[데이터 필요] 표시.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1F3A68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축</w:t>
            </w:r>
          </w:p>
        </w:tc>
        <w:tc>
          <w:tcPr>
            <w:tcW w:type="dxa" w:w="2436"/>
            <w:shd w:fill="1F3A68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영향 등급</w:t>
            </w:r>
          </w:p>
        </w:tc>
        <w:tc>
          <w:tcPr>
            <w:tcW w:type="dxa" w:w="2436"/>
            <w:shd w:fill="1F3A68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평가 근거</w:t>
            </w:r>
          </w:p>
        </w:tc>
        <w:tc>
          <w:tcPr>
            <w:tcW w:type="dxa" w:w="2436"/>
            <w:shd w:fill="1F3A68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가정 / [데이터 필요]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§2-1 업무</w:t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§2-2 고객</w:t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§2-3 재무·운영 (정량 금액 금지)</w:t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§2-4 규제·평판 (사내 징계 + 외부 제재 모두 인용)</w:t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</w:tbl>
    <w:p/>
    <w:p>
      <w:pPr>
        <w:spacing w:before="160" w:after="80"/>
      </w:pPr>
      <w:r>
        <w:rPr>
          <w:rFonts w:ascii="맑은 고딕" w:hAnsi="맑은 고딕" w:eastAsia="맑은 고딕"/>
          <w:b/>
          <w:color w:val="1F3A68"/>
          <w:sz w:val="28"/>
        </w:rPr>
        <w:t>§3. 사고 원인 분석 — 초기 가설</w:t>
      </w:r>
    </w:p>
    <w:p>
      <w:r>
        <w:rPr>
          <w:rFonts w:ascii="맑은 고딕" w:hAnsi="맑은 고딕" w:eastAsia="맑은 고딕"/>
          <w:b/>
          <w:sz w:val="18"/>
        </w:rPr>
        <w:t>⚠️ 모든 §3 항목 첫 줄에 "초기 가설 — 디지털 포렌식 결과로 확정 필요" 라벨 부착 의무.</w:t>
      </w:r>
    </w:p>
    <w:p>
      <w:pPr>
        <w:spacing w:before="160" w:after="80"/>
      </w:pPr>
      <w:r>
        <w:rPr>
          <w:rFonts w:ascii="맑은 고딕" w:hAnsi="맑은 고딕" w:eastAsia="맑은 고딕"/>
          <w:b/>
          <w:color w:val="1F3A68"/>
          <w:sz w:val="22"/>
        </w:rPr>
        <w:t>3-1. 직접 원인 (가설)</w:t>
      </w:r>
    </w:p>
    <w:p>
      <w:r>
        <w:rPr>
          <w:rFonts w:ascii="맑은 고딕" w:hAnsi="맑은 고딕" w:eastAsia="맑은 고딕"/>
          <w:b w:val="0"/>
          <w:sz w:val="20"/>
        </w:rPr>
        <w:t>⚠️ 초기 가설 — 디지털 포렌식 결과로 확정 필요</w:t>
      </w:r>
    </w:p>
    <w:p>
      <w:r>
        <w:rPr>
          <w:rFonts w:ascii="맑은 고딕" w:hAnsi="맑은 고딕" w:eastAsia="맑은 고딕"/>
          <w:b w:val="0"/>
          <w:sz w:val="20"/>
        </w:rPr>
        <w:t>[데이터 미확보]</w:t>
      </w:r>
    </w:p>
    <w:p>
      <w:pPr>
        <w:spacing w:before="160" w:after="80"/>
      </w:pPr>
      <w:r>
        <w:rPr>
          <w:rFonts w:ascii="맑은 고딕" w:hAnsi="맑은 고딕" w:eastAsia="맑은 고딕"/>
          <w:b/>
          <w:color w:val="1F3A68"/>
          <w:sz w:val="22"/>
        </w:rPr>
        <w:t>3-2. Kill Chain (보안사고 시)</w:t>
      </w:r>
    </w:p>
    <w:p>
      <w:r>
        <w:rPr>
          <w:rFonts w:ascii="맑은 고딕" w:hAnsi="맑은 고딕" w:eastAsia="맑은 고딕"/>
          <w:b w:val="0"/>
          <w:sz w:val="20"/>
        </w:rPr>
        <w:t>⚠️ 초기 가설 — 디지털 포렌식 결과로 확정 필요</w:t>
      </w:r>
    </w:p>
    <w:p>
      <w:r>
        <w:rPr>
          <w:rFonts w:ascii="맑은 고딕" w:hAnsi="맑은 고딕" w:eastAsia="맑은 고딕"/>
          <w:b w:val="0"/>
          <w:sz w:val="20"/>
        </w:rPr>
        <w:t>[데이터 미확보]</w:t>
      </w:r>
    </w:p>
    <w:p>
      <w:pPr>
        <w:spacing w:before="160" w:after="80"/>
      </w:pPr>
      <w:r>
        <w:rPr>
          <w:rFonts w:ascii="맑은 고딕" w:hAnsi="맑은 고딕" w:eastAsia="맑은 고딕"/>
          <w:b/>
          <w:color w:val="1F3A68"/>
          <w:sz w:val="22"/>
        </w:rPr>
        <w:t>3-3. 근본 원인 후보</w:t>
      </w:r>
    </w:p>
    <w:p>
      <w:r>
        <w:rPr>
          <w:rFonts w:ascii="맑은 고딕" w:hAnsi="맑은 고딕" w:eastAsia="맑은 고딕"/>
          <w:b w:val="0"/>
          <w:sz w:val="20"/>
        </w:rPr>
        <w:t>⚠️ 초기 가설 — 디지털 포렌식 결과로 확정 필요</w:t>
      </w:r>
    </w:p>
    <w:p>
      <w:r>
        <w:rPr>
          <w:rFonts w:ascii="맑은 고딕" w:hAnsi="맑은 고딕" w:eastAsia="맑은 고딕"/>
          <w:b w:val="0"/>
          <w:sz w:val="20"/>
        </w:rPr>
        <w:t>[데이터 미확보]</w:t>
      </w:r>
    </w:p>
    <w:p>
      <w:pPr>
        <w:spacing w:before="160" w:after="80"/>
      </w:pPr>
      <w:r>
        <w:rPr>
          <w:rFonts w:ascii="맑은 고딕" w:hAnsi="맑은 고딕" w:eastAsia="맑은 고딕"/>
          <w:b/>
          <w:color w:val="1F3A68"/>
          <w:sz w:val="28"/>
        </w:rPr>
        <w:t>§4. 적용 법령 및 의무사항</w:t>
      </w:r>
    </w:p>
    <w:p>
      <w:pPr>
        <w:spacing w:before="160" w:after="80"/>
      </w:pPr>
      <w:r>
        <w:rPr>
          <w:rFonts w:ascii="맑은 고딕" w:hAnsi="맑은 고딕" w:eastAsia="맑은 고딕"/>
          <w:b/>
          <w:color w:val="1F3A68"/>
          <w:sz w:val="22"/>
        </w:rPr>
        <w:t>4-1. 적용 조항 표 (사내 세칙 우선 정렬)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1392"/>
            <w:shd w:fill="1F3A68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출처</w:t>
            </w:r>
          </w:p>
        </w:tc>
        <w:tc>
          <w:tcPr>
            <w:tcW w:type="dxa" w:w="1392"/>
            <w:shd w:fill="1F3A68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법령·세칙</w:t>
            </w:r>
          </w:p>
        </w:tc>
        <w:tc>
          <w:tcPr>
            <w:tcW w:type="dxa" w:w="1392"/>
            <w:shd w:fill="1F3A68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조항</w:t>
            </w:r>
          </w:p>
        </w:tc>
        <w:tc>
          <w:tcPr>
            <w:tcW w:type="dxa" w:w="1392"/>
            <w:shd w:fill="1F3A68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의무 요지</w:t>
            </w:r>
          </w:p>
        </w:tc>
        <w:tc>
          <w:tcPr>
            <w:tcW w:type="dxa" w:w="1392"/>
            <w:shd w:fill="1F3A68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위반 시 제재</w:t>
            </w:r>
          </w:p>
        </w:tc>
        <w:tc>
          <w:tcPr>
            <w:tcW w:type="dxa" w:w="1392"/>
            <w:shd w:fill="1F3A68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소관 기관</w:t>
            </w:r>
          </w:p>
        </w:tc>
        <w:tc>
          <w:tcPr>
            <w:tcW w:type="dxa" w:w="1392"/>
            <w:shd w:fill="1F3A68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자체강화</w:t>
            </w:r>
          </w:p>
        </w:tc>
      </w:tr>
      <w:tr>
        <w:tc>
          <w:tcPr>
            <w:tcW w:type="dxa" w:w="139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사내</w:t>
            </w:r>
          </w:p>
        </w:tc>
        <w:tc>
          <w:tcPr>
            <w:tcW w:type="dxa" w:w="139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39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39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39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39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39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☐</w:t>
            </w:r>
          </w:p>
        </w:tc>
      </w:tr>
      <w:tr>
        <w:tc>
          <w:tcPr>
            <w:tcW w:type="dxa" w:w="139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사내</w:t>
            </w:r>
          </w:p>
        </w:tc>
        <w:tc>
          <w:tcPr>
            <w:tcW w:type="dxa" w:w="139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39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39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39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39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39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☐</w:t>
            </w:r>
          </w:p>
        </w:tc>
      </w:tr>
      <w:tr>
        <w:tc>
          <w:tcPr>
            <w:tcW w:type="dxa" w:w="139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외부</w:t>
            </w:r>
          </w:p>
        </w:tc>
        <w:tc>
          <w:tcPr>
            <w:tcW w:type="dxa" w:w="139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39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39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39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39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39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☐</w:t>
            </w:r>
          </w:p>
        </w:tc>
      </w:tr>
      <w:tr>
        <w:tc>
          <w:tcPr>
            <w:tcW w:type="dxa" w:w="139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외부</w:t>
            </w:r>
          </w:p>
        </w:tc>
        <w:tc>
          <w:tcPr>
            <w:tcW w:type="dxa" w:w="139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39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39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39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39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39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☐</w:t>
            </w:r>
          </w:p>
        </w:tc>
      </w:tr>
    </w:tbl>
    <w:p/>
    <w:p>
      <w:r>
        <w:rPr>
          <w:rFonts w:ascii="맑은 고딕" w:hAnsi="맑은 고딕" w:eastAsia="맑은 고딕"/>
          <w:b w:val="0"/>
          <w:sz w:val="18"/>
        </w:rPr>
        <w:t>※ 출처 enum: 사내 / 외부 | 자체강화 ☑/☐ = is_internal_strengthened</w:t>
      </w:r>
    </w:p>
    <w:p>
      <w:r>
        <w:rPr>
          <w:rFonts w:ascii="맑은 고딕" w:hAnsi="맑은 고딕" w:eastAsia="맑은 고딕"/>
          <w:b w:val="0"/>
          <w:sz w:val="18"/>
        </w:rPr>
        <w:t>※ 위반 시 제재 null → "근거 미확정" / 사내 세칙 위반 → "사내 징계 — 인사부 별도 결정"</w:t>
      </w:r>
    </w:p>
    <w:p>
      <w:pPr>
        <w:spacing w:before="160" w:after="80"/>
      </w:pPr>
      <w:r>
        <w:rPr>
          <w:rFonts w:ascii="맑은 고딕" w:hAnsi="맑은 고딕" w:eastAsia="맑은 고딕"/>
          <w:b/>
          <w:color w:val="1F3A68"/>
          <w:sz w:val="22"/>
        </w:rPr>
        <w:t>4-2. 보고·신고 의무 매트릭스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1F3A68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기관</w:t>
            </w:r>
          </w:p>
        </w:tc>
        <w:tc>
          <w:tcPr>
            <w:tcW w:type="dxa" w:w="1949"/>
            <w:shd w:fill="1F3A68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보고 종류</w:t>
            </w:r>
          </w:p>
        </w:tc>
        <w:tc>
          <w:tcPr>
            <w:tcW w:type="dxa" w:w="1949"/>
            <w:shd w:fill="1F3A68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기한</w:t>
            </w:r>
          </w:p>
        </w:tc>
        <w:tc>
          <w:tcPr>
            <w:tcW w:type="dxa" w:w="1949"/>
            <w:shd w:fill="1F3A68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채널</w:t>
            </w:r>
          </w:p>
        </w:tc>
        <w:tc>
          <w:tcPr>
            <w:tcW w:type="dxa" w:w="1949"/>
            <w:shd w:fill="1F3A68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근거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금융감독원 (EFARS)</w:t>
            </w:r>
          </w:p>
        </w:tc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1차보고</w:t>
            </w:r>
          </w:p>
        </w:tc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T0 + 12h</w:t>
            </w:r>
          </w:p>
        </w:tc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EFARS / 서면·팩스·유선</w:t>
            </w:r>
          </w:p>
        </w:tc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사내 세칙 제11조 + 제10조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금융감독원 (EFARS)</w:t>
            </w:r>
          </w:p>
        </w:tc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경과보고</w:t>
            </w:r>
          </w:p>
        </w:tc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인지일 + 45일 + 매 90일</w:t>
            </w:r>
          </w:p>
        </w:tc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EFARS</w:t>
            </w:r>
          </w:p>
        </w:tc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사내 세칙 제11조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금융감독원 (EFARS)</w:t>
            </w:r>
          </w:p>
        </w:tc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종료보고</w:t>
            </w:r>
          </w:p>
        </w:tc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조치 완료 시점</w:t>
            </w:r>
          </w:p>
        </w:tc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EFARS</w:t>
            </w:r>
          </w:p>
        </w:tc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사내 세칙 제11조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사내 (IT운영부)</w:t>
            </w:r>
          </w:p>
        </w:tc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원인분석 보고서</w:t>
            </w:r>
          </w:p>
        </w:tc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종료일 + 21일</w:t>
            </w:r>
          </w:p>
        </w:tc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내부</w:t>
            </w:r>
          </w:p>
        </w:tc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사내 세칙 제18조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개인정보보호위원회</w:t>
            </w:r>
          </w:p>
        </w:tc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(정보유출 시)</w:t>
            </w:r>
          </w:p>
        </w:tc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72시간 이내</w:t>
            </w:r>
          </w:p>
        </w:tc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별도 채널</w:t>
            </w:r>
          </w:p>
        </w:tc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개인정보 보호법</w:t>
            </w:r>
          </w:p>
        </w:tc>
      </w:tr>
    </w:tbl>
    <w:p/>
    <w:p>
      <w:pPr>
        <w:spacing w:before="160" w:after="80"/>
      </w:pPr>
      <w:r>
        <w:rPr>
          <w:rFonts w:ascii="맑은 고딕" w:hAnsi="맑은 고딕" w:eastAsia="맑은 고딕"/>
          <w:b/>
          <w:color w:val="1F3A68"/>
          <w:sz w:val="22"/>
        </w:rPr>
        <w:t>4-3. 자체 강화 기준 비교 (사내 세칙 vs 외부 법령 baseline)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1F3A68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2436"/>
            <w:shd w:fill="1F3A68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사내 세칙</w:t>
            </w:r>
          </w:p>
        </w:tc>
        <w:tc>
          <w:tcPr>
            <w:tcW w:type="dxa" w:w="2436"/>
            <w:shd w:fill="1F3A68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외부 법령 baseline</w:t>
            </w:r>
          </w:p>
        </w:tc>
        <w:tc>
          <w:tcPr>
            <w:tcW w:type="dxa" w:w="2436"/>
            <w:shd w:fill="1F3A68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적용 사유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</w:tbl>
    <w:p/>
    <w:p>
      <w:r>
        <w:rPr>
          <w:rFonts w:ascii="맑은 고딕" w:hAnsi="맑은 고딕" w:eastAsia="맑은 고딕"/>
          <w:b/>
          <w:sz w:val="18"/>
        </w:rPr>
        <w:t>"본 보고서는 사내 세칙의 강화된 기준을 적용합니다 (사내 세칙 제5조 — 자체 강화 기준의 운영)"</w:t>
      </w:r>
    </w:p>
    <w:p>
      <w:pPr>
        <w:spacing w:before="160" w:after="80"/>
      </w:pPr>
      <w:r>
        <w:rPr>
          <w:rFonts w:ascii="맑은 고딕" w:hAnsi="맑은 고딕" w:eastAsia="맑은 고딕"/>
          <w:b/>
          <w:color w:val="1F3A68"/>
          <w:sz w:val="28"/>
        </w:rPr>
        <w:t>§5. 사고 선포 및 대응 절차 (사내 세칙 제15조·제13조·제16조)</w:t>
      </w:r>
    </w:p>
    <w:p>
      <w:pPr>
        <w:spacing w:before="160" w:after="80"/>
      </w:pPr>
      <w:r>
        <w:rPr>
          <w:rFonts w:ascii="맑은 고딕" w:hAnsi="맑은 고딕" w:eastAsia="맑은 고딕"/>
          <w:b/>
          <w:color w:val="1F3A68"/>
          <w:sz w:val="22"/>
        </w:rPr>
        <w:t>5-0. 사고 선포 진행 상태 (세칙 제15조 6단계)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1F3A68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단계</w:t>
            </w:r>
          </w:p>
        </w:tc>
        <w:tc>
          <w:tcPr>
            <w:tcW w:type="dxa" w:w="2436"/>
            <w:shd w:fill="1F3A68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내용</w:t>
            </w:r>
          </w:p>
        </w:tc>
        <w:tc>
          <w:tcPr>
            <w:tcW w:type="dxa" w:w="2436"/>
            <w:shd w:fill="1F3A68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담당</w:t>
            </w:r>
          </w:p>
        </w:tc>
        <w:tc>
          <w:tcPr>
            <w:tcW w:type="dxa" w:w="2436"/>
            <w:shd w:fill="1F3A68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상태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1. 징후 인지</w:t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IT 및 현업 담당자 상호 연락</w:t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발견자</w:t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☐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2. 사고 판단</w:t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증상 분석 및 팀장·부서장 보고</w:t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IT 및 현업 담당자</w:t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☐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3. 초동 조치</w:t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격리·차단·백업 분리</w:t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IT운영부 전 직원</w:t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☐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4. 진단·내부보고</w:t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복구 가능성 진단 + 경영진 보고</w:t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IT사고대응반장</w:t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☐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5. 사고 선포</w:t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대응본부 설치 및 가동 결정</w:t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비상대응위원장</w:t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☐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6. 복구 및 정상화</w:t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시스템·프로그램·데이터 복구</w:t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시스템복구반장</w:t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☐</w:t>
            </w:r>
          </w:p>
        </w:tc>
      </w:tr>
    </w:tbl>
    <w:p/>
    <w:p>
      <w:r>
        <w:rPr>
          <w:rFonts w:ascii="맑은 고딕" w:hAnsi="맑은 고딕" w:eastAsia="맑은 고딕"/>
          <w:b w:val="0"/>
          <w:sz w:val="18"/>
        </w:rPr>
        <w:t>[근거: 사내 세칙 제15조]</w:t>
      </w:r>
    </w:p>
    <w:p>
      <w:pPr>
        <w:spacing w:before="160" w:after="80"/>
      </w:pPr>
      <w:r>
        <w:rPr>
          <w:rFonts w:ascii="맑은 고딕" w:hAnsi="맑은 고딕" w:eastAsia="맑은 고딕"/>
          <w:b/>
          <w:color w:val="1F3A68"/>
          <w:sz w:val="22"/>
        </w:rPr>
        <w:t>5-1. 완료된 조치 — 대응 우선순위 4단계 정렬 (세칙 제13조)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3A68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우선순위</w:t>
            </w:r>
          </w:p>
        </w:tc>
        <w:tc>
          <w:tcPr>
            <w:tcW w:type="dxa" w:w="3249"/>
            <w:shd w:fill="1F3A68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내용</w:t>
            </w:r>
          </w:p>
        </w:tc>
        <w:tc>
          <w:tcPr>
            <w:tcW w:type="dxa" w:w="3249"/>
            <w:shd w:fill="1F3A68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조치 결과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① 인명·자산 보호</w:t>
            </w:r>
          </w:p>
        </w:tc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user_facts에서 추출된 인명·자산 보호 조치</w:t>
            </w:r>
          </w:p>
        </w:tc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② 고객 피해 최소화</w:t>
            </w:r>
          </w:p>
        </w:tc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고객 통지·서비스 중단 안내 등</w:t>
            </w:r>
          </w:p>
        </w:tc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③ 신속한 업무 정상화</w:t>
            </w:r>
          </w:p>
        </w:tc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복구·우회처리</w:t>
            </w:r>
          </w:p>
        </w:tc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④ 사고 원인 보존 및 증거 확보</w:t>
            </w:r>
          </w:p>
        </w:tc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로그 보존·포렌식 준비</w:t>
            </w:r>
          </w:p>
        </w:tc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</w:tbl>
    <w:p/>
    <w:p>
      <w:r>
        <w:rPr>
          <w:rFonts w:ascii="맑은 고딕" w:hAnsi="맑은 고딕" w:eastAsia="맑은 고딕"/>
          <w:b w:val="0"/>
          <w:sz w:val="18"/>
        </w:rPr>
        <w:t>[근거: 사내 세칙 제13조②]</w:t>
      </w:r>
    </w:p>
    <w:p>
      <w:pPr>
        <w:spacing w:before="160" w:after="80"/>
      </w:pPr>
      <w:r>
        <w:rPr>
          <w:rFonts w:ascii="맑은 고딕" w:hAnsi="맑은 고딕" w:eastAsia="맑은 고딕"/>
          <w:b/>
          <w:color w:val="1F3A68"/>
          <w:sz w:val="22"/>
        </w:rPr>
        <w:t>5-2. 즉시 조치 (T+24h)</w:t>
      </w:r>
    </w:p>
    <w:p>
      <w:r>
        <w:rPr>
          <w:rFonts w:ascii="맑은 고딕" w:hAnsi="맑은 고딕" w:eastAsia="맑은 고딕"/>
          <w:b w:val="0"/>
          <w:sz w:val="20"/>
        </w:rPr>
        <w:t>[데이터 미확보]</w:t>
      </w:r>
    </w:p>
    <w:p>
      <w:pPr>
        <w:spacing w:before="160" w:after="80"/>
      </w:pPr>
      <w:r>
        <w:rPr>
          <w:rFonts w:ascii="맑은 고딕" w:hAnsi="맑은 고딕" w:eastAsia="맑은 고딕"/>
          <w:b/>
          <w:color w:val="1F3A68"/>
          <w:sz w:val="22"/>
        </w:rPr>
        <w:t>5-3. 단기 조치 (T+30일)</w:t>
      </w:r>
    </w:p>
    <w:p>
      <w:r>
        <w:rPr>
          <w:rFonts w:ascii="맑은 고딕" w:hAnsi="맑은 고딕" w:eastAsia="맑은 고딕"/>
          <w:b w:val="0"/>
          <w:sz w:val="20"/>
        </w:rPr>
        <w:t>[데이터 미확보]</w:t>
      </w:r>
    </w:p>
    <w:p>
      <w:pPr>
        <w:spacing w:before="160" w:after="80"/>
      </w:pPr>
      <w:r>
        <w:rPr>
          <w:rFonts w:ascii="맑은 고딕" w:hAnsi="맑은 고딕" w:eastAsia="맑은 고딕"/>
          <w:b/>
          <w:color w:val="1F3A68"/>
          <w:sz w:val="22"/>
        </w:rPr>
        <w:t>5-4. 재발방지 대책</w:t>
      </w:r>
    </w:p>
    <w:p>
      <w:r>
        <w:rPr>
          <w:rFonts w:ascii="맑은 고딕" w:hAnsi="맑은 고딕" w:eastAsia="맑은 고딕"/>
          <w:b w:val="0"/>
          <w:sz w:val="20"/>
        </w:rPr>
        <w:t>[데이터 미확보]</w:t>
      </w:r>
    </w:p>
    <w:p>
      <w:pPr>
        <w:spacing w:before="160" w:after="80"/>
      </w:pPr>
      <w:r>
        <w:rPr>
          <w:rFonts w:ascii="맑은 고딕" w:hAnsi="맑은 고딕" w:eastAsia="맑은 고딕"/>
          <w:b/>
          <w:color w:val="1F3A68"/>
          <w:sz w:val="22"/>
        </w:rPr>
        <w:t>5-A. 긴급복구 조직 (세칙 제16조 — 5개 반)</w:t>
      </w:r>
    </w:p>
    <w:p>
      <w:r>
        <w:rPr>
          <w:rFonts w:ascii="맑은 고딕" w:hAnsi="맑은 고딕" w:eastAsia="맑은 고딕"/>
          <w:b/>
          <w:sz w:val="20"/>
        </w:rPr>
        <w:t xml:space="preserve">[대응조직] </w:t>
      </w:r>
      <w:r>
        <w:rPr>
          <w:rFonts w:ascii="맑은 고딕" w:hAnsi="맑은 고딕" w:eastAsia="맑은 고딕"/>
          <w:b w:val="0"/>
          <w:color w:val="C00000"/>
          <w:sz w:val="20"/>
        </w:rPr>
        <w:t>{대응조직}</w:t>
      </w:r>
      <w:r>
        <w:rPr>
          <w:rFonts w:ascii="맑은 고딕" w:hAnsi="맑은 고딕" w:eastAsia="맑은 고딕"/>
          <w:b w:val="0"/>
          <w:color w:val="808080"/>
          <w:sz w:val="18"/>
        </w:rPr>
        <w:t xml:space="preserve">  ※ 사고 선포 시 비상대응위원장이 5개 반 설치·운영. 활성화 상태 ☑/☐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1F3A68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반</w:t>
            </w:r>
          </w:p>
        </w:tc>
        <w:tc>
          <w:tcPr>
            <w:tcW w:type="dxa" w:w="2436"/>
            <w:shd w:fill="1F3A68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임무</w:t>
            </w:r>
          </w:p>
        </w:tc>
        <w:tc>
          <w:tcPr>
            <w:tcW w:type="dxa" w:w="2436"/>
            <w:shd w:fill="1F3A68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활성화</w:t>
            </w:r>
          </w:p>
        </w:tc>
        <w:tc>
          <w:tcPr>
            <w:tcW w:type="dxa" w:w="2436"/>
            <w:shd w:fill="1F3A68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담당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총괄지휘반</w:t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상황 총괄·경영진 보고·의사결정 지원</w:t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☐</w:t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[데이터 필요 — 사내 규정 확인]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복구실행반</w:t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시스템·프로그램·데이터 복구·우회처리</w:t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☐</w:t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[데이터 필요 — 사내 규정 확인]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현업지원반</w:t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영업점 안내·고객 응대 가이드·수기처리</w:t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☐</w:t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[데이터 필요 — 사내 규정 확인]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대외협력반</w:t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금감원·금융지주·위탁업체·언론 대응</w:t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☐</w:t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[데이터 필요 — 사내 규정 확인]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법무·준법반</w:t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법령 적용 검토·보고서 준법 검토·분쟁 대응</w:t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☐</w:t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[데이터 필요 — 사내 규정 확인]</w:t>
            </w:r>
          </w:p>
        </w:tc>
      </w:tr>
    </w:tbl>
    <w:p/>
    <w:p>
      <w:r>
        <w:rPr>
          <w:rFonts w:ascii="맑은 고딕" w:hAnsi="맑은 고딕" w:eastAsia="맑은 고딕"/>
          <w:b w:val="0"/>
          <w:sz w:val="18"/>
        </w:rPr>
        <w:t>[근거: 사내 세칙 제16조②]</w:t>
      </w:r>
    </w:p>
    <w:p>
      <w:pPr>
        <w:spacing w:before="160" w:after="80"/>
      </w:pPr>
      <w:r>
        <w:rPr>
          <w:rFonts w:ascii="맑은 고딕" w:hAnsi="맑은 고딕" w:eastAsia="맑은 고딕"/>
          <w:b/>
          <w:color w:val="1F3A68"/>
          <w:sz w:val="28"/>
        </w:rPr>
        <w:t>§6. 후속 보고 일정 및 책임 체계</w:t>
      </w:r>
    </w:p>
    <w:p>
      <w:pPr>
        <w:spacing w:before="160" w:after="80"/>
      </w:pPr>
      <w:r>
        <w:rPr>
          <w:rFonts w:ascii="맑은 고딕" w:hAnsi="맑은 고딕" w:eastAsia="맑은 고딕"/>
          <w:b/>
          <w:color w:val="1F3A68"/>
          <w:sz w:val="22"/>
        </w:rPr>
        <w:t>6-1. 보고 일정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1F3A68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보고</w:t>
            </w:r>
          </w:p>
        </w:tc>
        <w:tc>
          <w:tcPr>
            <w:tcW w:type="dxa" w:w="1949"/>
            <w:shd w:fill="1F3A68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기한</w:t>
            </w:r>
          </w:p>
        </w:tc>
        <w:tc>
          <w:tcPr>
            <w:tcW w:type="dxa" w:w="1949"/>
            <w:shd w:fill="1F3A68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산출물</w:t>
            </w:r>
          </w:p>
        </w:tc>
        <w:tc>
          <w:tcPr>
            <w:tcW w:type="dxa" w:w="1949"/>
            <w:shd w:fill="1F3A68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채널</w:t>
            </w:r>
          </w:p>
        </w:tc>
        <w:tc>
          <w:tcPr>
            <w:tcW w:type="dxa" w:w="1949"/>
            <w:shd w:fill="1F3A68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근거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1차보고</w:t>
            </w:r>
          </w:p>
        </w:tc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{보고기한_최초} (T0 + 12h)</w:t>
            </w:r>
          </w:p>
        </w:tc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EFARS 1차보고서</w:t>
            </w:r>
          </w:p>
        </w:tc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EFARS / 서면·팩스·유선</w:t>
            </w:r>
          </w:p>
        </w:tc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사내 세칙 제11조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경과보고</w:t>
            </w:r>
          </w:p>
        </w:tc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중대변동 즉시 / 인지일 + 45일 / 매 90일</w:t>
            </w:r>
          </w:p>
        </w:tc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EFARS 경과보고서</w:t>
            </w:r>
          </w:p>
        </w:tc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EFARS</w:t>
            </w:r>
          </w:p>
        </w:tc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사내 세칙 제11조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종료보고</w:t>
            </w:r>
          </w:p>
        </w:tc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조치 완료 시점</w:t>
            </w:r>
          </w:p>
        </w:tc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EFARS 종료보고서</w:t>
            </w:r>
          </w:p>
        </w:tc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EFARS</w:t>
            </w:r>
          </w:p>
        </w:tc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사내 세칙 제11조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원인분석 보고서</w:t>
            </w:r>
          </w:p>
        </w:tc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종료일 + 21일</w:t>
            </w:r>
          </w:p>
        </w:tc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사내 IT운영부 제출</w:t>
            </w:r>
          </w:p>
        </w:tc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내부</w:t>
            </w:r>
          </w:p>
        </w:tc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사내 세칙 제18조</w:t>
            </w:r>
          </w:p>
        </w:tc>
      </w:tr>
    </w:tbl>
    <w:p/>
    <w:p>
      <w:pPr>
        <w:spacing w:before="160" w:after="80"/>
      </w:pPr>
      <w:r>
        <w:rPr>
          <w:rFonts w:ascii="맑은 고딕" w:hAnsi="맑은 고딕" w:eastAsia="맑은 고딕"/>
          <w:b/>
          <w:color w:val="1F3A68"/>
          <w:sz w:val="22"/>
        </w:rPr>
        <w:t>6-2. 책임 체계 (세칙 제12조)</w:t>
      </w:r>
    </w:p>
    <w:p>
      <w:r>
        <w:rPr>
          <w:rFonts w:ascii="맑은 고딕" w:hAnsi="맑은 고딕" w:eastAsia="맑은 고딕"/>
          <w:b/>
          <w:sz w:val="20"/>
        </w:rPr>
        <w:t xml:space="preserve">[책임체계] </w:t>
      </w:r>
      <w:r>
        <w:rPr>
          <w:rFonts w:ascii="맑은 고딕" w:hAnsi="맑은 고딕" w:eastAsia="맑은 고딕"/>
          <w:b w:val="0"/>
          <w:color w:val="C00000"/>
          <w:sz w:val="20"/>
        </w:rPr>
        <w:t>{책임체계}</w:t>
      </w:r>
      <w:r>
        <w:rPr>
          <w:rFonts w:ascii="맑은 고딕" w:hAnsi="맑은 고딕" w:eastAsia="맑은 고딕"/>
          <w:b w:val="0"/>
          <w:color w:val="808080"/>
          <w:sz w:val="18"/>
        </w:rPr>
        <w:t xml:space="preserve">  ※ 4역할(IT운영부장·IT사고대응반장·준법감시부서·비상대응위원장) 모두 표시 필수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1F3A68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역할</w:t>
            </w:r>
          </w:p>
        </w:tc>
        <w:tc>
          <w:tcPr>
            <w:tcW w:type="dxa" w:w="2436"/>
            <w:shd w:fill="1F3A68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책임자</w:t>
            </w:r>
          </w:p>
        </w:tc>
        <w:tc>
          <w:tcPr>
            <w:tcW w:type="dxa" w:w="2436"/>
            <w:shd w:fill="1F3A68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책임 범위</w:t>
            </w:r>
          </w:p>
        </w:tc>
        <w:tc>
          <w:tcPr>
            <w:tcW w:type="dxa" w:w="2436"/>
            <w:shd w:fill="1F3A68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근거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총괄 책임</w:t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IT운영부장</w:t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보고서 최종 검토·승인, 대표이사·준법감시인 내부 보고</w:t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사내 세칙 제12조①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실무 작성·송부</w:t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IT사고대응반장</w:t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보고서 작성·송부</w:t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사내 세칙 제12조③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사전 검토</w:t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준법감시부서</w:t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보고서 준법 검토</w:t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사내 세칙 제12조③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사고 선포·대응본부 가동</w:t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비상대응위원장 (IT운영부 소속본부 임원)</w:t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사고 선포 및 대응본부 운영 결정</w:t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사내 세칙 제15조·제2조 6호</w:t>
            </w:r>
          </w:p>
        </w:tc>
      </w:tr>
    </w:tbl>
    <w:p/>
    <w:p>
      <w:pPr>
        <w:spacing w:before="160" w:after="80"/>
      </w:pPr>
      <w:r>
        <w:rPr>
          <w:rFonts w:ascii="맑은 고딕" w:hAnsi="맑은 고딕" w:eastAsia="맑은 고딕"/>
          <w:b/>
          <w:color w:val="1F3A68"/>
          <w:sz w:val="28"/>
        </w:rPr>
        <w:t>§7. 결정 요청 사항 (To 경영진·비상대응위원장)</w:t>
      </w:r>
    </w:p>
    <w:p>
      <w:r>
        <w:rPr>
          <w:rFonts w:ascii="맑은 고딕" w:hAnsi="맑은 고딕" w:eastAsia="맑은 고딕"/>
          <w:b/>
          <w:sz w:val="20"/>
        </w:rPr>
        <w:t xml:space="preserve">[결정요청] </w:t>
      </w:r>
      <w:r>
        <w:rPr>
          <w:rFonts w:ascii="맑은 고딕" w:hAnsi="맑은 고딕" w:eastAsia="맑은 고딕"/>
          <w:b w:val="0"/>
          <w:color w:val="C00000"/>
          <w:sz w:val="20"/>
        </w:rPr>
        <w:t>{결정요청}</w:t>
      </w:r>
      <w:r>
        <w:rPr>
          <w:rFonts w:ascii="맑은 고딕" w:hAnsi="맑은 고딕" w:eastAsia="맑은 고딕"/>
          <w:b w:val="0"/>
          <w:color w:val="808080"/>
          <w:sz w:val="18"/>
        </w:rPr>
        <w:t xml:space="preserve">  ※ 각 항목에 1줄 권고 사유 첨부. 정치적 판단 금지.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☐ 사고 선포 여부 (세칙 제15조 5단계 — 2등급 이상 시 필수 결정)</w:t>
      </w:r>
    </w:p>
    <w:p>
      <w:pPr>
        <w:ind w:left="567"/>
      </w:pPr>
      <w:r>
        <w:rPr>
          <w:rFonts w:ascii="맑은 고딕" w:hAnsi="맑은 고딕" w:eastAsia="맑은 고딕"/>
          <w:b w:val="0"/>
          <w:color w:val="808080"/>
          <w:sz w:val="18"/>
        </w:rPr>
        <w:t>권고 사유: [데이터 미확보]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☐ 대응본부 가동 여부 (세칙 제16조)</w:t>
      </w:r>
    </w:p>
    <w:p>
      <w:pPr>
        <w:ind w:left="567"/>
      </w:pPr>
      <w:r>
        <w:rPr>
          <w:rFonts w:ascii="맑은 고딕" w:hAnsi="맑은 고딕" w:eastAsia="맑은 고딕"/>
          <w:b w:val="0"/>
          <w:color w:val="808080"/>
          <w:sz w:val="18"/>
        </w:rPr>
        <w:t>권고 사유: [데이터 미확보]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☐ 외부 PR·언론 대응 여부 (대외협력반 채널 단일화)</w:t>
      </w:r>
    </w:p>
    <w:p>
      <w:pPr>
        <w:ind w:left="567"/>
      </w:pPr>
      <w:r>
        <w:rPr>
          <w:rFonts w:ascii="맑은 고딕" w:hAnsi="맑은 고딕" w:eastAsia="맑은 고딕"/>
          <w:b w:val="0"/>
          <w:color w:val="808080"/>
          <w:sz w:val="18"/>
        </w:rPr>
        <w:t>권고 사유: [데이터 미확보]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☐ 외부 디지털 포렌식 업체 선정 권한 위임</w:t>
      </w:r>
    </w:p>
    <w:p>
      <w:pPr>
        <w:ind w:left="567"/>
      </w:pPr>
      <w:r>
        <w:rPr>
          <w:rFonts w:ascii="맑은 고딕" w:hAnsi="맑은 고딕" w:eastAsia="맑은 고딕"/>
          <w:b w:val="0"/>
          <w:color w:val="808080"/>
          <w:sz w:val="18"/>
        </w:rPr>
        <w:t>권고 사유: [데이터 미확보]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☐ (정보유출 확인 시) 고객 통지 계획 승인</w:t>
      </w:r>
    </w:p>
    <w:p>
      <w:pPr>
        <w:ind w:left="567"/>
      </w:pPr>
      <w:r>
        <w:rPr>
          <w:rFonts w:ascii="맑은 고딕" w:hAnsi="맑은 고딕" w:eastAsia="맑은 고딕"/>
          <w:b w:val="0"/>
          <w:color w:val="808080"/>
          <w:sz w:val="18"/>
        </w:rPr>
        <w:t>권고 사유: [데이터 미확보]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☐ 거래·서비스 한시 중단 권한 위임</w:t>
      </w:r>
    </w:p>
    <w:p>
      <w:pPr>
        <w:ind w:left="567"/>
      </w:pPr>
      <w:r>
        <w:rPr>
          <w:rFonts w:ascii="맑은 고딕" w:hAnsi="맑은 고딕" w:eastAsia="맑은 고딕"/>
          <w:b w:val="0"/>
          <w:color w:val="808080"/>
          <w:sz w:val="18"/>
        </w:rPr>
        <w:t>권고 사유: [데이터 미확보]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☐ 추가 보안 투자 예산 승인 검토</w:t>
      </w:r>
    </w:p>
    <w:p>
      <w:pPr>
        <w:ind w:left="567"/>
      </w:pPr>
      <w:r>
        <w:rPr>
          <w:rFonts w:ascii="맑은 고딕" w:hAnsi="맑은 고딕" w:eastAsia="맑은 고딕"/>
          <w:b w:val="0"/>
          <w:color w:val="808080"/>
          <w:sz w:val="18"/>
        </w:rPr>
        <w:t>권고 사유: [데이터 미확보]</w:t>
      </w:r>
    </w:p>
    <w:p>
      <w:pPr>
        <w:spacing w:before="160" w:after="80"/>
      </w:pPr>
      <w:r>
        <w:rPr>
          <w:rFonts w:ascii="맑은 고딕" w:hAnsi="맑은 고딕" w:eastAsia="맑은 고딕"/>
          <w:b/>
          <w:color w:val="1F3A68"/>
          <w:sz w:val="28"/>
        </w:rPr>
        <w:t>§8. 본문 (10섹션 임원 보고용 통합)</w:t>
      </w:r>
    </w:p>
    <w:p>
      <w:r>
        <w:rPr>
          <w:rFonts w:ascii="맑은 고딕" w:hAnsi="맑은 고딕" w:eastAsia="맑은 고딕"/>
          <w:b w:val="0"/>
          <w:sz w:val="18"/>
        </w:rPr>
        <w:t>※ Code Interpreter가 {본문} placeholder를 report_markdown 전체로 치환합니다.</w:t>
      </w:r>
    </w:p>
    <w:p>
      <w:r>
        <w:rPr>
          <w:rFonts w:ascii="맑은 고딕" w:hAnsi="맑은 고딕" w:eastAsia="맑은 고딕"/>
          <w:b/>
          <w:sz w:val="20"/>
        </w:rPr>
        <w:t xml:space="preserve">[본문] </w:t>
      </w:r>
      <w:r>
        <w:rPr>
          <w:rFonts w:ascii="맑은 고딕" w:hAnsi="맑은 고딕" w:eastAsia="맑은 고딕"/>
          <w:b w:val="0"/>
          <w:color w:val="C00000"/>
          <w:sz w:val="20"/>
        </w:rPr>
        <w:t>{본문}</w:t>
      </w:r>
      <w:r>
        <w:rPr>
          <w:rFonts w:ascii="맑은 고딕" w:hAnsi="맑은 고딕" w:eastAsia="맑은 고딕"/>
          <w:b w:val="0"/>
          <w:color w:val="808080"/>
          <w:sz w:val="18"/>
        </w:rPr>
        <w:t xml:space="preserve">  ※ report-writer가 생성한 §0~§7 전체 마크다운 (인라인 [근거: ...] 포함)</w:t>
      </w:r>
    </w:p>
    <w:p>
      <w:pPr>
        <w:spacing w:before="160" w:after="80"/>
      </w:pPr>
      <w:r>
        <w:rPr>
          <w:rFonts w:ascii="맑은 고딕" w:hAnsi="맑은 고딕" w:eastAsia="맑은 고딕"/>
          <w:b/>
          <w:color w:val="1F3A68"/>
          <w:sz w:val="24"/>
        </w:rPr>
        <w:t>§8-A. 후속조치 액션 아이템</w:t>
      </w:r>
    </w:p>
    <w:p>
      <w:r>
        <w:rPr>
          <w:rFonts w:ascii="맑은 고딕" w:hAnsi="맑은 고딕" w:eastAsia="맑은 고딕"/>
          <w:b/>
          <w:sz w:val="20"/>
        </w:rPr>
        <w:t xml:space="preserve">[후속조치] </w:t>
      </w:r>
      <w:r>
        <w:rPr>
          <w:rFonts w:ascii="맑은 고딕" w:hAnsi="맑은 고딕" w:eastAsia="맑은 고딕"/>
          <w:b w:val="0"/>
          <w:color w:val="C00000"/>
          <w:sz w:val="20"/>
        </w:rPr>
        <w:t>{후속조치}</w:t>
      </w:r>
      <w:r>
        <w:rPr>
          <w:rFonts w:ascii="맑은 고딕" w:hAnsi="맑은 고딕" w:eastAsia="맑은 고딕"/>
          <w:b w:val="0"/>
          <w:color w:val="808080"/>
          <w:sz w:val="18"/>
        </w:rPr>
        <w:t xml:space="preserve">  ※ follow_up_actions 배열: action / due_kst / responsible_role / agency / source / basis</w:t>
      </w:r>
    </w:p>
    <w:p>
      <w:pPr>
        <w:spacing w:before="160" w:after="80"/>
      </w:pPr>
      <w:r>
        <w:rPr>
          <w:rFonts w:ascii="맑은 고딕" w:hAnsi="맑은 고딕" w:eastAsia="맑은 고딕"/>
          <w:b/>
          <w:color w:val="1F3A68"/>
          <w:sz w:val="24"/>
        </w:rPr>
        <w:t>부록 A. 인용된 법령·세칙 원문 (사내 세칙 우선 정렬)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1F3A68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No.</w:t>
            </w:r>
          </w:p>
        </w:tc>
        <w:tc>
          <w:tcPr>
            <w:tcW w:type="dxa" w:w="1949"/>
            <w:shd w:fill="1F3A68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출처 (사내/외부)</w:t>
            </w:r>
          </w:p>
        </w:tc>
        <w:tc>
          <w:tcPr>
            <w:tcW w:type="dxa" w:w="1949"/>
            <w:shd w:fill="1F3A68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법령·세칙</w:t>
            </w:r>
          </w:p>
        </w:tc>
        <w:tc>
          <w:tcPr>
            <w:tcW w:type="dxa" w:w="1949"/>
            <w:shd w:fill="1F3A68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조항</w:t>
            </w:r>
          </w:p>
        </w:tc>
        <w:tc>
          <w:tcPr>
            <w:tcW w:type="dxa" w:w="1949"/>
            <w:shd w:fill="1F3A68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exact_quote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</w:t>
            </w:r>
          </w:p>
        </w:tc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3</w:t>
            </w:r>
          </w:p>
        </w:tc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4</w:t>
            </w:r>
          </w:p>
        </w:tc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5</w:t>
            </w:r>
          </w:p>
        </w:tc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94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</w:tbl>
    <w:p/>
    <w:p>
      <w:pPr>
        <w:spacing w:before="160" w:after="80"/>
      </w:pPr>
      <w:r>
        <w:rPr>
          <w:rFonts w:ascii="맑은 고딕" w:hAnsi="맑은 고딕" w:eastAsia="맑은 고딕"/>
          <w:b/>
          <w:color w:val="1F3A68"/>
          <w:sz w:val="24"/>
        </w:rPr>
        <w:t>부록 B. 자체 점검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3A68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4873"/>
            <w:shd w:fill="1F3A68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값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self_check_score (0~1)</w:t>
            </w:r>
          </w:p>
        </w:tc>
        <w:tc>
          <w:tcPr>
            <w:tcW w:type="dxa" w:w="4873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missing_fields</w:t>
            </w:r>
          </w:p>
        </w:tc>
        <w:tc>
          <w:tcPr>
            <w:tcW w:type="dxa" w:w="4873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assumptions_needed</w:t>
            </w:r>
          </w:p>
        </w:tc>
        <w:tc>
          <w:tcPr>
            <w:tcW w:type="dxa" w:w="4873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외부 제출 전 검토 책임자</w:t>
            </w:r>
          </w:p>
        </w:tc>
        <w:tc>
          <w:tcPr>
            <w:tcW w:type="dxa" w:w="4873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IT운영부장 / 준법감시부서</w:t>
            </w:r>
          </w:p>
        </w:tc>
      </w:tr>
    </w:tbl>
    <w:p/>
    <w:p>
      <w:pPr>
        <w:spacing w:before="160" w:after="80"/>
      </w:pPr>
      <w:r>
        <w:rPr>
          <w:rFonts w:ascii="맑은 고딕" w:hAnsi="맑은 고딕" w:eastAsia="맑은 고딕"/>
          <w:b/>
          <w:color w:val="1F3A68"/>
          <w:sz w:val="24"/>
        </w:rPr>
        <w:t>부록 C. 사후관리 (사내 세칙 제18·20조)</w:t>
      </w:r>
    </w:p>
    <w:p>
      <w:pPr>
        <w:spacing w:before="160" w:after="80"/>
      </w:pPr>
      <w:r>
        <w:rPr>
          <w:rFonts w:ascii="맑은 고딕" w:hAnsi="맑은 고딕" w:eastAsia="맑은 고딕"/>
          <w:b/>
          <w:color w:val="1F3A68"/>
          <w:sz w:val="22"/>
        </w:rPr>
        <w:t>C-1. 원인분석 보고서 (세칙 제18조①)</w:t>
      </w:r>
    </w:p>
    <w:p>
      <w:r>
        <w:rPr>
          <w:rFonts w:ascii="맑은 고딕" w:hAnsi="맑은 고딕" w:eastAsia="맑은 고딕"/>
          <w:b w:val="0"/>
          <w:sz w:val="20"/>
        </w:rPr>
        <w:t>종료일로부터 21일 이내 IT사고대응반장이 작성 → IT운영부장 제출</w:t>
      </w:r>
    </w:p>
    <w:p>
      <w:r>
        <w:rPr>
          <w:rFonts w:ascii="맑은 고딕" w:hAnsi="맑은 고딕" w:eastAsia="맑은 고딕"/>
          <w:b w:val="0"/>
          <w:sz w:val="18"/>
        </w:rPr>
        <w:t>포함 사항: ① 발생 경위·직접·간접·근본 원인 ② 조치 내용·복구 소요시간·우회처리 ③ 이용자 피해 규모·배상 진행 ④ 재발방지 대책·이행 책임자·완료 기한 ⑤ 유사 사고 사례 비교</w:t>
      </w:r>
    </w:p>
    <w:p>
      <w:r>
        <w:rPr>
          <w:rFonts w:ascii="맑은 고딕" w:hAnsi="맑은 고딕" w:eastAsia="맑은 고딕"/>
          <w:b w:val="0"/>
          <w:sz w:val="18"/>
        </w:rPr>
        <w:t>[근거: 사내 세칙 제18조①]</w:t>
      </w:r>
    </w:p>
    <w:p>
      <w:pPr>
        <w:spacing w:before="160" w:after="80"/>
      </w:pPr>
      <w:r>
        <w:rPr>
          <w:rFonts w:ascii="맑은 고딕" w:hAnsi="맑은 고딕" w:eastAsia="맑은 고딕"/>
          <w:b/>
          <w:color w:val="1F3A68"/>
          <w:sz w:val="22"/>
        </w:rPr>
        <w:t>C-2. 분기별 이행 점검 (세칙 제18조②)</w:t>
      </w:r>
    </w:p>
    <w:p>
      <w:r>
        <w:rPr>
          <w:rFonts w:ascii="맑은 고딕" w:hAnsi="맑은 고딕" w:eastAsia="맑은 고딕"/>
          <w:b w:val="0"/>
          <w:sz w:val="20"/>
        </w:rPr>
        <w:t>IT운영부장이 재발방지 대책 이행 여부를 분기별 점검 후 경영진·비상대응위원회 보고</w:t>
      </w:r>
    </w:p>
    <w:p>
      <w:r>
        <w:rPr>
          <w:rFonts w:ascii="맑은 고딕" w:hAnsi="맑은 고딕" w:eastAsia="맑은 고딕"/>
          <w:b w:val="0"/>
          <w:sz w:val="18"/>
        </w:rPr>
        <w:t>[근거: 사내 세칙 제18조②]</w:t>
      </w:r>
    </w:p>
    <w:p>
      <w:pPr>
        <w:spacing w:before="160" w:after="80"/>
      </w:pPr>
      <w:r>
        <w:rPr>
          <w:rFonts w:ascii="맑은 고딕" w:hAnsi="맑은 고딕" w:eastAsia="맑은 고딕"/>
          <w:b/>
          <w:color w:val="1F3A68"/>
          <w:sz w:val="22"/>
        </w:rPr>
        <w:t>C-3. 기록 보존 (세칙 제20조)</w:t>
      </w:r>
    </w:p>
    <w:p>
      <w:r>
        <w:rPr>
          <w:rFonts w:ascii="맑은 고딕" w:hAnsi="맑은 고딕" w:eastAsia="맑은 고딕"/>
          <w:b w:val="0"/>
          <w:sz w:val="20"/>
        </w:rPr>
        <w:t>일체의 기록(보고서·회의록·원인분석·로그)을 사고 종료일로부터 5년간 보존. 형사 절차·분쟁 진행 중 사안은 절차 완료 시까지 연장.</w:t>
      </w:r>
    </w:p>
    <w:p>
      <w:r>
        <w:rPr>
          <w:rFonts w:ascii="맑은 고딕" w:hAnsi="맑은 고딕" w:eastAsia="맑은 고딕"/>
          <w:b w:val="0"/>
          <w:sz w:val="18"/>
        </w:rPr>
        <w:t>[근거: 사내 세칙 제20조]</w:t>
      </w:r>
    </w:p>
    <w:p>
      <w:r>
        <w:br w:type="page"/>
      </w:r>
    </w:p>
    <w:p>
      <w:pPr>
        <w:spacing w:before="160" w:after="80"/>
      </w:pPr>
      <w:r>
        <w:rPr>
          <w:rFonts w:ascii="맑은 고딕" w:hAnsi="맑은 고딕" w:eastAsia="맑은 고딕"/>
          <w:b/>
          <w:color w:val="1F3A68"/>
          <w:sz w:val="28"/>
        </w:rPr>
        <w:t>결재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EEF1F7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실무 작성</w:t>
              <w:br/>
              <w:t>(IT사고대응반장)</w:t>
            </w:r>
          </w:p>
        </w:tc>
        <w:tc>
          <w:tcPr>
            <w:tcW w:type="dxa" w:w="2436"/>
            <w:shd w:fill="EEF1F7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사전 검토</w:t>
              <w:br/>
              <w:t>(준법감시부서)</w:t>
            </w:r>
          </w:p>
        </w:tc>
        <w:tc>
          <w:tcPr>
            <w:tcW w:type="dxa" w:w="2436"/>
            <w:shd w:fill="EEF1F7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총괄 검토·승인</w:t>
              <w:br/>
              <w:t>(IT운영부장)</w:t>
            </w:r>
          </w:p>
        </w:tc>
        <w:tc>
          <w:tcPr>
            <w:tcW w:type="dxa" w:w="2436"/>
            <w:shd w:fill="EEF1F7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사고 선포 결정</w:t>
              <w:br/>
              <w:t>(비상대응위원장)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br/>
              <w:br/>
              <w:t>(서명/날인)</w:t>
              <w:br/>
              <w:br/>
            </w:r>
            <w:r>
              <w:rPr>
                <w:rFonts w:ascii="맑은 고딕" w:hAnsi="맑은 고딕" w:eastAsia="맑은 고딕"/>
                <w:b w:val="0"/>
                <w:color w:val="808080"/>
                <w:sz w:val="18"/>
              </w:rPr>
              <w:br/>
              <w:t>일자: ____ . ____ . ____</w:t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br/>
              <w:br/>
              <w:t>(서명/날인)</w:t>
              <w:br/>
              <w:br/>
            </w:r>
            <w:r>
              <w:rPr>
                <w:rFonts w:ascii="맑은 고딕" w:hAnsi="맑은 고딕" w:eastAsia="맑은 고딕"/>
                <w:b w:val="0"/>
                <w:color w:val="808080"/>
                <w:sz w:val="18"/>
              </w:rPr>
              <w:br/>
              <w:t>일자: ____ . ____ . ____</w:t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br/>
              <w:br/>
              <w:t>(서명/날인)</w:t>
              <w:br/>
              <w:br/>
            </w:r>
            <w:r>
              <w:rPr>
                <w:rFonts w:ascii="맑은 고딕" w:hAnsi="맑은 고딕" w:eastAsia="맑은 고딕"/>
                <w:b w:val="0"/>
                <w:color w:val="808080"/>
                <w:sz w:val="18"/>
              </w:rPr>
              <w:br/>
              <w:t>일자: ____ . ____ . ____</w:t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br/>
              <w:br/>
              <w:t>(서명/날인)</w:t>
              <w:br/>
              <w:br/>
            </w:r>
            <w:r>
              <w:rPr>
                <w:rFonts w:ascii="맑은 고딕" w:hAnsi="맑은 고딕" w:eastAsia="맑은 고딕"/>
                <w:b w:val="0"/>
                <w:color w:val="808080"/>
                <w:sz w:val="18"/>
              </w:rPr>
              <w:br/>
              <w:t>일자: ____ . ____ . ____</w:t>
            </w:r>
          </w:p>
        </w:tc>
      </w:tr>
    </w:tbl>
    <w:p/>
    <w:p>
      <w:pPr>
        <w:jc w:val="right"/>
      </w:pPr>
      <w:r>
        <w:rPr>
          <w:rFonts w:ascii="맑은 고딕" w:hAnsi="맑은 고딕" w:eastAsia="맑은 고딕"/>
          <w:b w:val="0"/>
          <w:color w:val="808080"/>
          <w:sz w:val="18"/>
        </w:rPr>
        <w:t>— EFARS 보고서 별지 제2호서식 템플릿 v1.0 (EFARS Multi-Agent v3.4 정렬) —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