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ptos" w:hAnsi="Aptos"/>
          <w:b/>
          <w:color w:val="1F7A8C"/>
          <w:sz w:val="22"/>
        </w:rPr>
        <w:t>BEACHLINE CLEANERS</w:t>
      </w:r>
    </w:p>
    <w:p>
      <w:pPr>
        <w:pStyle w:val="Title"/>
      </w:pPr>
      <w:r>
        <w:t>Pricing Framework</w:t>
      </w:r>
    </w:p>
    <w:p>
      <w:r>
        <w:rPr>
          <w:color w:val="505F69"/>
          <w:sz w:val="25"/>
        </w:rPr>
        <w:t>Locked pricing rules for residential, deep, move, vacation-rental, and commercial cleaning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C94F6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FINAL PRICING MODEL — READY FOR WEBSITE IMPLEMENTATION</w:t>
            </w:r>
          </w:p>
        </w:tc>
      </w:tr>
    </w:tbl>
    <w:p>
      <w:pPr>
        <w:pStyle w:val="Heading1"/>
      </w:pPr>
      <w:r>
        <w:t>Core decisions</w:t>
      </w:r>
    </w:p>
    <w:p>
      <w:pPr>
        <w:ind w:left="288" w:hanging="173"/>
      </w:pPr>
      <w:r>
        <w:rPr>
          <w:b/>
          <w:color w:val="C94F68"/>
        </w:rPr>
        <w:t xml:space="preserve">• </w:t>
      </w:r>
      <w:r>
        <w:t>Home Cleaning uses a bedroom/bathroom formula, square-footage guardrail, and frequency multiplier.</w:t>
      </w:r>
    </w:p>
    <w:p>
      <w:pPr>
        <w:ind w:left="288" w:hanging="173"/>
      </w:pPr>
      <w:r>
        <w:rPr>
          <w:b/>
          <w:color w:val="C94F68"/>
        </w:rPr>
        <w:t xml:space="preserve">• </w:t>
      </w:r>
      <w:r>
        <w:t>Deep Cleaning derives from the one-time Home Cleaning price so the two services remain internally consistent.</w:t>
      </w:r>
    </w:p>
    <w:p>
      <w:pPr>
        <w:ind w:left="288" w:hanging="173"/>
      </w:pPr>
      <w:r>
        <w:rPr>
          <w:b/>
          <w:color w:val="C94F68"/>
        </w:rPr>
        <w:t xml:space="preserve">• </w:t>
      </w:r>
      <w:r>
        <w:t>Move-In / Move-Out uses its own flat room formula because the empty-property scope is materially different.</w:t>
      </w:r>
    </w:p>
    <w:p>
      <w:pPr>
        <w:ind w:left="288" w:hanging="173"/>
      </w:pPr>
      <w:r>
        <w:rPr>
          <w:b/>
          <w:color w:val="C94F68"/>
        </w:rPr>
        <w:t xml:space="preserve">• </w:t>
      </w:r>
      <w:r>
        <w:t>Vacation Rental turnovers stay on a simple size-tier schedule rather than forcing the residential formula onto a deadline-driven service.</w:t>
      </w:r>
    </w:p>
    <w:p>
      <w:pPr>
        <w:ind w:left="288" w:hanging="173"/>
      </w:pPr>
      <w:r>
        <w:rPr>
          <w:b/>
          <w:color w:val="C94F68"/>
        </w:rPr>
        <w:t xml:space="preserve">• </w:t>
      </w:r>
      <w:r>
        <w:t>Commercial Cleaning remains a public custom quote, supported internally by per-square-foot guidance and a per-visit minimum.</w:t>
      </w:r>
    </w:p>
    <w:p>
      <w:pPr>
        <w:ind w:left="288" w:hanging="173"/>
      </w:pPr>
      <w:r>
        <w:rPr>
          <w:b/>
          <w:color w:val="C94F68"/>
        </w:rPr>
        <w:t xml:space="preserve">• </w:t>
      </w:r>
      <w:r>
        <w:t>Automatic estimates stop at defined complexity limits; unusual or oversized jobs become custom quotes rather than hidden surcharges.</w:t>
      </w:r>
    </w:p>
    <w:p>
      <w:pPr>
        <w:ind w:left="288" w:hanging="173"/>
      </w:pPr>
      <w:r>
        <w:rPr>
          <w:b/>
          <w:color w:val="C94F68"/>
        </w:rPr>
        <w:t xml:space="preserve">• </w:t>
      </w:r>
      <w:r>
        <w:t>All customer-facing estimates remain subject to scope and availability confirmation before booking.</w:t>
      </w:r>
    </w:p>
    <w:p>
      <w:pPr>
        <w:pStyle w:val="Heading2"/>
      </w:pPr>
      <w:r>
        <w:t>Internal profitability floor</w:t>
      </w:r>
    </w:p>
    <w:p>
      <w:r>
        <w:t>Use $60 of service revenue per cleaning labor-hour as the initial sanity-check floor. This is an internal operating rule, not a customer-facing hourly rate. Review it after enough completed jobs exist to compare estimated versus actual labor time.</w:t>
      </w:r>
    </w:p>
    <w:p>
      <w:r>
        <w:rPr>
          <w:b/>
        </w:rPr>
        <w:t xml:space="preserve">Labor-hour example: </w:t>
      </w:r>
      <w:r>
        <w:t>two cleaners working two hours = four labor-hours.</w:t>
      </w:r>
    </w:p>
    <w:p>
      <w:pPr>
        <w:pStyle w:val="Heading1"/>
      </w:pPr>
      <w:r>
        <w:t>1. Home Cleaning</w:t>
      </w:r>
    </w:p>
    <w:p>
      <w:r>
        <w:rPr>
          <w:b/>
        </w:rPr>
        <w:t xml:space="preserve">Biweekly base formula: </w:t>
      </w:r>
      <w:r>
        <w:t>$140 for 1 bedroom / 1 full bathroom, then add room and size adjustments.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</w:trPr>
        <w:tc>
          <w:tcPr>
            <w:tcW w:type="dxa" w:w="446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E2E5"/>
              <w:left w:val="single" w:sz="4" w:color="D9E2E5"/>
              <w:bottom w:val="single" w:sz="4" w:color="D9E2E5"/>
              <w:right w:val="single" w:sz="4" w:color="D9E2E5"/>
            </w:tcBorders>
            <w:shd w:fill="123B57"/>
          </w:tcPr>
          <w:p>
            <w:pPr>
              <w:spacing w:before="0" w:after="0"/>
            </w:pPr>
            <w:r>
              <w:rPr>
                <w:rFonts w:ascii="Aptos" w:hAnsi="Aptos"/>
                <w:b/>
                <w:color w:val="FFFFFF"/>
                <w:sz w:val="17"/>
              </w:rPr>
              <w:t>Pricing input</w:t>
            </w:r>
          </w:p>
        </w:tc>
        <w:tc>
          <w:tcPr>
            <w:tcW w:type="dxa" w:w="561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E2E5"/>
              <w:left w:val="single" w:sz="4" w:color="D9E2E5"/>
              <w:bottom w:val="single" w:sz="4" w:color="D9E2E5"/>
              <w:right w:val="single" w:sz="4" w:color="D9E2E5"/>
            </w:tcBorders>
            <w:shd w:fill="123B57"/>
          </w:tcPr>
          <w:p>
            <w:pPr>
              <w:spacing w:before="0" w:after="0"/>
            </w:pPr>
            <w:r>
              <w:rPr>
                <w:rFonts w:ascii="Aptos" w:hAnsi="Aptos"/>
                <w:b/>
                <w:color w:val="FFFFFF"/>
                <w:sz w:val="17"/>
              </w:rPr>
              <w:t>Rule</w:t>
            </w:r>
          </w:p>
        </w:tc>
      </w:tr>
      <w:tr>
        <w:tc>
          <w:tcPr>
            <w:tcW w:type="dxa" w:w="446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E2E5"/>
              <w:left w:val="single" w:sz="4" w:color="D9E2E5"/>
              <w:bottom w:val="single" w:sz="4" w:color="D9E2E5"/>
              <w:right w:val="single" w:sz="4" w:color="D9E2E5"/>
            </w:tcBorders>
          </w:tcPr>
          <w:p>
            <w:pPr>
              <w:spacing w:before="0" w:after="0"/>
            </w:pPr>
            <w:r>
              <w:rPr>
                <w:rFonts w:ascii="Aptos" w:hAnsi="Aptos"/>
                <w:sz w:val="17"/>
              </w:rPr>
              <w:t>Base</w:t>
            </w:r>
          </w:p>
        </w:tc>
        <w:tc>
          <w:tcPr>
            <w:tcW w:type="dxa" w:w="561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E2E5"/>
              <w:left w:val="single" w:sz="4" w:color="D9E2E5"/>
              <w:bottom w:val="single" w:sz="4" w:color="D9E2E5"/>
              <w:right w:val="single" w:sz="4" w:color="D9E2E5"/>
            </w:tcBorders>
          </w:tcPr>
          <w:p>
            <w:pPr>
              <w:spacing w:before="0" w:after="0"/>
            </w:pPr>
            <w:r>
              <w:rPr>
                <w:rFonts w:ascii="Aptos" w:hAnsi="Aptos"/>
                <w:sz w:val="17"/>
              </w:rPr>
              <w:t>$140 — includes 1 bedroom + 1 full bathroom</w:t>
            </w:r>
          </w:p>
        </w:tc>
      </w:tr>
      <w:tr>
        <w:tc>
          <w:tcPr>
            <w:tcW w:type="dxa" w:w="446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E2E5"/>
              <w:left w:val="single" w:sz="4" w:color="D9E2E5"/>
              <w:bottom w:val="single" w:sz="4" w:color="D9E2E5"/>
              <w:right w:val="single" w:sz="4" w:color="D9E2E5"/>
            </w:tcBorders>
            <w:shd w:fill="F5F7F8"/>
          </w:tcPr>
          <w:p>
            <w:pPr>
              <w:spacing w:before="0" w:after="0"/>
            </w:pPr>
            <w:r>
              <w:rPr>
                <w:rFonts w:ascii="Aptos" w:hAnsi="Aptos"/>
                <w:sz w:val="17"/>
              </w:rPr>
              <w:t>Each additional bedroom</w:t>
            </w:r>
          </w:p>
        </w:tc>
        <w:tc>
          <w:tcPr>
            <w:tcW w:type="dxa" w:w="561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E2E5"/>
              <w:left w:val="single" w:sz="4" w:color="D9E2E5"/>
              <w:bottom w:val="single" w:sz="4" w:color="D9E2E5"/>
              <w:right w:val="single" w:sz="4" w:color="D9E2E5"/>
            </w:tcBorders>
            <w:shd w:fill="F5F7F8"/>
          </w:tcPr>
          <w:p>
            <w:pPr>
              <w:spacing w:before="0" w:after="0"/>
            </w:pPr>
            <w:r>
              <w:rPr>
                <w:rFonts w:ascii="Aptos" w:hAnsi="Aptos"/>
                <w:sz w:val="17"/>
              </w:rPr>
              <w:t>+$10</w:t>
            </w:r>
          </w:p>
        </w:tc>
      </w:tr>
      <w:tr>
        <w:tc>
          <w:tcPr>
            <w:tcW w:type="dxa" w:w="446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E2E5"/>
              <w:left w:val="single" w:sz="4" w:color="D9E2E5"/>
              <w:bottom w:val="single" w:sz="4" w:color="D9E2E5"/>
              <w:right w:val="single" w:sz="4" w:color="D9E2E5"/>
            </w:tcBorders>
          </w:tcPr>
          <w:p>
            <w:pPr>
              <w:spacing w:before="0" w:after="0"/>
            </w:pPr>
            <w:r>
              <w:rPr>
                <w:rFonts w:ascii="Aptos" w:hAnsi="Aptos"/>
                <w:sz w:val="17"/>
              </w:rPr>
              <w:t>Each additional full bathroom</w:t>
            </w:r>
          </w:p>
        </w:tc>
        <w:tc>
          <w:tcPr>
            <w:tcW w:type="dxa" w:w="561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E2E5"/>
              <w:left w:val="single" w:sz="4" w:color="D9E2E5"/>
              <w:bottom w:val="single" w:sz="4" w:color="D9E2E5"/>
              <w:right w:val="single" w:sz="4" w:color="D9E2E5"/>
            </w:tcBorders>
          </w:tcPr>
          <w:p>
            <w:pPr>
              <w:spacing w:before="0" w:after="0"/>
            </w:pPr>
            <w:r>
              <w:rPr>
                <w:rFonts w:ascii="Aptos" w:hAnsi="Aptos"/>
                <w:sz w:val="17"/>
              </w:rPr>
              <w:t>+$20</w:t>
            </w:r>
          </w:p>
        </w:tc>
      </w:tr>
      <w:tr>
        <w:tc>
          <w:tcPr>
            <w:tcW w:type="dxa" w:w="446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E2E5"/>
              <w:left w:val="single" w:sz="4" w:color="D9E2E5"/>
              <w:bottom w:val="single" w:sz="4" w:color="D9E2E5"/>
              <w:right w:val="single" w:sz="4" w:color="D9E2E5"/>
            </w:tcBorders>
            <w:shd w:fill="F5F7F8"/>
          </w:tcPr>
          <w:p>
            <w:pPr>
              <w:spacing w:before="0" w:after="0"/>
            </w:pPr>
            <w:r>
              <w:rPr>
                <w:rFonts w:ascii="Aptos" w:hAnsi="Aptos"/>
                <w:sz w:val="17"/>
              </w:rPr>
              <w:t>Each half bathroom</w:t>
            </w:r>
          </w:p>
        </w:tc>
        <w:tc>
          <w:tcPr>
            <w:tcW w:type="dxa" w:w="561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E2E5"/>
              <w:left w:val="single" w:sz="4" w:color="D9E2E5"/>
              <w:bottom w:val="single" w:sz="4" w:color="D9E2E5"/>
              <w:right w:val="single" w:sz="4" w:color="D9E2E5"/>
            </w:tcBorders>
            <w:shd w:fill="F5F7F8"/>
          </w:tcPr>
          <w:p>
            <w:pPr>
              <w:spacing w:before="0" w:after="0"/>
            </w:pPr>
            <w:r>
              <w:rPr>
                <w:rFonts w:ascii="Aptos" w:hAnsi="Aptos"/>
                <w:sz w:val="17"/>
              </w:rPr>
              <w:t>+$10</w:t>
            </w:r>
          </w:p>
        </w:tc>
      </w:tr>
      <w:tr>
        <w:tc>
          <w:tcPr>
            <w:tcW w:type="dxa" w:w="446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E2E5"/>
              <w:left w:val="single" w:sz="4" w:color="D9E2E5"/>
              <w:bottom w:val="single" w:sz="4" w:color="D9E2E5"/>
              <w:right w:val="single" w:sz="4" w:color="D9E2E5"/>
            </w:tcBorders>
          </w:tcPr>
          <w:p>
            <w:pPr>
              <w:spacing w:before="0" w:after="0"/>
            </w:pPr>
            <w:r>
              <w:rPr>
                <w:rFonts w:ascii="Aptos" w:hAnsi="Aptos"/>
                <w:sz w:val="17"/>
              </w:rPr>
              <w:t>Studio</w:t>
            </w:r>
          </w:p>
        </w:tc>
        <w:tc>
          <w:tcPr>
            <w:tcW w:type="dxa" w:w="561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E2E5"/>
              <w:left w:val="single" w:sz="4" w:color="D9E2E5"/>
              <w:bottom w:val="single" w:sz="4" w:color="D9E2E5"/>
              <w:right w:val="single" w:sz="4" w:color="D9E2E5"/>
            </w:tcBorders>
          </w:tcPr>
          <w:p>
            <w:pPr>
              <w:spacing w:before="0" w:after="0"/>
            </w:pPr>
            <w:r>
              <w:rPr>
                <w:rFonts w:ascii="Aptos" w:hAnsi="Aptos"/>
                <w:sz w:val="17"/>
              </w:rPr>
              <w:t>Price as 1 bedroom</w:t>
            </w:r>
          </w:p>
        </w:tc>
      </w:tr>
      <w:tr>
        <w:tc>
          <w:tcPr>
            <w:tcW w:type="dxa" w:w="446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E2E5"/>
              <w:left w:val="single" w:sz="4" w:color="D9E2E5"/>
              <w:bottom w:val="single" w:sz="4" w:color="D9E2E5"/>
              <w:right w:val="single" w:sz="4" w:color="D9E2E5"/>
            </w:tcBorders>
            <w:shd w:fill="F5F7F8"/>
          </w:tcPr>
          <w:p>
            <w:pPr>
              <w:spacing w:before="0" w:after="0"/>
            </w:pPr>
            <w:r>
              <w:rPr>
                <w:rFonts w:ascii="Aptos" w:hAnsi="Aptos"/>
                <w:sz w:val="17"/>
              </w:rPr>
              <w:t>Rounding</w:t>
            </w:r>
          </w:p>
        </w:tc>
        <w:tc>
          <w:tcPr>
            <w:tcW w:type="dxa" w:w="561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E2E5"/>
              <w:left w:val="single" w:sz="4" w:color="D9E2E5"/>
              <w:bottom w:val="single" w:sz="4" w:color="D9E2E5"/>
              <w:right w:val="single" w:sz="4" w:color="D9E2E5"/>
            </w:tcBorders>
            <w:shd w:fill="F5F7F8"/>
          </w:tcPr>
          <w:p>
            <w:pPr>
              <w:spacing w:before="0" w:after="0"/>
            </w:pPr>
            <w:r>
              <w:rPr>
                <w:rFonts w:ascii="Aptos" w:hAnsi="Aptos"/>
                <w:sz w:val="17"/>
              </w:rPr>
              <w:t>Round final calculated visit price to nearest $5</w:t>
            </w:r>
          </w:p>
        </w:tc>
      </w:tr>
    </w:tbl>
    <w:p>
      <w:pPr>
        <w:pStyle w:val="Heading2"/>
      </w:pPr>
      <w:r>
        <w:t>Square-footage guardrail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</w:trPr>
        <w:tc>
          <w:tcPr>
            <w:tcW w:type="dxa" w:w="532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E2E5"/>
              <w:left w:val="single" w:sz="4" w:color="D9E2E5"/>
              <w:bottom w:val="single" w:sz="4" w:color="D9E2E5"/>
              <w:right w:val="single" w:sz="4" w:color="D9E2E5"/>
            </w:tcBorders>
            <w:shd w:fill="123B57"/>
          </w:tcPr>
          <w:p>
            <w:pPr>
              <w:spacing w:before="0" w:after="0"/>
            </w:pPr>
            <w:r>
              <w:rPr>
                <w:rFonts w:ascii="Aptos" w:hAnsi="Aptos"/>
                <w:b/>
                <w:color w:val="FFFFFF"/>
                <w:sz w:val="17"/>
              </w:rPr>
              <w:t>Approximate size</w:t>
            </w:r>
          </w:p>
        </w:tc>
        <w:tc>
          <w:tcPr>
            <w:tcW w:type="dxa" w:w="47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E2E5"/>
              <w:left w:val="single" w:sz="4" w:color="D9E2E5"/>
              <w:bottom w:val="single" w:sz="4" w:color="D9E2E5"/>
              <w:right w:val="single" w:sz="4" w:color="D9E2E5"/>
            </w:tcBorders>
            <w:shd w:fill="123B57"/>
          </w:tcPr>
          <w:p>
            <w:pPr>
              <w:spacing w:before="0" w:after="0"/>
            </w:pPr>
            <w:r>
              <w:rPr>
                <w:rFonts w:ascii="Aptos" w:hAnsi="Aptos"/>
                <w:b/>
                <w:color w:val="FFFFFF"/>
                <w:sz w:val="17"/>
              </w:rPr>
              <w:t>Adjustment</w:t>
            </w:r>
          </w:p>
        </w:tc>
      </w:tr>
      <w:tr>
        <w:tc>
          <w:tcPr>
            <w:tcW w:type="dxa" w:w="532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E2E5"/>
              <w:left w:val="single" w:sz="4" w:color="D9E2E5"/>
              <w:bottom w:val="single" w:sz="4" w:color="D9E2E5"/>
              <w:right w:val="single" w:sz="4" w:color="D9E2E5"/>
            </w:tcBorders>
          </w:tcPr>
          <w:p>
            <w:pPr>
              <w:spacing w:before="0" w:after="0"/>
            </w:pPr>
            <w:r>
              <w:rPr>
                <w:rFonts w:ascii="Aptos" w:hAnsi="Aptos"/>
                <w:sz w:val="17"/>
              </w:rPr>
              <w:t>Up to 1,800 sq ft</w:t>
            </w:r>
          </w:p>
        </w:tc>
        <w:tc>
          <w:tcPr>
            <w:tcW w:type="dxa" w:w="47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E2E5"/>
              <w:left w:val="single" w:sz="4" w:color="D9E2E5"/>
              <w:bottom w:val="single" w:sz="4" w:color="D9E2E5"/>
              <w:right w:val="single" w:sz="4" w:color="D9E2E5"/>
            </w:tcBorders>
          </w:tcPr>
          <w:p>
            <w:pPr>
              <w:spacing w:before="0" w:after="0"/>
            </w:pPr>
            <w:r>
              <w:rPr>
                <w:rFonts w:ascii="Aptos" w:hAnsi="Aptos"/>
                <w:sz w:val="17"/>
              </w:rPr>
              <w:t>$0</w:t>
            </w:r>
          </w:p>
        </w:tc>
      </w:tr>
      <w:tr>
        <w:tc>
          <w:tcPr>
            <w:tcW w:type="dxa" w:w="532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E2E5"/>
              <w:left w:val="single" w:sz="4" w:color="D9E2E5"/>
              <w:bottom w:val="single" w:sz="4" w:color="D9E2E5"/>
              <w:right w:val="single" w:sz="4" w:color="D9E2E5"/>
            </w:tcBorders>
            <w:shd w:fill="F5F7F8"/>
          </w:tcPr>
          <w:p>
            <w:pPr>
              <w:spacing w:before="0" w:after="0"/>
            </w:pPr>
            <w:r>
              <w:rPr>
                <w:rFonts w:ascii="Aptos" w:hAnsi="Aptos"/>
                <w:sz w:val="17"/>
              </w:rPr>
              <w:t>1,801–2,400 sq ft</w:t>
            </w:r>
          </w:p>
        </w:tc>
        <w:tc>
          <w:tcPr>
            <w:tcW w:type="dxa" w:w="47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E2E5"/>
              <w:left w:val="single" w:sz="4" w:color="D9E2E5"/>
              <w:bottom w:val="single" w:sz="4" w:color="D9E2E5"/>
              <w:right w:val="single" w:sz="4" w:color="D9E2E5"/>
            </w:tcBorders>
            <w:shd w:fill="F5F7F8"/>
          </w:tcPr>
          <w:p>
            <w:pPr>
              <w:spacing w:before="0" w:after="0"/>
            </w:pPr>
            <w:r>
              <w:rPr>
                <w:rFonts w:ascii="Aptos" w:hAnsi="Aptos"/>
                <w:sz w:val="17"/>
              </w:rPr>
              <w:t>+$10</w:t>
            </w:r>
          </w:p>
        </w:tc>
      </w:tr>
      <w:tr>
        <w:tc>
          <w:tcPr>
            <w:tcW w:type="dxa" w:w="532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E2E5"/>
              <w:left w:val="single" w:sz="4" w:color="D9E2E5"/>
              <w:bottom w:val="single" w:sz="4" w:color="D9E2E5"/>
              <w:right w:val="single" w:sz="4" w:color="D9E2E5"/>
            </w:tcBorders>
          </w:tcPr>
          <w:p>
            <w:pPr>
              <w:spacing w:before="0" w:after="0"/>
            </w:pPr>
            <w:r>
              <w:rPr>
                <w:rFonts w:ascii="Aptos" w:hAnsi="Aptos"/>
                <w:sz w:val="17"/>
              </w:rPr>
              <w:t>2,401–3,000 sq ft</w:t>
            </w:r>
          </w:p>
        </w:tc>
        <w:tc>
          <w:tcPr>
            <w:tcW w:type="dxa" w:w="47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E2E5"/>
              <w:left w:val="single" w:sz="4" w:color="D9E2E5"/>
              <w:bottom w:val="single" w:sz="4" w:color="D9E2E5"/>
              <w:right w:val="single" w:sz="4" w:color="D9E2E5"/>
            </w:tcBorders>
          </w:tcPr>
          <w:p>
            <w:pPr>
              <w:spacing w:before="0" w:after="0"/>
            </w:pPr>
            <w:r>
              <w:rPr>
                <w:rFonts w:ascii="Aptos" w:hAnsi="Aptos"/>
                <w:sz w:val="17"/>
              </w:rPr>
              <w:t>+$30</w:t>
            </w:r>
          </w:p>
        </w:tc>
      </w:tr>
      <w:tr>
        <w:tc>
          <w:tcPr>
            <w:tcW w:type="dxa" w:w="532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E2E5"/>
              <w:left w:val="single" w:sz="4" w:color="D9E2E5"/>
              <w:bottom w:val="single" w:sz="4" w:color="D9E2E5"/>
              <w:right w:val="single" w:sz="4" w:color="D9E2E5"/>
            </w:tcBorders>
            <w:shd w:fill="F5F7F8"/>
          </w:tcPr>
          <w:p>
            <w:pPr>
              <w:spacing w:before="0" w:after="0"/>
            </w:pPr>
            <w:r>
              <w:rPr>
                <w:rFonts w:ascii="Aptos" w:hAnsi="Aptos"/>
                <w:sz w:val="17"/>
              </w:rPr>
              <w:t>3,001–3,500 sq ft</w:t>
            </w:r>
          </w:p>
        </w:tc>
        <w:tc>
          <w:tcPr>
            <w:tcW w:type="dxa" w:w="47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E2E5"/>
              <w:left w:val="single" w:sz="4" w:color="D9E2E5"/>
              <w:bottom w:val="single" w:sz="4" w:color="D9E2E5"/>
              <w:right w:val="single" w:sz="4" w:color="D9E2E5"/>
            </w:tcBorders>
            <w:shd w:fill="F5F7F8"/>
          </w:tcPr>
          <w:p>
            <w:pPr>
              <w:spacing w:before="0" w:after="0"/>
            </w:pPr>
            <w:r>
              <w:rPr>
                <w:rFonts w:ascii="Aptos" w:hAnsi="Aptos"/>
                <w:sz w:val="17"/>
              </w:rPr>
              <w:t>+$50</w:t>
            </w:r>
          </w:p>
        </w:tc>
      </w:tr>
      <w:tr>
        <w:tc>
          <w:tcPr>
            <w:tcW w:type="dxa" w:w="532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E2E5"/>
              <w:left w:val="single" w:sz="4" w:color="D9E2E5"/>
              <w:bottom w:val="single" w:sz="4" w:color="D9E2E5"/>
              <w:right w:val="single" w:sz="4" w:color="D9E2E5"/>
            </w:tcBorders>
          </w:tcPr>
          <w:p>
            <w:pPr>
              <w:spacing w:before="0" w:after="0"/>
            </w:pPr>
            <w:r>
              <w:rPr>
                <w:rFonts w:ascii="Aptos" w:hAnsi="Aptos"/>
                <w:sz w:val="17"/>
              </w:rPr>
              <w:t>Over 3,500 sq ft</w:t>
            </w:r>
          </w:p>
        </w:tc>
        <w:tc>
          <w:tcPr>
            <w:tcW w:type="dxa" w:w="47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E2E5"/>
              <w:left w:val="single" w:sz="4" w:color="D9E2E5"/>
              <w:bottom w:val="single" w:sz="4" w:color="D9E2E5"/>
              <w:right w:val="single" w:sz="4" w:color="D9E2E5"/>
            </w:tcBorders>
          </w:tcPr>
          <w:p>
            <w:pPr>
              <w:spacing w:before="0" w:after="0"/>
            </w:pPr>
            <w:r>
              <w:rPr>
                <w:rFonts w:ascii="Aptos" w:hAnsi="Aptos"/>
                <w:sz w:val="17"/>
              </w:rPr>
              <w:t>Custom quote</w:t>
            </w:r>
          </w:p>
        </w:tc>
      </w:tr>
    </w:tbl>
    <w:p>
      <w:pPr>
        <w:pStyle w:val="Heading2"/>
      </w:pPr>
      <w:r>
        <w:t>Frequency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302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E2E5"/>
              <w:left w:val="single" w:sz="4" w:color="D9E2E5"/>
              <w:bottom w:val="single" w:sz="4" w:color="D9E2E5"/>
              <w:right w:val="single" w:sz="4" w:color="D9E2E5"/>
            </w:tcBorders>
            <w:shd w:fill="123B57"/>
          </w:tcPr>
          <w:p>
            <w:pPr>
              <w:spacing w:before="0" w:after="0"/>
            </w:pPr>
            <w:r>
              <w:rPr>
                <w:rFonts w:ascii="Aptos" w:hAnsi="Aptos"/>
                <w:b/>
                <w:color w:val="FFFFFF"/>
                <w:sz w:val="16"/>
              </w:rPr>
              <w:t>Frequency</w:t>
            </w:r>
          </w:p>
        </w:tc>
        <w:tc>
          <w:tcPr>
            <w:tcW w:type="dxa" w:w="360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E2E5"/>
              <w:left w:val="single" w:sz="4" w:color="D9E2E5"/>
              <w:bottom w:val="single" w:sz="4" w:color="D9E2E5"/>
              <w:right w:val="single" w:sz="4" w:color="D9E2E5"/>
            </w:tcBorders>
            <w:shd w:fill="123B57"/>
          </w:tcPr>
          <w:p>
            <w:pPr>
              <w:spacing w:before="0" w:after="0"/>
            </w:pPr>
            <w:r>
              <w:rPr>
                <w:rFonts w:ascii="Aptos" w:hAnsi="Aptos"/>
                <w:b/>
                <w:color w:val="FFFFFF"/>
                <w:sz w:val="16"/>
              </w:rPr>
              <w:t>Formula</w:t>
            </w:r>
          </w:p>
        </w:tc>
        <w:tc>
          <w:tcPr>
            <w:tcW w:type="dxa" w:w="345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E2E5"/>
              <w:left w:val="single" w:sz="4" w:color="D9E2E5"/>
              <w:bottom w:val="single" w:sz="4" w:color="D9E2E5"/>
              <w:right w:val="single" w:sz="4" w:color="D9E2E5"/>
            </w:tcBorders>
            <w:shd w:fill="123B57"/>
          </w:tcPr>
          <w:p>
            <w:pPr>
              <w:spacing w:before="0" w:after="0"/>
            </w:pPr>
            <w:r>
              <w:rPr>
                <w:rFonts w:ascii="Aptos" w:hAnsi="Aptos"/>
                <w:b/>
                <w:color w:val="FFFFFF"/>
                <w:sz w:val="16"/>
              </w:rPr>
              <w:t>Typical positioning</w:t>
            </w:r>
          </w:p>
        </w:tc>
      </w:tr>
      <w:tr>
        <w:tc>
          <w:tcPr>
            <w:tcW w:type="dxa" w:w="302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E2E5"/>
              <w:left w:val="single" w:sz="4" w:color="D9E2E5"/>
              <w:bottom w:val="single" w:sz="4" w:color="D9E2E5"/>
              <w:right w:val="single" w:sz="4" w:color="D9E2E5"/>
            </w:tcBorders>
          </w:tcPr>
          <w:p>
            <w:pPr>
              <w:spacing w:before="0" w:after="0"/>
            </w:pPr>
            <w:r>
              <w:rPr>
                <w:rFonts w:ascii="Aptos" w:hAnsi="Aptos"/>
                <w:sz w:val="16"/>
              </w:rPr>
              <w:t>Weekly</w:t>
            </w:r>
          </w:p>
        </w:tc>
        <w:tc>
          <w:tcPr>
            <w:tcW w:type="dxa" w:w="360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E2E5"/>
              <w:left w:val="single" w:sz="4" w:color="D9E2E5"/>
              <w:bottom w:val="single" w:sz="4" w:color="D9E2E5"/>
              <w:right w:val="single" w:sz="4" w:color="D9E2E5"/>
            </w:tcBorders>
          </w:tcPr>
          <w:p>
            <w:pPr>
              <w:spacing w:before="0" w:after="0"/>
            </w:pPr>
            <w:r>
              <w:rPr>
                <w:rFonts w:ascii="Aptos" w:hAnsi="Aptos"/>
                <w:sz w:val="16"/>
              </w:rPr>
              <w:t>Biweekly calculation × 0.90</w:t>
            </w:r>
          </w:p>
        </w:tc>
        <w:tc>
          <w:tcPr>
            <w:tcW w:type="dxa" w:w="345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E2E5"/>
              <w:left w:val="single" w:sz="4" w:color="D9E2E5"/>
              <w:bottom w:val="single" w:sz="4" w:color="D9E2E5"/>
              <w:right w:val="single" w:sz="4" w:color="D9E2E5"/>
            </w:tcBorders>
          </w:tcPr>
          <w:p>
            <w:pPr>
              <w:spacing w:before="0" w:after="0"/>
            </w:pPr>
            <w:r>
              <w:rPr>
                <w:rFonts w:ascii="Aptos" w:hAnsi="Aptos"/>
                <w:sz w:val="16"/>
              </w:rPr>
              <w:t>Lowest per-visit rate</w:t>
            </w:r>
          </w:p>
        </w:tc>
      </w:tr>
      <w:tr>
        <w:tc>
          <w:tcPr>
            <w:tcW w:type="dxa" w:w="302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E2E5"/>
              <w:left w:val="single" w:sz="4" w:color="D9E2E5"/>
              <w:bottom w:val="single" w:sz="4" w:color="D9E2E5"/>
              <w:right w:val="single" w:sz="4" w:color="D9E2E5"/>
            </w:tcBorders>
            <w:shd w:fill="F5F7F8"/>
          </w:tcPr>
          <w:p>
            <w:pPr>
              <w:spacing w:before="0" w:after="0"/>
            </w:pPr>
            <w:r>
              <w:rPr>
                <w:rFonts w:ascii="Aptos" w:hAnsi="Aptos"/>
                <w:sz w:val="16"/>
              </w:rPr>
              <w:t>Biweekly</w:t>
            </w:r>
          </w:p>
        </w:tc>
        <w:tc>
          <w:tcPr>
            <w:tcW w:type="dxa" w:w="360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E2E5"/>
              <w:left w:val="single" w:sz="4" w:color="D9E2E5"/>
              <w:bottom w:val="single" w:sz="4" w:color="D9E2E5"/>
              <w:right w:val="single" w:sz="4" w:color="D9E2E5"/>
            </w:tcBorders>
            <w:shd w:fill="F5F7F8"/>
          </w:tcPr>
          <w:p>
            <w:pPr>
              <w:spacing w:before="0" w:after="0"/>
            </w:pPr>
            <w:r>
              <w:rPr>
                <w:rFonts w:ascii="Aptos" w:hAnsi="Aptos"/>
                <w:sz w:val="16"/>
              </w:rPr>
              <w:t>Base calculation</w:t>
            </w:r>
          </w:p>
        </w:tc>
        <w:tc>
          <w:tcPr>
            <w:tcW w:type="dxa" w:w="345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E2E5"/>
              <w:left w:val="single" w:sz="4" w:color="D9E2E5"/>
              <w:bottom w:val="single" w:sz="4" w:color="D9E2E5"/>
              <w:right w:val="single" w:sz="4" w:color="D9E2E5"/>
            </w:tcBorders>
            <w:shd w:fill="F5F7F8"/>
          </w:tcPr>
          <w:p>
            <w:pPr>
              <w:spacing w:before="0" w:after="0"/>
            </w:pPr>
            <w:r>
              <w:rPr>
                <w:rFonts w:ascii="Aptos" w:hAnsi="Aptos"/>
                <w:sz w:val="16"/>
              </w:rPr>
              <w:t>Reference price</w:t>
            </w:r>
          </w:p>
        </w:tc>
      </w:tr>
      <w:tr>
        <w:tc>
          <w:tcPr>
            <w:tcW w:type="dxa" w:w="302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E2E5"/>
              <w:left w:val="single" w:sz="4" w:color="D9E2E5"/>
              <w:bottom w:val="single" w:sz="4" w:color="D9E2E5"/>
              <w:right w:val="single" w:sz="4" w:color="D9E2E5"/>
            </w:tcBorders>
          </w:tcPr>
          <w:p>
            <w:pPr>
              <w:spacing w:before="0" w:after="0"/>
            </w:pPr>
            <w:r>
              <w:rPr>
                <w:rFonts w:ascii="Aptos" w:hAnsi="Aptos"/>
                <w:sz w:val="16"/>
              </w:rPr>
              <w:t>Every 4 weeks / monthly</w:t>
            </w:r>
          </w:p>
        </w:tc>
        <w:tc>
          <w:tcPr>
            <w:tcW w:type="dxa" w:w="360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E2E5"/>
              <w:left w:val="single" w:sz="4" w:color="D9E2E5"/>
              <w:bottom w:val="single" w:sz="4" w:color="D9E2E5"/>
              <w:right w:val="single" w:sz="4" w:color="D9E2E5"/>
            </w:tcBorders>
          </w:tcPr>
          <w:p>
            <w:pPr>
              <w:spacing w:before="0" w:after="0"/>
            </w:pPr>
            <w:r>
              <w:rPr>
                <w:rFonts w:ascii="Aptos" w:hAnsi="Aptos"/>
                <w:sz w:val="16"/>
              </w:rPr>
              <w:t>Biweekly × 1.20</w:t>
            </w:r>
          </w:p>
        </w:tc>
        <w:tc>
          <w:tcPr>
            <w:tcW w:type="dxa" w:w="345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E2E5"/>
              <w:left w:val="single" w:sz="4" w:color="D9E2E5"/>
              <w:bottom w:val="single" w:sz="4" w:color="D9E2E5"/>
              <w:right w:val="single" w:sz="4" w:color="D9E2E5"/>
            </w:tcBorders>
          </w:tcPr>
          <w:p>
            <w:pPr>
              <w:spacing w:before="0" w:after="0"/>
            </w:pPr>
            <w:r>
              <w:rPr>
                <w:rFonts w:ascii="Aptos" w:hAnsi="Aptos"/>
                <w:sz w:val="16"/>
              </w:rPr>
              <w:t>More buildup per visit</w:t>
            </w:r>
          </w:p>
        </w:tc>
      </w:tr>
      <w:tr>
        <w:tc>
          <w:tcPr>
            <w:tcW w:type="dxa" w:w="302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E2E5"/>
              <w:left w:val="single" w:sz="4" w:color="D9E2E5"/>
              <w:bottom w:val="single" w:sz="4" w:color="D9E2E5"/>
              <w:right w:val="single" w:sz="4" w:color="D9E2E5"/>
            </w:tcBorders>
            <w:shd w:fill="F5F7F8"/>
          </w:tcPr>
          <w:p>
            <w:pPr>
              <w:spacing w:before="0" w:after="0"/>
            </w:pPr>
            <w:r>
              <w:rPr>
                <w:rFonts w:ascii="Aptos" w:hAnsi="Aptos"/>
                <w:sz w:val="16"/>
              </w:rPr>
              <w:t>One-time standard</w:t>
            </w:r>
          </w:p>
        </w:tc>
        <w:tc>
          <w:tcPr>
            <w:tcW w:type="dxa" w:w="360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E2E5"/>
              <w:left w:val="single" w:sz="4" w:color="D9E2E5"/>
              <w:bottom w:val="single" w:sz="4" w:color="D9E2E5"/>
              <w:right w:val="single" w:sz="4" w:color="D9E2E5"/>
            </w:tcBorders>
            <w:shd w:fill="F5F7F8"/>
          </w:tcPr>
          <w:p>
            <w:pPr>
              <w:spacing w:before="0" w:after="0"/>
            </w:pPr>
            <w:r>
              <w:rPr>
                <w:rFonts w:ascii="Aptos" w:hAnsi="Aptos"/>
                <w:sz w:val="16"/>
              </w:rPr>
              <w:t>Biweekly × 1.35</w:t>
            </w:r>
          </w:p>
        </w:tc>
        <w:tc>
          <w:tcPr>
            <w:tcW w:type="dxa" w:w="345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E2E5"/>
              <w:left w:val="single" w:sz="4" w:color="D9E2E5"/>
              <w:bottom w:val="single" w:sz="4" w:color="D9E2E5"/>
              <w:right w:val="single" w:sz="4" w:color="D9E2E5"/>
            </w:tcBorders>
            <w:shd w:fill="F5F7F8"/>
          </w:tcPr>
          <w:p>
            <w:pPr>
              <w:spacing w:before="0" w:after="0"/>
            </w:pPr>
            <w:r>
              <w:rPr>
                <w:rFonts w:ascii="Aptos" w:hAnsi="Aptos"/>
                <w:sz w:val="16"/>
              </w:rPr>
              <w:t>No maintained baseline</w:t>
            </w:r>
          </w:p>
        </w:tc>
      </w:tr>
    </w:tbl>
    <w:p>
      <w:pPr>
        <w:pStyle w:val="Heading2"/>
      </w:pPr>
      <w:r>
        <w:t>Benchmark outputs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</w:trPr>
        <w:tc>
          <w:tcPr>
            <w:tcW w:type="dxa" w:w="29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E2E5"/>
              <w:left w:val="single" w:sz="4" w:color="D9E2E5"/>
              <w:bottom w:val="single" w:sz="4" w:color="D9E2E5"/>
              <w:right w:val="single" w:sz="4" w:color="D9E2E5"/>
            </w:tcBorders>
            <w:shd w:fill="123B57"/>
          </w:tcPr>
          <w:p>
            <w:pPr>
              <w:spacing w:before="0" w:after="0"/>
            </w:pPr>
            <w:r>
              <w:rPr>
                <w:rFonts w:ascii="Aptos" w:hAnsi="Aptos"/>
                <w:b/>
                <w:color w:val="FFFFFF"/>
                <w:sz w:val="16"/>
              </w:rPr>
              <w:t>Example home</w:t>
            </w:r>
          </w:p>
        </w:tc>
        <w:tc>
          <w:tcPr>
            <w:tcW w:type="dxa" w:w="172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E2E5"/>
              <w:left w:val="single" w:sz="4" w:color="D9E2E5"/>
              <w:bottom w:val="single" w:sz="4" w:color="D9E2E5"/>
              <w:right w:val="single" w:sz="4" w:color="D9E2E5"/>
            </w:tcBorders>
            <w:shd w:fill="123B57"/>
          </w:tcPr>
          <w:p>
            <w:pPr>
              <w:spacing w:before="0" w:after="0"/>
            </w:pPr>
            <w:r>
              <w:rPr>
                <w:rFonts w:ascii="Aptos" w:hAnsi="Aptos"/>
                <w:b/>
                <w:color w:val="FFFFFF"/>
                <w:sz w:val="16"/>
              </w:rPr>
              <w:t>Weekly</w:t>
            </w:r>
          </w:p>
        </w:tc>
        <w:tc>
          <w:tcPr>
            <w:tcW w:type="dxa" w:w="180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E2E5"/>
              <w:left w:val="single" w:sz="4" w:color="D9E2E5"/>
              <w:bottom w:val="single" w:sz="4" w:color="D9E2E5"/>
              <w:right w:val="single" w:sz="4" w:color="D9E2E5"/>
            </w:tcBorders>
            <w:shd w:fill="123B57"/>
          </w:tcPr>
          <w:p>
            <w:pPr>
              <w:spacing w:before="0" w:after="0"/>
            </w:pPr>
            <w:r>
              <w:rPr>
                <w:rFonts w:ascii="Aptos" w:hAnsi="Aptos"/>
                <w:b/>
                <w:color w:val="FFFFFF"/>
                <w:sz w:val="16"/>
              </w:rPr>
              <w:t>Biweekly</w:t>
            </w:r>
          </w:p>
        </w:tc>
        <w:tc>
          <w:tcPr>
            <w:tcW w:type="dxa" w:w="208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E2E5"/>
              <w:left w:val="single" w:sz="4" w:color="D9E2E5"/>
              <w:bottom w:val="single" w:sz="4" w:color="D9E2E5"/>
              <w:right w:val="single" w:sz="4" w:color="D9E2E5"/>
            </w:tcBorders>
            <w:shd w:fill="123B57"/>
          </w:tcPr>
          <w:p>
            <w:pPr>
              <w:spacing w:before="0" w:after="0"/>
            </w:pPr>
            <w:r>
              <w:rPr>
                <w:rFonts w:ascii="Aptos" w:hAnsi="Aptos"/>
                <w:b/>
                <w:color w:val="FFFFFF"/>
                <w:sz w:val="16"/>
              </w:rPr>
              <w:t>Every 4 weeks</w:t>
            </w:r>
          </w:p>
        </w:tc>
        <w:tc>
          <w:tcPr>
            <w:tcW w:type="dxa" w:w="180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E2E5"/>
              <w:left w:val="single" w:sz="4" w:color="D9E2E5"/>
              <w:bottom w:val="single" w:sz="4" w:color="D9E2E5"/>
              <w:right w:val="single" w:sz="4" w:color="D9E2E5"/>
            </w:tcBorders>
            <w:shd w:fill="123B57"/>
          </w:tcPr>
          <w:p>
            <w:pPr>
              <w:spacing w:before="0" w:after="0"/>
            </w:pPr>
            <w:r>
              <w:rPr>
                <w:rFonts w:ascii="Aptos" w:hAnsi="Aptos"/>
                <w:b/>
                <w:color w:val="FFFFFF"/>
                <w:sz w:val="16"/>
              </w:rPr>
              <w:t>One-time</w:t>
            </w:r>
          </w:p>
        </w:tc>
      </w:tr>
      <w:tr>
        <w:tc>
          <w:tcPr>
            <w:tcW w:type="dxa" w:w="29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E2E5"/>
              <w:left w:val="single" w:sz="4" w:color="D9E2E5"/>
              <w:bottom w:val="single" w:sz="4" w:color="D9E2E5"/>
              <w:right w:val="single" w:sz="4" w:color="D9E2E5"/>
            </w:tcBorders>
          </w:tcPr>
          <w:p>
            <w:pPr>
              <w:spacing w:before="0" w:after="0"/>
            </w:pPr>
            <w:r>
              <w:rPr>
                <w:rFonts w:ascii="Aptos" w:hAnsi="Aptos"/>
                <w:sz w:val="16"/>
              </w:rPr>
              <w:t>1/1, ≤1,800 sq ft</w:t>
            </w:r>
          </w:p>
        </w:tc>
        <w:tc>
          <w:tcPr>
            <w:tcW w:type="dxa" w:w="172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E2E5"/>
              <w:left w:val="single" w:sz="4" w:color="D9E2E5"/>
              <w:bottom w:val="single" w:sz="4" w:color="D9E2E5"/>
              <w:right w:val="single" w:sz="4" w:color="D9E2E5"/>
            </w:tcBorders>
          </w:tcPr>
          <w:p>
            <w:pPr>
              <w:spacing w:before="0" w:after="0"/>
            </w:pPr>
            <w:r>
              <w:rPr>
                <w:rFonts w:ascii="Aptos" w:hAnsi="Aptos"/>
                <w:sz w:val="16"/>
              </w:rPr>
              <w:t>$125</w:t>
            </w:r>
          </w:p>
        </w:tc>
        <w:tc>
          <w:tcPr>
            <w:tcW w:type="dxa" w:w="180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E2E5"/>
              <w:left w:val="single" w:sz="4" w:color="D9E2E5"/>
              <w:bottom w:val="single" w:sz="4" w:color="D9E2E5"/>
              <w:right w:val="single" w:sz="4" w:color="D9E2E5"/>
            </w:tcBorders>
          </w:tcPr>
          <w:p>
            <w:pPr>
              <w:spacing w:before="0" w:after="0"/>
            </w:pPr>
            <w:r>
              <w:rPr>
                <w:rFonts w:ascii="Aptos" w:hAnsi="Aptos"/>
                <w:sz w:val="16"/>
              </w:rPr>
              <w:t>$140</w:t>
            </w:r>
          </w:p>
        </w:tc>
        <w:tc>
          <w:tcPr>
            <w:tcW w:type="dxa" w:w="208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E2E5"/>
              <w:left w:val="single" w:sz="4" w:color="D9E2E5"/>
              <w:bottom w:val="single" w:sz="4" w:color="D9E2E5"/>
              <w:right w:val="single" w:sz="4" w:color="D9E2E5"/>
            </w:tcBorders>
          </w:tcPr>
          <w:p>
            <w:pPr>
              <w:spacing w:before="0" w:after="0"/>
            </w:pPr>
            <w:r>
              <w:rPr>
                <w:rFonts w:ascii="Aptos" w:hAnsi="Aptos"/>
                <w:sz w:val="16"/>
              </w:rPr>
              <w:t>$170</w:t>
            </w:r>
          </w:p>
        </w:tc>
        <w:tc>
          <w:tcPr>
            <w:tcW w:type="dxa" w:w="180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E2E5"/>
              <w:left w:val="single" w:sz="4" w:color="D9E2E5"/>
              <w:bottom w:val="single" w:sz="4" w:color="D9E2E5"/>
              <w:right w:val="single" w:sz="4" w:color="D9E2E5"/>
            </w:tcBorders>
          </w:tcPr>
          <w:p>
            <w:pPr>
              <w:spacing w:before="0" w:after="0"/>
            </w:pPr>
            <w:r>
              <w:rPr>
                <w:rFonts w:ascii="Aptos" w:hAnsi="Aptos"/>
                <w:sz w:val="16"/>
              </w:rPr>
              <w:t>$190</w:t>
            </w:r>
          </w:p>
        </w:tc>
      </w:tr>
      <w:tr>
        <w:tc>
          <w:tcPr>
            <w:tcW w:type="dxa" w:w="29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E2E5"/>
              <w:left w:val="single" w:sz="4" w:color="D9E2E5"/>
              <w:bottom w:val="single" w:sz="4" w:color="D9E2E5"/>
              <w:right w:val="single" w:sz="4" w:color="D9E2E5"/>
            </w:tcBorders>
            <w:shd w:fill="F5F7F8"/>
          </w:tcPr>
          <w:p>
            <w:pPr>
              <w:spacing w:before="0" w:after="0"/>
            </w:pPr>
            <w:r>
              <w:rPr>
                <w:rFonts w:ascii="Aptos" w:hAnsi="Aptos"/>
                <w:sz w:val="16"/>
              </w:rPr>
              <w:t>2/2, ≤1,800 sq ft</w:t>
            </w:r>
          </w:p>
        </w:tc>
        <w:tc>
          <w:tcPr>
            <w:tcW w:type="dxa" w:w="172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E2E5"/>
              <w:left w:val="single" w:sz="4" w:color="D9E2E5"/>
              <w:bottom w:val="single" w:sz="4" w:color="D9E2E5"/>
              <w:right w:val="single" w:sz="4" w:color="D9E2E5"/>
            </w:tcBorders>
            <w:shd w:fill="F5F7F8"/>
          </w:tcPr>
          <w:p>
            <w:pPr>
              <w:spacing w:before="0" w:after="0"/>
            </w:pPr>
            <w:r>
              <w:rPr>
                <w:rFonts w:ascii="Aptos" w:hAnsi="Aptos"/>
                <w:sz w:val="16"/>
              </w:rPr>
              <w:t>$155</w:t>
            </w:r>
          </w:p>
        </w:tc>
        <w:tc>
          <w:tcPr>
            <w:tcW w:type="dxa" w:w="180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E2E5"/>
              <w:left w:val="single" w:sz="4" w:color="D9E2E5"/>
              <w:bottom w:val="single" w:sz="4" w:color="D9E2E5"/>
              <w:right w:val="single" w:sz="4" w:color="D9E2E5"/>
            </w:tcBorders>
            <w:shd w:fill="F5F7F8"/>
          </w:tcPr>
          <w:p>
            <w:pPr>
              <w:spacing w:before="0" w:after="0"/>
            </w:pPr>
            <w:r>
              <w:rPr>
                <w:rFonts w:ascii="Aptos" w:hAnsi="Aptos"/>
                <w:sz w:val="16"/>
              </w:rPr>
              <w:t>$170</w:t>
            </w:r>
          </w:p>
        </w:tc>
        <w:tc>
          <w:tcPr>
            <w:tcW w:type="dxa" w:w="208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E2E5"/>
              <w:left w:val="single" w:sz="4" w:color="D9E2E5"/>
              <w:bottom w:val="single" w:sz="4" w:color="D9E2E5"/>
              <w:right w:val="single" w:sz="4" w:color="D9E2E5"/>
            </w:tcBorders>
            <w:shd w:fill="F5F7F8"/>
          </w:tcPr>
          <w:p>
            <w:pPr>
              <w:spacing w:before="0" w:after="0"/>
            </w:pPr>
            <w:r>
              <w:rPr>
                <w:rFonts w:ascii="Aptos" w:hAnsi="Aptos"/>
                <w:sz w:val="16"/>
              </w:rPr>
              <w:t>$205</w:t>
            </w:r>
          </w:p>
        </w:tc>
        <w:tc>
          <w:tcPr>
            <w:tcW w:type="dxa" w:w="180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E2E5"/>
              <w:left w:val="single" w:sz="4" w:color="D9E2E5"/>
              <w:bottom w:val="single" w:sz="4" w:color="D9E2E5"/>
              <w:right w:val="single" w:sz="4" w:color="D9E2E5"/>
            </w:tcBorders>
            <w:shd w:fill="F5F7F8"/>
          </w:tcPr>
          <w:p>
            <w:pPr>
              <w:spacing w:before="0" w:after="0"/>
            </w:pPr>
            <w:r>
              <w:rPr>
                <w:rFonts w:ascii="Aptos" w:hAnsi="Aptos"/>
                <w:sz w:val="16"/>
              </w:rPr>
              <w:t>$230</w:t>
            </w:r>
          </w:p>
        </w:tc>
      </w:tr>
      <w:tr>
        <w:tc>
          <w:tcPr>
            <w:tcW w:type="dxa" w:w="29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E2E5"/>
              <w:left w:val="single" w:sz="4" w:color="D9E2E5"/>
              <w:bottom w:val="single" w:sz="4" w:color="D9E2E5"/>
              <w:right w:val="single" w:sz="4" w:color="D9E2E5"/>
            </w:tcBorders>
          </w:tcPr>
          <w:p>
            <w:pPr>
              <w:spacing w:before="0" w:after="0"/>
            </w:pPr>
            <w:r>
              <w:rPr>
                <w:rFonts w:ascii="Aptos" w:hAnsi="Aptos"/>
                <w:sz w:val="16"/>
              </w:rPr>
              <w:t>3/2, ~2,000 sq ft</w:t>
            </w:r>
          </w:p>
        </w:tc>
        <w:tc>
          <w:tcPr>
            <w:tcW w:type="dxa" w:w="172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E2E5"/>
              <w:left w:val="single" w:sz="4" w:color="D9E2E5"/>
              <w:bottom w:val="single" w:sz="4" w:color="D9E2E5"/>
              <w:right w:val="single" w:sz="4" w:color="D9E2E5"/>
            </w:tcBorders>
          </w:tcPr>
          <w:p>
            <w:pPr>
              <w:spacing w:before="0" w:after="0"/>
            </w:pPr>
            <w:r>
              <w:rPr>
                <w:rFonts w:ascii="Aptos" w:hAnsi="Aptos"/>
                <w:sz w:val="16"/>
              </w:rPr>
              <w:t>$170</w:t>
            </w:r>
          </w:p>
        </w:tc>
        <w:tc>
          <w:tcPr>
            <w:tcW w:type="dxa" w:w="180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E2E5"/>
              <w:left w:val="single" w:sz="4" w:color="D9E2E5"/>
              <w:bottom w:val="single" w:sz="4" w:color="D9E2E5"/>
              <w:right w:val="single" w:sz="4" w:color="D9E2E5"/>
            </w:tcBorders>
          </w:tcPr>
          <w:p>
            <w:pPr>
              <w:spacing w:before="0" w:after="0"/>
            </w:pPr>
            <w:r>
              <w:rPr>
                <w:rFonts w:ascii="Aptos" w:hAnsi="Aptos"/>
                <w:sz w:val="16"/>
              </w:rPr>
              <w:t>$190</w:t>
            </w:r>
          </w:p>
        </w:tc>
        <w:tc>
          <w:tcPr>
            <w:tcW w:type="dxa" w:w="208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E2E5"/>
              <w:left w:val="single" w:sz="4" w:color="D9E2E5"/>
              <w:bottom w:val="single" w:sz="4" w:color="D9E2E5"/>
              <w:right w:val="single" w:sz="4" w:color="D9E2E5"/>
            </w:tcBorders>
          </w:tcPr>
          <w:p>
            <w:pPr>
              <w:spacing w:before="0" w:after="0"/>
            </w:pPr>
            <w:r>
              <w:rPr>
                <w:rFonts w:ascii="Aptos" w:hAnsi="Aptos"/>
                <w:sz w:val="16"/>
              </w:rPr>
              <w:t>$230</w:t>
            </w:r>
          </w:p>
        </w:tc>
        <w:tc>
          <w:tcPr>
            <w:tcW w:type="dxa" w:w="180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E2E5"/>
              <w:left w:val="single" w:sz="4" w:color="D9E2E5"/>
              <w:bottom w:val="single" w:sz="4" w:color="D9E2E5"/>
              <w:right w:val="single" w:sz="4" w:color="D9E2E5"/>
            </w:tcBorders>
          </w:tcPr>
          <w:p>
            <w:pPr>
              <w:spacing w:before="0" w:after="0"/>
            </w:pPr>
            <w:r>
              <w:rPr>
                <w:rFonts w:ascii="Aptos" w:hAnsi="Aptos"/>
                <w:sz w:val="16"/>
              </w:rPr>
              <w:t>$255</w:t>
            </w:r>
          </w:p>
        </w:tc>
      </w:tr>
      <w:tr>
        <w:tc>
          <w:tcPr>
            <w:tcW w:type="dxa" w:w="29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E2E5"/>
              <w:left w:val="single" w:sz="4" w:color="D9E2E5"/>
              <w:bottom w:val="single" w:sz="4" w:color="D9E2E5"/>
              <w:right w:val="single" w:sz="4" w:color="D9E2E5"/>
            </w:tcBorders>
            <w:shd w:fill="F5F7F8"/>
          </w:tcPr>
          <w:p>
            <w:pPr>
              <w:spacing w:before="0" w:after="0"/>
            </w:pPr>
            <w:r>
              <w:rPr>
                <w:rFonts w:ascii="Aptos" w:hAnsi="Aptos"/>
                <w:sz w:val="16"/>
              </w:rPr>
              <w:t>4/3, ~2,800 sq ft</w:t>
            </w:r>
          </w:p>
        </w:tc>
        <w:tc>
          <w:tcPr>
            <w:tcW w:type="dxa" w:w="172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E2E5"/>
              <w:left w:val="single" w:sz="4" w:color="D9E2E5"/>
              <w:bottom w:val="single" w:sz="4" w:color="D9E2E5"/>
              <w:right w:val="single" w:sz="4" w:color="D9E2E5"/>
            </w:tcBorders>
            <w:shd w:fill="F5F7F8"/>
          </w:tcPr>
          <w:p>
            <w:pPr>
              <w:spacing w:before="0" w:after="0"/>
            </w:pPr>
            <w:r>
              <w:rPr>
                <w:rFonts w:ascii="Aptos" w:hAnsi="Aptos"/>
                <w:sz w:val="16"/>
              </w:rPr>
              <w:t>$215</w:t>
            </w:r>
          </w:p>
        </w:tc>
        <w:tc>
          <w:tcPr>
            <w:tcW w:type="dxa" w:w="180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E2E5"/>
              <w:left w:val="single" w:sz="4" w:color="D9E2E5"/>
              <w:bottom w:val="single" w:sz="4" w:color="D9E2E5"/>
              <w:right w:val="single" w:sz="4" w:color="D9E2E5"/>
            </w:tcBorders>
            <w:shd w:fill="F5F7F8"/>
          </w:tcPr>
          <w:p>
            <w:pPr>
              <w:spacing w:before="0" w:after="0"/>
            </w:pPr>
            <w:r>
              <w:rPr>
                <w:rFonts w:ascii="Aptos" w:hAnsi="Aptos"/>
                <w:sz w:val="16"/>
              </w:rPr>
              <w:t>$240</w:t>
            </w:r>
          </w:p>
        </w:tc>
        <w:tc>
          <w:tcPr>
            <w:tcW w:type="dxa" w:w="208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E2E5"/>
              <w:left w:val="single" w:sz="4" w:color="D9E2E5"/>
              <w:bottom w:val="single" w:sz="4" w:color="D9E2E5"/>
              <w:right w:val="single" w:sz="4" w:color="D9E2E5"/>
            </w:tcBorders>
            <w:shd w:fill="F5F7F8"/>
          </w:tcPr>
          <w:p>
            <w:pPr>
              <w:spacing w:before="0" w:after="0"/>
            </w:pPr>
            <w:r>
              <w:rPr>
                <w:rFonts w:ascii="Aptos" w:hAnsi="Aptos"/>
                <w:sz w:val="16"/>
              </w:rPr>
              <w:t>$290</w:t>
            </w:r>
          </w:p>
        </w:tc>
        <w:tc>
          <w:tcPr>
            <w:tcW w:type="dxa" w:w="180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E2E5"/>
              <w:left w:val="single" w:sz="4" w:color="D9E2E5"/>
              <w:bottom w:val="single" w:sz="4" w:color="D9E2E5"/>
              <w:right w:val="single" w:sz="4" w:color="D9E2E5"/>
            </w:tcBorders>
            <w:shd w:fill="F5F7F8"/>
          </w:tcPr>
          <w:p>
            <w:pPr>
              <w:spacing w:before="0" w:after="0"/>
            </w:pPr>
            <w:r>
              <w:rPr>
                <w:rFonts w:ascii="Aptos" w:hAnsi="Aptos"/>
                <w:sz w:val="16"/>
              </w:rPr>
              <w:t>$325</w:t>
            </w:r>
          </w:p>
        </w:tc>
      </w:tr>
    </w:tbl>
    <w:p>
      <w:pPr>
        <w:pStyle w:val="Heading2"/>
      </w:pPr>
      <w:r>
        <w:t>Automatic-estimate limits</w:t>
      </w:r>
    </w:p>
    <w:p>
      <w:pPr>
        <w:ind w:left="288" w:hanging="173"/>
      </w:pPr>
      <w:r>
        <w:rPr>
          <w:b/>
          <w:color w:val="C94F68"/>
        </w:rPr>
        <w:t xml:space="preserve">• </w:t>
      </w:r>
      <w:r>
        <w:t>Automatic estimator supports up to 4 bedrooms, 3 full bathrooms, and 3,500 sq ft.</w:t>
      </w:r>
    </w:p>
    <w:p>
      <w:pPr>
        <w:ind w:left="288" w:hanging="173"/>
      </w:pPr>
      <w:r>
        <w:rPr>
          <w:b/>
          <w:color w:val="C94F68"/>
        </w:rPr>
        <w:t xml:space="preserve">• </w:t>
      </w:r>
      <w:r>
        <w:t>5+ bedrooms, 4+ full bathrooms, or more than 3,500 sq ft → Custom quote.</w:t>
      </w:r>
    </w:p>
    <w:p>
      <w:pPr>
        <w:ind w:left="288" w:hanging="173"/>
      </w:pPr>
      <w:r>
        <w:rPr>
          <w:b/>
          <w:color w:val="C94F68"/>
        </w:rPr>
        <w:t xml:space="preserve">• </w:t>
      </w:r>
      <w:r>
        <w:t>A first visit is not automatically a Deep Clean. A reasonably maintained home can receive a one-time standard clean.</w:t>
      </w:r>
    </w:p>
    <w:p>
      <w:pPr>
        <w:ind w:left="288" w:hanging="173"/>
      </w:pPr>
      <w:r>
        <w:rPr>
          <w:b/>
          <w:color w:val="C94F68"/>
        </w:rPr>
        <w:t xml:space="preserve">• </w:t>
      </w:r>
      <w:r>
        <w:t>Substantial buildup or deep-detail requests → recommend Deep Cleaning instead of applying a hidden condition multiplier.</w:t>
      </w:r>
    </w:p>
    <w:p>
      <w:pPr>
        <w:pStyle w:val="Heading1"/>
      </w:pPr>
      <w:r>
        <w:t>2. Deep Cleaning</w:t>
      </w:r>
    </w:p>
    <w:p>
      <w:r>
        <w:rPr>
          <w:b/>
        </w:rPr>
        <w:t xml:space="preserve">Formula: </w:t>
      </w:r>
      <w:r>
        <w:t>one-time Home Cleaning estimate + $85 deep-detail base + the deep-size adjustment below.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</w:trPr>
        <w:tc>
          <w:tcPr>
            <w:tcW w:type="dxa" w:w="547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E2E5"/>
              <w:left w:val="single" w:sz="4" w:color="D9E2E5"/>
              <w:bottom w:val="single" w:sz="4" w:color="D9E2E5"/>
              <w:right w:val="single" w:sz="4" w:color="D9E2E5"/>
            </w:tcBorders>
            <w:shd w:fill="123B57"/>
          </w:tcPr>
          <w:p>
            <w:pPr>
              <w:spacing w:before="0" w:after="0"/>
            </w:pPr>
            <w:r>
              <w:rPr>
                <w:rFonts w:ascii="Aptos" w:hAnsi="Aptos"/>
                <w:b/>
                <w:color w:val="FFFFFF"/>
                <w:sz w:val="17"/>
              </w:rPr>
              <w:t>Approximate size</w:t>
            </w:r>
          </w:p>
        </w:tc>
        <w:tc>
          <w:tcPr>
            <w:tcW w:type="dxa" w:w="460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E2E5"/>
              <w:left w:val="single" w:sz="4" w:color="D9E2E5"/>
              <w:bottom w:val="single" w:sz="4" w:color="D9E2E5"/>
              <w:right w:val="single" w:sz="4" w:color="D9E2E5"/>
            </w:tcBorders>
            <w:shd w:fill="123B57"/>
          </w:tcPr>
          <w:p>
            <w:pPr>
              <w:spacing w:before="0" w:after="0"/>
            </w:pPr>
            <w:r>
              <w:rPr>
                <w:rFonts w:ascii="Aptos" w:hAnsi="Aptos"/>
                <w:b/>
                <w:color w:val="FFFFFF"/>
                <w:sz w:val="17"/>
              </w:rPr>
              <w:t>Additional deep-size adjustment</w:t>
            </w:r>
          </w:p>
        </w:tc>
      </w:tr>
      <w:tr>
        <w:tc>
          <w:tcPr>
            <w:tcW w:type="dxa" w:w="547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E2E5"/>
              <w:left w:val="single" w:sz="4" w:color="D9E2E5"/>
              <w:bottom w:val="single" w:sz="4" w:color="D9E2E5"/>
              <w:right w:val="single" w:sz="4" w:color="D9E2E5"/>
            </w:tcBorders>
          </w:tcPr>
          <w:p>
            <w:pPr>
              <w:spacing w:before="0" w:after="0"/>
            </w:pPr>
            <w:r>
              <w:rPr>
                <w:rFonts w:ascii="Aptos" w:hAnsi="Aptos"/>
                <w:sz w:val="17"/>
              </w:rPr>
              <w:t>Up to 1,800 sq ft</w:t>
            </w:r>
          </w:p>
        </w:tc>
        <w:tc>
          <w:tcPr>
            <w:tcW w:type="dxa" w:w="460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E2E5"/>
              <w:left w:val="single" w:sz="4" w:color="D9E2E5"/>
              <w:bottom w:val="single" w:sz="4" w:color="D9E2E5"/>
              <w:right w:val="single" w:sz="4" w:color="D9E2E5"/>
            </w:tcBorders>
          </w:tcPr>
          <w:p>
            <w:pPr>
              <w:spacing w:before="0" w:after="0"/>
            </w:pPr>
            <w:r>
              <w:rPr>
                <w:rFonts w:ascii="Aptos" w:hAnsi="Aptos"/>
                <w:sz w:val="17"/>
              </w:rPr>
              <w:t>$0</w:t>
            </w:r>
          </w:p>
        </w:tc>
      </w:tr>
      <w:tr>
        <w:tc>
          <w:tcPr>
            <w:tcW w:type="dxa" w:w="547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E2E5"/>
              <w:left w:val="single" w:sz="4" w:color="D9E2E5"/>
              <w:bottom w:val="single" w:sz="4" w:color="D9E2E5"/>
              <w:right w:val="single" w:sz="4" w:color="D9E2E5"/>
            </w:tcBorders>
            <w:shd w:fill="F5F7F8"/>
          </w:tcPr>
          <w:p>
            <w:pPr>
              <w:spacing w:before="0" w:after="0"/>
            </w:pPr>
            <w:r>
              <w:rPr>
                <w:rFonts w:ascii="Aptos" w:hAnsi="Aptos"/>
                <w:sz w:val="17"/>
              </w:rPr>
              <w:t>1,801–2,400 sq ft</w:t>
            </w:r>
          </w:p>
        </w:tc>
        <w:tc>
          <w:tcPr>
            <w:tcW w:type="dxa" w:w="460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E2E5"/>
              <w:left w:val="single" w:sz="4" w:color="D9E2E5"/>
              <w:bottom w:val="single" w:sz="4" w:color="D9E2E5"/>
              <w:right w:val="single" w:sz="4" w:color="D9E2E5"/>
            </w:tcBorders>
            <w:shd w:fill="F5F7F8"/>
          </w:tcPr>
          <w:p>
            <w:pPr>
              <w:spacing w:before="0" w:after="0"/>
            </w:pPr>
            <w:r>
              <w:rPr>
                <w:rFonts w:ascii="Aptos" w:hAnsi="Aptos"/>
                <w:sz w:val="17"/>
              </w:rPr>
              <w:t>+$10</w:t>
            </w:r>
          </w:p>
        </w:tc>
      </w:tr>
      <w:tr>
        <w:tc>
          <w:tcPr>
            <w:tcW w:type="dxa" w:w="547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E2E5"/>
              <w:left w:val="single" w:sz="4" w:color="D9E2E5"/>
              <w:bottom w:val="single" w:sz="4" w:color="D9E2E5"/>
              <w:right w:val="single" w:sz="4" w:color="D9E2E5"/>
            </w:tcBorders>
          </w:tcPr>
          <w:p>
            <w:pPr>
              <w:spacing w:before="0" w:after="0"/>
            </w:pPr>
            <w:r>
              <w:rPr>
                <w:rFonts w:ascii="Aptos" w:hAnsi="Aptos"/>
                <w:sz w:val="17"/>
              </w:rPr>
              <w:t>2,401–3,000 sq ft</w:t>
            </w:r>
          </w:p>
        </w:tc>
        <w:tc>
          <w:tcPr>
            <w:tcW w:type="dxa" w:w="460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E2E5"/>
              <w:left w:val="single" w:sz="4" w:color="D9E2E5"/>
              <w:bottom w:val="single" w:sz="4" w:color="D9E2E5"/>
              <w:right w:val="single" w:sz="4" w:color="D9E2E5"/>
            </w:tcBorders>
          </w:tcPr>
          <w:p>
            <w:pPr>
              <w:spacing w:before="0" w:after="0"/>
            </w:pPr>
            <w:r>
              <w:rPr>
                <w:rFonts w:ascii="Aptos" w:hAnsi="Aptos"/>
                <w:sz w:val="17"/>
              </w:rPr>
              <w:t>+$15</w:t>
            </w:r>
          </w:p>
        </w:tc>
      </w:tr>
      <w:tr>
        <w:tc>
          <w:tcPr>
            <w:tcW w:type="dxa" w:w="547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E2E5"/>
              <w:left w:val="single" w:sz="4" w:color="D9E2E5"/>
              <w:bottom w:val="single" w:sz="4" w:color="D9E2E5"/>
              <w:right w:val="single" w:sz="4" w:color="D9E2E5"/>
            </w:tcBorders>
            <w:shd w:fill="F5F7F8"/>
          </w:tcPr>
          <w:p>
            <w:pPr>
              <w:spacing w:before="0" w:after="0"/>
            </w:pPr>
            <w:r>
              <w:rPr>
                <w:rFonts w:ascii="Aptos" w:hAnsi="Aptos"/>
                <w:sz w:val="17"/>
              </w:rPr>
              <w:t>3,001–3,500 sq ft</w:t>
            </w:r>
          </w:p>
        </w:tc>
        <w:tc>
          <w:tcPr>
            <w:tcW w:type="dxa" w:w="460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E2E5"/>
              <w:left w:val="single" w:sz="4" w:color="D9E2E5"/>
              <w:bottom w:val="single" w:sz="4" w:color="D9E2E5"/>
              <w:right w:val="single" w:sz="4" w:color="D9E2E5"/>
            </w:tcBorders>
            <w:shd w:fill="F5F7F8"/>
          </w:tcPr>
          <w:p>
            <w:pPr>
              <w:spacing w:before="0" w:after="0"/>
            </w:pPr>
            <w:r>
              <w:rPr>
                <w:rFonts w:ascii="Aptos" w:hAnsi="Aptos"/>
                <w:sz w:val="17"/>
              </w:rPr>
              <w:t>+$25</w:t>
            </w:r>
          </w:p>
        </w:tc>
      </w:tr>
      <w:tr>
        <w:tc>
          <w:tcPr>
            <w:tcW w:type="dxa" w:w="547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E2E5"/>
              <w:left w:val="single" w:sz="4" w:color="D9E2E5"/>
              <w:bottom w:val="single" w:sz="4" w:color="D9E2E5"/>
              <w:right w:val="single" w:sz="4" w:color="D9E2E5"/>
            </w:tcBorders>
          </w:tcPr>
          <w:p>
            <w:pPr>
              <w:spacing w:before="0" w:after="0"/>
            </w:pPr>
            <w:r>
              <w:rPr>
                <w:rFonts w:ascii="Aptos" w:hAnsi="Aptos"/>
                <w:sz w:val="17"/>
              </w:rPr>
              <w:t>Over 3,500 sq ft</w:t>
            </w:r>
          </w:p>
        </w:tc>
        <w:tc>
          <w:tcPr>
            <w:tcW w:type="dxa" w:w="460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E2E5"/>
              <w:left w:val="single" w:sz="4" w:color="D9E2E5"/>
              <w:bottom w:val="single" w:sz="4" w:color="D9E2E5"/>
              <w:right w:val="single" w:sz="4" w:color="D9E2E5"/>
            </w:tcBorders>
          </w:tcPr>
          <w:p>
            <w:pPr>
              <w:spacing w:before="0" w:after="0"/>
            </w:pPr>
            <w:r>
              <w:rPr>
                <w:rFonts w:ascii="Aptos" w:hAnsi="Aptos"/>
                <w:sz w:val="17"/>
              </w:rPr>
              <w:t>Custom quote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</w:trPr>
        <w:tc>
          <w:tcPr>
            <w:tcW w:type="dxa" w:w="576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E2E5"/>
              <w:left w:val="single" w:sz="4" w:color="D9E2E5"/>
              <w:bottom w:val="single" w:sz="4" w:color="D9E2E5"/>
              <w:right w:val="single" w:sz="4" w:color="D9E2E5"/>
            </w:tcBorders>
            <w:shd w:fill="123B57"/>
          </w:tcPr>
          <w:p>
            <w:pPr>
              <w:spacing w:before="0" w:after="0"/>
            </w:pPr>
            <w:r>
              <w:rPr>
                <w:rFonts w:ascii="Aptos" w:hAnsi="Aptos"/>
                <w:b/>
                <w:color w:val="FFFFFF"/>
                <w:sz w:val="17"/>
              </w:rPr>
              <w:t>Benchmark home</w:t>
            </w:r>
          </w:p>
        </w:tc>
        <w:tc>
          <w:tcPr>
            <w:tcW w:type="dxa" w:w="432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E2E5"/>
              <w:left w:val="single" w:sz="4" w:color="D9E2E5"/>
              <w:bottom w:val="single" w:sz="4" w:color="D9E2E5"/>
              <w:right w:val="single" w:sz="4" w:color="D9E2E5"/>
            </w:tcBorders>
            <w:shd w:fill="123B57"/>
          </w:tcPr>
          <w:p>
            <w:pPr>
              <w:spacing w:before="0" w:after="0"/>
            </w:pPr>
            <w:r>
              <w:rPr>
                <w:rFonts w:ascii="Aptos" w:hAnsi="Aptos"/>
                <w:b/>
                <w:color w:val="FFFFFF"/>
                <w:sz w:val="17"/>
              </w:rPr>
              <w:t>Deep Cleaning</w:t>
            </w:r>
          </w:p>
        </w:tc>
      </w:tr>
      <w:tr>
        <w:tc>
          <w:tcPr>
            <w:tcW w:type="dxa" w:w="576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E2E5"/>
              <w:left w:val="single" w:sz="4" w:color="D9E2E5"/>
              <w:bottom w:val="single" w:sz="4" w:color="D9E2E5"/>
              <w:right w:val="single" w:sz="4" w:color="D9E2E5"/>
            </w:tcBorders>
          </w:tcPr>
          <w:p>
            <w:pPr>
              <w:spacing w:before="0" w:after="0"/>
            </w:pPr>
            <w:r>
              <w:rPr>
                <w:rFonts w:ascii="Aptos" w:hAnsi="Aptos"/>
                <w:sz w:val="17"/>
              </w:rPr>
              <w:t>1/1, ≤1,800 sq ft</w:t>
            </w:r>
          </w:p>
        </w:tc>
        <w:tc>
          <w:tcPr>
            <w:tcW w:type="dxa" w:w="432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E2E5"/>
              <w:left w:val="single" w:sz="4" w:color="D9E2E5"/>
              <w:bottom w:val="single" w:sz="4" w:color="D9E2E5"/>
              <w:right w:val="single" w:sz="4" w:color="D9E2E5"/>
            </w:tcBorders>
          </w:tcPr>
          <w:p>
            <w:pPr>
              <w:spacing w:before="0" w:after="0"/>
            </w:pPr>
            <w:r>
              <w:rPr>
                <w:rFonts w:ascii="Aptos" w:hAnsi="Aptos"/>
                <w:sz w:val="17"/>
              </w:rPr>
              <w:t>$275</w:t>
            </w:r>
          </w:p>
        </w:tc>
      </w:tr>
      <w:tr>
        <w:tc>
          <w:tcPr>
            <w:tcW w:type="dxa" w:w="576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E2E5"/>
              <w:left w:val="single" w:sz="4" w:color="D9E2E5"/>
              <w:bottom w:val="single" w:sz="4" w:color="D9E2E5"/>
              <w:right w:val="single" w:sz="4" w:color="D9E2E5"/>
            </w:tcBorders>
            <w:shd w:fill="F5F7F8"/>
          </w:tcPr>
          <w:p>
            <w:pPr>
              <w:spacing w:before="0" w:after="0"/>
            </w:pPr>
            <w:r>
              <w:rPr>
                <w:rFonts w:ascii="Aptos" w:hAnsi="Aptos"/>
                <w:sz w:val="17"/>
              </w:rPr>
              <w:t>2/2, ≤1,800 sq ft</w:t>
            </w:r>
          </w:p>
        </w:tc>
        <w:tc>
          <w:tcPr>
            <w:tcW w:type="dxa" w:w="432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E2E5"/>
              <w:left w:val="single" w:sz="4" w:color="D9E2E5"/>
              <w:bottom w:val="single" w:sz="4" w:color="D9E2E5"/>
              <w:right w:val="single" w:sz="4" w:color="D9E2E5"/>
            </w:tcBorders>
            <w:shd w:fill="F5F7F8"/>
          </w:tcPr>
          <w:p>
            <w:pPr>
              <w:spacing w:before="0" w:after="0"/>
            </w:pPr>
            <w:r>
              <w:rPr>
                <w:rFonts w:ascii="Aptos" w:hAnsi="Aptos"/>
                <w:sz w:val="17"/>
              </w:rPr>
              <w:t>$315</w:t>
            </w:r>
          </w:p>
        </w:tc>
      </w:tr>
      <w:tr>
        <w:tc>
          <w:tcPr>
            <w:tcW w:type="dxa" w:w="576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E2E5"/>
              <w:left w:val="single" w:sz="4" w:color="D9E2E5"/>
              <w:bottom w:val="single" w:sz="4" w:color="D9E2E5"/>
              <w:right w:val="single" w:sz="4" w:color="D9E2E5"/>
            </w:tcBorders>
          </w:tcPr>
          <w:p>
            <w:pPr>
              <w:spacing w:before="0" w:after="0"/>
            </w:pPr>
            <w:r>
              <w:rPr>
                <w:rFonts w:ascii="Aptos" w:hAnsi="Aptos"/>
                <w:sz w:val="17"/>
              </w:rPr>
              <w:t>3/2, ~2,000 sq ft</w:t>
            </w:r>
          </w:p>
        </w:tc>
        <w:tc>
          <w:tcPr>
            <w:tcW w:type="dxa" w:w="432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E2E5"/>
              <w:left w:val="single" w:sz="4" w:color="D9E2E5"/>
              <w:bottom w:val="single" w:sz="4" w:color="D9E2E5"/>
              <w:right w:val="single" w:sz="4" w:color="D9E2E5"/>
            </w:tcBorders>
          </w:tcPr>
          <w:p>
            <w:pPr>
              <w:spacing w:before="0" w:after="0"/>
            </w:pPr>
            <w:r>
              <w:rPr>
                <w:rFonts w:ascii="Aptos" w:hAnsi="Aptos"/>
                <w:sz w:val="17"/>
              </w:rPr>
              <w:t>$350</w:t>
            </w:r>
          </w:p>
        </w:tc>
      </w:tr>
      <w:tr>
        <w:tc>
          <w:tcPr>
            <w:tcW w:type="dxa" w:w="576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E2E5"/>
              <w:left w:val="single" w:sz="4" w:color="D9E2E5"/>
              <w:bottom w:val="single" w:sz="4" w:color="D9E2E5"/>
              <w:right w:val="single" w:sz="4" w:color="D9E2E5"/>
            </w:tcBorders>
            <w:shd w:fill="F5F7F8"/>
          </w:tcPr>
          <w:p>
            <w:pPr>
              <w:spacing w:before="0" w:after="0"/>
            </w:pPr>
            <w:r>
              <w:rPr>
                <w:rFonts w:ascii="Aptos" w:hAnsi="Aptos"/>
                <w:sz w:val="17"/>
              </w:rPr>
              <w:t>4/3, ~2,800 sq ft</w:t>
            </w:r>
          </w:p>
        </w:tc>
        <w:tc>
          <w:tcPr>
            <w:tcW w:type="dxa" w:w="432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E2E5"/>
              <w:left w:val="single" w:sz="4" w:color="D9E2E5"/>
              <w:bottom w:val="single" w:sz="4" w:color="D9E2E5"/>
              <w:right w:val="single" w:sz="4" w:color="D9E2E5"/>
            </w:tcBorders>
            <w:shd w:fill="F5F7F8"/>
          </w:tcPr>
          <w:p>
            <w:pPr>
              <w:spacing w:before="0" w:after="0"/>
            </w:pPr>
            <w:r>
              <w:rPr>
                <w:rFonts w:ascii="Aptos" w:hAnsi="Aptos"/>
                <w:sz w:val="17"/>
              </w:rPr>
              <w:t>$425</w:t>
            </w:r>
          </w:p>
        </w:tc>
      </w:tr>
    </w:tbl>
    <w:p>
      <w:pPr>
        <w:pStyle w:val="Heading2"/>
      </w:pPr>
      <w:r>
        <w:t>Deep-clean scope rules</w:t>
      </w:r>
    </w:p>
    <w:p>
      <w:pPr>
        <w:ind w:left="288" w:hanging="173"/>
      </w:pPr>
      <w:r>
        <w:rPr>
          <w:b/>
          <w:color w:val="C94F68"/>
        </w:rPr>
        <w:t xml:space="preserve">• </w:t>
      </w:r>
      <w:r>
        <w:t>Includes the standard Home Cleaning scope plus heavier buildup and reachable detail work such as baseboards, trim, fixtures, touchpoints, and comparable deep-detail work defined on the service page.</w:t>
      </w:r>
    </w:p>
    <w:p>
      <w:pPr>
        <w:ind w:left="288" w:hanging="173"/>
      </w:pPr>
      <w:r>
        <w:rPr>
          <w:b/>
          <w:color w:val="C94F68"/>
        </w:rPr>
        <w:t xml:space="preserve">• </w:t>
      </w:r>
      <w:r>
        <w:t>Inside oven, inside refrigerator, empty cabinet interiors, and separately priced interior-window work remain optional unless specifically included in a quoted scope.</w:t>
      </w:r>
    </w:p>
    <w:p>
      <w:pPr>
        <w:ind w:left="288" w:hanging="173"/>
      </w:pPr>
      <w:r>
        <w:rPr>
          <w:b/>
          <w:color w:val="C94F68"/>
        </w:rPr>
        <w:t xml:space="preserve">• </w:t>
      </w:r>
      <w:r>
        <w:t>Deep Cleaning is priced as a one-time service; ongoing maintenance moves to Weekly, Biweekly, or Every-4-Weeks Home Cleaning.</w:t>
      </w:r>
    </w:p>
    <w:p>
      <w:pPr>
        <w:pStyle w:val="Heading1"/>
      </w:pPr>
      <w:r>
        <w:t>3. Move-In / Move-Out</w:t>
      </w:r>
    </w:p>
    <w:p>
      <w:r>
        <w:rPr>
          <w:b/>
        </w:rPr>
        <w:t xml:space="preserve">Base formula: </w:t>
      </w:r>
      <w:r>
        <w:t>$350 for 1 bedroom / 1 full bathroom in an empty or substantially empty property.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</w:trPr>
        <w:tc>
          <w:tcPr>
            <w:tcW w:type="dxa" w:w="47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E2E5"/>
              <w:left w:val="single" w:sz="4" w:color="D9E2E5"/>
              <w:bottom w:val="single" w:sz="4" w:color="D9E2E5"/>
              <w:right w:val="single" w:sz="4" w:color="D9E2E5"/>
            </w:tcBorders>
            <w:shd w:fill="123B57"/>
          </w:tcPr>
          <w:p>
            <w:pPr>
              <w:spacing w:before="0" w:after="0"/>
            </w:pPr>
            <w:r>
              <w:rPr>
                <w:rFonts w:ascii="Aptos" w:hAnsi="Aptos"/>
                <w:b/>
                <w:color w:val="FFFFFF"/>
                <w:sz w:val="17"/>
              </w:rPr>
              <w:t>Pricing input</w:t>
            </w:r>
          </w:p>
        </w:tc>
        <w:tc>
          <w:tcPr>
            <w:tcW w:type="dxa" w:w="532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E2E5"/>
              <w:left w:val="single" w:sz="4" w:color="D9E2E5"/>
              <w:bottom w:val="single" w:sz="4" w:color="D9E2E5"/>
              <w:right w:val="single" w:sz="4" w:color="D9E2E5"/>
            </w:tcBorders>
            <w:shd w:fill="123B57"/>
          </w:tcPr>
          <w:p>
            <w:pPr>
              <w:spacing w:before="0" w:after="0"/>
            </w:pPr>
            <w:r>
              <w:rPr>
                <w:rFonts w:ascii="Aptos" w:hAnsi="Aptos"/>
                <w:b/>
                <w:color w:val="FFFFFF"/>
                <w:sz w:val="17"/>
              </w:rPr>
              <w:t>Rule</w:t>
            </w:r>
          </w:p>
        </w:tc>
      </w:tr>
      <w:tr>
        <w:tc>
          <w:tcPr>
            <w:tcW w:type="dxa" w:w="47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E2E5"/>
              <w:left w:val="single" w:sz="4" w:color="D9E2E5"/>
              <w:bottom w:val="single" w:sz="4" w:color="D9E2E5"/>
              <w:right w:val="single" w:sz="4" w:color="D9E2E5"/>
            </w:tcBorders>
          </w:tcPr>
          <w:p>
            <w:pPr>
              <w:spacing w:before="0" w:after="0"/>
            </w:pPr>
            <w:r>
              <w:rPr>
                <w:rFonts w:ascii="Aptos" w:hAnsi="Aptos"/>
                <w:sz w:val="17"/>
              </w:rPr>
              <w:t>Base</w:t>
            </w:r>
          </w:p>
        </w:tc>
        <w:tc>
          <w:tcPr>
            <w:tcW w:type="dxa" w:w="532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E2E5"/>
              <w:left w:val="single" w:sz="4" w:color="D9E2E5"/>
              <w:bottom w:val="single" w:sz="4" w:color="D9E2E5"/>
              <w:right w:val="single" w:sz="4" w:color="D9E2E5"/>
            </w:tcBorders>
          </w:tcPr>
          <w:p>
            <w:pPr>
              <w:spacing w:before="0" w:after="0"/>
            </w:pPr>
            <w:r>
              <w:rPr>
                <w:rFonts w:ascii="Aptos" w:hAnsi="Aptos"/>
                <w:sz w:val="17"/>
              </w:rPr>
              <w:t>$350 — includes 1 bedroom + 1 full bathroom</w:t>
            </w:r>
          </w:p>
        </w:tc>
      </w:tr>
      <w:tr>
        <w:tc>
          <w:tcPr>
            <w:tcW w:type="dxa" w:w="47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E2E5"/>
              <w:left w:val="single" w:sz="4" w:color="D9E2E5"/>
              <w:bottom w:val="single" w:sz="4" w:color="D9E2E5"/>
              <w:right w:val="single" w:sz="4" w:color="D9E2E5"/>
            </w:tcBorders>
            <w:shd w:fill="F5F7F8"/>
          </w:tcPr>
          <w:p>
            <w:pPr>
              <w:spacing w:before="0" w:after="0"/>
            </w:pPr>
            <w:r>
              <w:rPr>
                <w:rFonts w:ascii="Aptos" w:hAnsi="Aptos"/>
                <w:sz w:val="17"/>
              </w:rPr>
              <w:t>Each additional bedroom</w:t>
            </w:r>
          </w:p>
        </w:tc>
        <w:tc>
          <w:tcPr>
            <w:tcW w:type="dxa" w:w="532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E2E5"/>
              <w:left w:val="single" w:sz="4" w:color="D9E2E5"/>
              <w:bottom w:val="single" w:sz="4" w:color="D9E2E5"/>
              <w:right w:val="single" w:sz="4" w:color="D9E2E5"/>
            </w:tcBorders>
            <w:shd w:fill="F5F7F8"/>
          </w:tcPr>
          <w:p>
            <w:pPr>
              <w:spacing w:before="0" w:after="0"/>
            </w:pPr>
            <w:r>
              <w:rPr>
                <w:rFonts w:ascii="Aptos" w:hAnsi="Aptos"/>
                <w:sz w:val="17"/>
              </w:rPr>
              <w:t>+$25</w:t>
            </w:r>
          </w:p>
        </w:tc>
      </w:tr>
      <w:tr>
        <w:tc>
          <w:tcPr>
            <w:tcW w:type="dxa" w:w="47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E2E5"/>
              <w:left w:val="single" w:sz="4" w:color="D9E2E5"/>
              <w:bottom w:val="single" w:sz="4" w:color="D9E2E5"/>
              <w:right w:val="single" w:sz="4" w:color="D9E2E5"/>
            </w:tcBorders>
          </w:tcPr>
          <w:p>
            <w:pPr>
              <w:spacing w:before="0" w:after="0"/>
            </w:pPr>
            <w:r>
              <w:rPr>
                <w:rFonts w:ascii="Aptos" w:hAnsi="Aptos"/>
                <w:sz w:val="17"/>
              </w:rPr>
              <w:t>Each additional full bathroom</w:t>
            </w:r>
          </w:p>
        </w:tc>
        <w:tc>
          <w:tcPr>
            <w:tcW w:type="dxa" w:w="532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E2E5"/>
              <w:left w:val="single" w:sz="4" w:color="D9E2E5"/>
              <w:bottom w:val="single" w:sz="4" w:color="D9E2E5"/>
              <w:right w:val="single" w:sz="4" w:color="D9E2E5"/>
            </w:tcBorders>
          </w:tcPr>
          <w:p>
            <w:pPr>
              <w:spacing w:before="0" w:after="0"/>
            </w:pPr>
            <w:r>
              <w:rPr>
                <w:rFonts w:ascii="Aptos" w:hAnsi="Aptos"/>
                <w:sz w:val="17"/>
              </w:rPr>
              <w:t>+$25</w:t>
            </w:r>
          </w:p>
        </w:tc>
      </w:tr>
      <w:tr>
        <w:tc>
          <w:tcPr>
            <w:tcW w:type="dxa" w:w="47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E2E5"/>
              <w:left w:val="single" w:sz="4" w:color="D9E2E5"/>
              <w:bottom w:val="single" w:sz="4" w:color="D9E2E5"/>
              <w:right w:val="single" w:sz="4" w:color="D9E2E5"/>
            </w:tcBorders>
            <w:shd w:fill="F5F7F8"/>
          </w:tcPr>
          <w:p>
            <w:pPr>
              <w:spacing w:before="0" w:after="0"/>
            </w:pPr>
            <w:r>
              <w:rPr>
                <w:rFonts w:ascii="Aptos" w:hAnsi="Aptos"/>
                <w:sz w:val="17"/>
              </w:rPr>
              <w:t>Each half bathroom</w:t>
            </w:r>
          </w:p>
        </w:tc>
        <w:tc>
          <w:tcPr>
            <w:tcW w:type="dxa" w:w="532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E2E5"/>
              <w:left w:val="single" w:sz="4" w:color="D9E2E5"/>
              <w:bottom w:val="single" w:sz="4" w:color="D9E2E5"/>
              <w:right w:val="single" w:sz="4" w:color="D9E2E5"/>
            </w:tcBorders>
            <w:shd w:fill="F5F7F8"/>
          </w:tcPr>
          <w:p>
            <w:pPr>
              <w:spacing w:before="0" w:after="0"/>
            </w:pPr>
            <w:r>
              <w:rPr>
                <w:rFonts w:ascii="Aptos" w:hAnsi="Aptos"/>
                <w:sz w:val="17"/>
              </w:rPr>
              <w:t>+$15</w:t>
            </w:r>
          </w:p>
        </w:tc>
      </w:tr>
    </w:tbl>
    <w:p>
      <w:pPr>
        <w:pStyle w:val="Heading2"/>
      </w:pPr>
      <w:r>
        <w:t>Move-clean size adjustment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</w:trPr>
        <w:tc>
          <w:tcPr>
            <w:tcW w:type="dxa" w:w="532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E2E5"/>
              <w:left w:val="single" w:sz="4" w:color="D9E2E5"/>
              <w:bottom w:val="single" w:sz="4" w:color="D9E2E5"/>
              <w:right w:val="single" w:sz="4" w:color="D9E2E5"/>
            </w:tcBorders>
            <w:shd w:fill="123B57"/>
          </w:tcPr>
          <w:p>
            <w:pPr>
              <w:spacing w:before="0" w:after="0"/>
            </w:pPr>
            <w:r>
              <w:rPr>
                <w:rFonts w:ascii="Aptos" w:hAnsi="Aptos"/>
                <w:b/>
                <w:color w:val="FFFFFF"/>
                <w:sz w:val="17"/>
              </w:rPr>
              <w:t>Approximate size</w:t>
            </w:r>
          </w:p>
        </w:tc>
        <w:tc>
          <w:tcPr>
            <w:tcW w:type="dxa" w:w="47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E2E5"/>
              <w:left w:val="single" w:sz="4" w:color="D9E2E5"/>
              <w:bottom w:val="single" w:sz="4" w:color="D9E2E5"/>
              <w:right w:val="single" w:sz="4" w:color="D9E2E5"/>
            </w:tcBorders>
            <w:shd w:fill="123B57"/>
          </w:tcPr>
          <w:p>
            <w:pPr>
              <w:spacing w:before="0" w:after="0"/>
            </w:pPr>
            <w:r>
              <w:rPr>
                <w:rFonts w:ascii="Aptos" w:hAnsi="Aptos"/>
                <w:b/>
                <w:color w:val="FFFFFF"/>
                <w:sz w:val="17"/>
              </w:rPr>
              <w:t>Adjustment</w:t>
            </w:r>
          </w:p>
        </w:tc>
      </w:tr>
      <w:tr>
        <w:tc>
          <w:tcPr>
            <w:tcW w:type="dxa" w:w="532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E2E5"/>
              <w:left w:val="single" w:sz="4" w:color="D9E2E5"/>
              <w:bottom w:val="single" w:sz="4" w:color="D9E2E5"/>
              <w:right w:val="single" w:sz="4" w:color="D9E2E5"/>
            </w:tcBorders>
          </w:tcPr>
          <w:p>
            <w:pPr>
              <w:spacing w:before="0" w:after="0"/>
            </w:pPr>
            <w:r>
              <w:rPr>
                <w:rFonts w:ascii="Aptos" w:hAnsi="Aptos"/>
                <w:sz w:val="17"/>
              </w:rPr>
              <w:t>Up to 1,800 sq ft</w:t>
            </w:r>
          </w:p>
        </w:tc>
        <w:tc>
          <w:tcPr>
            <w:tcW w:type="dxa" w:w="47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E2E5"/>
              <w:left w:val="single" w:sz="4" w:color="D9E2E5"/>
              <w:bottom w:val="single" w:sz="4" w:color="D9E2E5"/>
              <w:right w:val="single" w:sz="4" w:color="D9E2E5"/>
            </w:tcBorders>
          </w:tcPr>
          <w:p>
            <w:pPr>
              <w:spacing w:before="0" w:after="0"/>
            </w:pPr>
            <w:r>
              <w:rPr>
                <w:rFonts w:ascii="Aptos" w:hAnsi="Aptos"/>
                <w:sz w:val="17"/>
              </w:rPr>
              <w:t>$0</w:t>
            </w:r>
          </w:p>
        </w:tc>
      </w:tr>
      <w:tr>
        <w:tc>
          <w:tcPr>
            <w:tcW w:type="dxa" w:w="532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E2E5"/>
              <w:left w:val="single" w:sz="4" w:color="D9E2E5"/>
              <w:bottom w:val="single" w:sz="4" w:color="D9E2E5"/>
              <w:right w:val="single" w:sz="4" w:color="D9E2E5"/>
            </w:tcBorders>
            <w:shd w:fill="F5F7F8"/>
          </w:tcPr>
          <w:p>
            <w:pPr>
              <w:spacing w:before="0" w:after="0"/>
            </w:pPr>
            <w:r>
              <w:rPr>
                <w:rFonts w:ascii="Aptos" w:hAnsi="Aptos"/>
                <w:sz w:val="17"/>
              </w:rPr>
              <w:t>1,801–2,400 sq ft</w:t>
            </w:r>
          </w:p>
        </w:tc>
        <w:tc>
          <w:tcPr>
            <w:tcW w:type="dxa" w:w="47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E2E5"/>
              <w:left w:val="single" w:sz="4" w:color="D9E2E5"/>
              <w:bottom w:val="single" w:sz="4" w:color="D9E2E5"/>
              <w:right w:val="single" w:sz="4" w:color="D9E2E5"/>
            </w:tcBorders>
            <w:shd w:fill="F5F7F8"/>
          </w:tcPr>
          <w:p>
            <w:pPr>
              <w:spacing w:before="0" w:after="0"/>
            </w:pPr>
            <w:r>
              <w:rPr>
                <w:rFonts w:ascii="Aptos" w:hAnsi="Aptos"/>
                <w:sz w:val="17"/>
              </w:rPr>
              <w:t>+$25</w:t>
            </w:r>
          </w:p>
        </w:tc>
      </w:tr>
      <w:tr>
        <w:tc>
          <w:tcPr>
            <w:tcW w:type="dxa" w:w="532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E2E5"/>
              <w:left w:val="single" w:sz="4" w:color="D9E2E5"/>
              <w:bottom w:val="single" w:sz="4" w:color="D9E2E5"/>
              <w:right w:val="single" w:sz="4" w:color="D9E2E5"/>
            </w:tcBorders>
          </w:tcPr>
          <w:p>
            <w:pPr>
              <w:spacing w:before="0" w:after="0"/>
            </w:pPr>
            <w:r>
              <w:rPr>
                <w:rFonts w:ascii="Aptos" w:hAnsi="Aptos"/>
                <w:sz w:val="17"/>
              </w:rPr>
              <w:t>2,401–3,000 sq ft</w:t>
            </w:r>
          </w:p>
        </w:tc>
        <w:tc>
          <w:tcPr>
            <w:tcW w:type="dxa" w:w="47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E2E5"/>
              <w:left w:val="single" w:sz="4" w:color="D9E2E5"/>
              <w:bottom w:val="single" w:sz="4" w:color="D9E2E5"/>
              <w:right w:val="single" w:sz="4" w:color="D9E2E5"/>
            </w:tcBorders>
          </w:tcPr>
          <w:p>
            <w:pPr>
              <w:spacing w:before="0" w:after="0"/>
            </w:pPr>
            <w:r>
              <w:rPr>
                <w:rFonts w:ascii="Aptos" w:hAnsi="Aptos"/>
                <w:sz w:val="17"/>
              </w:rPr>
              <w:t>+$50</w:t>
            </w:r>
          </w:p>
        </w:tc>
      </w:tr>
      <w:tr>
        <w:tc>
          <w:tcPr>
            <w:tcW w:type="dxa" w:w="532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E2E5"/>
              <w:left w:val="single" w:sz="4" w:color="D9E2E5"/>
              <w:bottom w:val="single" w:sz="4" w:color="D9E2E5"/>
              <w:right w:val="single" w:sz="4" w:color="D9E2E5"/>
            </w:tcBorders>
            <w:shd w:fill="F5F7F8"/>
          </w:tcPr>
          <w:p>
            <w:pPr>
              <w:spacing w:before="0" w:after="0"/>
            </w:pPr>
            <w:r>
              <w:rPr>
                <w:rFonts w:ascii="Aptos" w:hAnsi="Aptos"/>
                <w:sz w:val="17"/>
              </w:rPr>
              <w:t>3,001–3,500 sq ft</w:t>
            </w:r>
          </w:p>
        </w:tc>
        <w:tc>
          <w:tcPr>
            <w:tcW w:type="dxa" w:w="47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E2E5"/>
              <w:left w:val="single" w:sz="4" w:color="D9E2E5"/>
              <w:bottom w:val="single" w:sz="4" w:color="D9E2E5"/>
              <w:right w:val="single" w:sz="4" w:color="D9E2E5"/>
            </w:tcBorders>
            <w:shd w:fill="F5F7F8"/>
          </w:tcPr>
          <w:p>
            <w:pPr>
              <w:spacing w:before="0" w:after="0"/>
            </w:pPr>
            <w:r>
              <w:rPr>
                <w:rFonts w:ascii="Aptos" w:hAnsi="Aptos"/>
                <w:sz w:val="17"/>
              </w:rPr>
              <w:t>+$75</w:t>
            </w:r>
          </w:p>
        </w:tc>
      </w:tr>
      <w:tr>
        <w:tc>
          <w:tcPr>
            <w:tcW w:type="dxa" w:w="532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E2E5"/>
              <w:left w:val="single" w:sz="4" w:color="D9E2E5"/>
              <w:bottom w:val="single" w:sz="4" w:color="D9E2E5"/>
              <w:right w:val="single" w:sz="4" w:color="D9E2E5"/>
            </w:tcBorders>
          </w:tcPr>
          <w:p>
            <w:pPr>
              <w:spacing w:before="0" w:after="0"/>
            </w:pPr>
            <w:r>
              <w:rPr>
                <w:rFonts w:ascii="Aptos" w:hAnsi="Aptos"/>
                <w:sz w:val="17"/>
              </w:rPr>
              <w:t>Over 3,500 sq ft</w:t>
            </w:r>
          </w:p>
        </w:tc>
        <w:tc>
          <w:tcPr>
            <w:tcW w:type="dxa" w:w="47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E2E5"/>
              <w:left w:val="single" w:sz="4" w:color="D9E2E5"/>
              <w:bottom w:val="single" w:sz="4" w:color="D9E2E5"/>
              <w:right w:val="single" w:sz="4" w:color="D9E2E5"/>
            </w:tcBorders>
          </w:tcPr>
          <w:p>
            <w:pPr>
              <w:spacing w:before="0" w:after="0"/>
            </w:pPr>
            <w:r>
              <w:rPr>
                <w:rFonts w:ascii="Aptos" w:hAnsi="Aptos"/>
                <w:sz w:val="17"/>
              </w:rPr>
              <w:t>Custom quote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</w:trPr>
        <w:tc>
          <w:tcPr>
            <w:tcW w:type="dxa" w:w="576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E2E5"/>
              <w:left w:val="single" w:sz="4" w:color="D9E2E5"/>
              <w:bottom w:val="single" w:sz="4" w:color="D9E2E5"/>
              <w:right w:val="single" w:sz="4" w:color="D9E2E5"/>
            </w:tcBorders>
            <w:shd w:fill="123B57"/>
          </w:tcPr>
          <w:p>
            <w:pPr>
              <w:spacing w:before="0" w:after="0"/>
            </w:pPr>
            <w:r>
              <w:rPr>
                <w:rFonts w:ascii="Aptos" w:hAnsi="Aptos"/>
                <w:b/>
                <w:color w:val="FFFFFF"/>
                <w:sz w:val="17"/>
              </w:rPr>
              <w:t>Benchmark home</w:t>
            </w:r>
          </w:p>
        </w:tc>
        <w:tc>
          <w:tcPr>
            <w:tcW w:type="dxa" w:w="432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E2E5"/>
              <w:left w:val="single" w:sz="4" w:color="D9E2E5"/>
              <w:bottom w:val="single" w:sz="4" w:color="D9E2E5"/>
              <w:right w:val="single" w:sz="4" w:color="D9E2E5"/>
            </w:tcBorders>
            <w:shd w:fill="123B57"/>
          </w:tcPr>
          <w:p>
            <w:pPr>
              <w:spacing w:before="0" w:after="0"/>
            </w:pPr>
            <w:r>
              <w:rPr>
                <w:rFonts w:ascii="Aptos" w:hAnsi="Aptos"/>
                <w:b/>
                <w:color w:val="FFFFFF"/>
                <w:sz w:val="17"/>
              </w:rPr>
              <w:t>Move-In / Move-Out</w:t>
            </w:r>
          </w:p>
        </w:tc>
      </w:tr>
      <w:tr>
        <w:tc>
          <w:tcPr>
            <w:tcW w:type="dxa" w:w="576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E2E5"/>
              <w:left w:val="single" w:sz="4" w:color="D9E2E5"/>
              <w:bottom w:val="single" w:sz="4" w:color="D9E2E5"/>
              <w:right w:val="single" w:sz="4" w:color="D9E2E5"/>
            </w:tcBorders>
          </w:tcPr>
          <w:p>
            <w:pPr>
              <w:spacing w:before="0" w:after="0"/>
            </w:pPr>
            <w:r>
              <w:rPr>
                <w:rFonts w:ascii="Aptos" w:hAnsi="Aptos"/>
                <w:sz w:val="17"/>
              </w:rPr>
              <w:t>1/1, ≤1,800 sq ft</w:t>
            </w:r>
          </w:p>
        </w:tc>
        <w:tc>
          <w:tcPr>
            <w:tcW w:type="dxa" w:w="432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E2E5"/>
              <w:left w:val="single" w:sz="4" w:color="D9E2E5"/>
              <w:bottom w:val="single" w:sz="4" w:color="D9E2E5"/>
              <w:right w:val="single" w:sz="4" w:color="D9E2E5"/>
            </w:tcBorders>
          </w:tcPr>
          <w:p>
            <w:pPr>
              <w:spacing w:before="0" w:after="0"/>
            </w:pPr>
            <w:r>
              <w:rPr>
                <w:rFonts w:ascii="Aptos" w:hAnsi="Aptos"/>
                <w:sz w:val="17"/>
              </w:rPr>
              <w:t>$350</w:t>
            </w:r>
          </w:p>
        </w:tc>
      </w:tr>
      <w:tr>
        <w:tc>
          <w:tcPr>
            <w:tcW w:type="dxa" w:w="576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E2E5"/>
              <w:left w:val="single" w:sz="4" w:color="D9E2E5"/>
              <w:bottom w:val="single" w:sz="4" w:color="D9E2E5"/>
              <w:right w:val="single" w:sz="4" w:color="D9E2E5"/>
            </w:tcBorders>
            <w:shd w:fill="F5F7F8"/>
          </w:tcPr>
          <w:p>
            <w:pPr>
              <w:spacing w:before="0" w:after="0"/>
            </w:pPr>
            <w:r>
              <w:rPr>
                <w:rFonts w:ascii="Aptos" w:hAnsi="Aptos"/>
                <w:sz w:val="17"/>
              </w:rPr>
              <w:t>2/2, ≤1,800 sq ft</w:t>
            </w:r>
          </w:p>
        </w:tc>
        <w:tc>
          <w:tcPr>
            <w:tcW w:type="dxa" w:w="432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E2E5"/>
              <w:left w:val="single" w:sz="4" w:color="D9E2E5"/>
              <w:bottom w:val="single" w:sz="4" w:color="D9E2E5"/>
              <w:right w:val="single" w:sz="4" w:color="D9E2E5"/>
            </w:tcBorders>
            <w:shd w:fill="F5F7F8"/>
          </w:tcPr>
          <w:p>
            <w:pPr>
              <w:spacing w:before="0" w:after="0"/>
            </w:pPr>
            <w:r>
              <w:rPr>
                <w:rFonts w:ascii="Aptos" w:hAnsi="Aptos"/>
                <w:sz w:val="17"/>
              </w:rPr>
              <w:t>$400</w:t>
            </w:r>
          </w:p>
        </w:tc>
      </w:tr>
      <w:tr>
        <w:tc>
          <w:tcPr>
            <w:tcW w:type="dxa" w:w="576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E2E5"/>
              <w:left w:val="single" w:sz="4" w:color="D9E2E5"/>
              <w:bottom w:val="single" w:sz="4" w:color="D9E2E5"/>
              <w:right w:val="single" w:sz="4" w:color="D9E2E5"/>
            </w:tcBorders>
          </w:tcPr>
          <w:p>
            <w:pPr>
              <w:spacing w:before="0" w:after="0"/>
            </w:pPr>
            <w:r>
              <w:rPr>
                <w:rFonts w:ascii="Aptos" w:hAnsi="Aptos"/>
                <w:sz w:val="17"/>
              </w:rPr>
              <w:t>3/2, ~2,000 sq ft</w:t>
            </w:r>
          </w:p>
        </w:tc>
        <w:tc>
          <w:tcPr>
            <w:tcW w:type="dxa" w:w="432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E2E5"/>
              <w:left w:val="single" w:sz="4" w:color="D9E2E5"/>
              <w:bottom w:val="single" w:sz="4" w:color="D9E2E5"/>
              <w:right w:val="single" w:sz="4" w:color="D9E2E5"/>
            </w:tcBorders>
          </w:tcPr>
          <w:p>
            <w:pPr>
              <w:spacing w:before="0" w:after="0"/>
            </w:pPr>
            <w:r>
              <w:rPr>
                <w:rFonts w:ascii="Aptos" w:hAnsi="Aptos"/>
                <w:sz w:val="17"/>
              </w:rPr>
              <w:t>$450</w:t>
            </w:r>
          </w:p>
        </w:tc>
      </w:tr>
      <w:tr>
        <w:tc>
          <w:tcPr>
            <w:tcW w:type="dxa" w:w="576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E2E5"/>
              <w:left w:val="single" w:sz="4" w:color="D9E2E5"/>
              <w:bottom w:val="single" w:sz="4" w:color="D9E2E5"/>
              <w:right w:val="single" w:sz="4" w:color="D9E2E5"/>
            </w:tcBorders>
            <w:shd w:fill="F5F7F8"/>
          </w:tcPr>
          <w:p>
            <w:pPr>
              <w:spacing w:before="0" w:after="0"/>
            </w:pPr>
            <w:r>
              <w:rPr>
                <w:rFonts w:ascii="Aptos" w:hAnsi="Aptos"/>
                <w:sz w:val="17"/>
              </w:rPr>
              <w:t>4/3, ~2,800 sq ft</w:t>
            </w:r>
          </w:p>
        </w:tc>
        <w:tc>
          <w:tcPr>
            <w:tcW w:type="dxa" w:w="432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E2E5"/>
              <w:left w:val="single" w:sz="4" w:color="D9E2E5"/>
              <w:bottom w:val="single" w:sz="4" w:color="D9E2E5"/>
              <w:right w:val="single" w:sz="4" w:color="D9E2E5"/>
            </w:tcBorders>
            <w:shd w:fill="F5F7F8"/>
          </w:tcPr>
          <w:p>
            <w:pPr>
              <w:spacing w:before="0" w:after="0"/>
            </w:pPr>
            <w:r>
              <w:rPr>
                <w:rFonts w:ascii="Aptos" w:hAnsi="Aptos"/>
                <w:sz w:val="17"/>
              </w:rPr>
              <w:t>$525</w:t>
            </w:r>
          </w:p>
        </w:tc>
      </w:tr>
    </w:tbl>
    <w:p>
      <w:pPr>
        <w:pStyle w:val="Heading2"/>
      </w:pPr>
      <w:r>
        <w:t>Move-clean scope rules</w:t>
      </w:r>
    </w:p>
    <w:p>
      <w:pPr>
        <w:ind w:left="288" w:hanging="173"/>
      </w:pPr>
      <w:r>
        <w:rPr>
          <w:b/>
          <w:color w:val="C94F68"/>
        </w:rPr>
        <w:t xml:space="preserve">• </w:t>
      </w:r>
      <w:r>
        <w:t>Same pricing for move-in and move-out when the property is empty and the checklist is the same.</w:t>
      </w:r>
    </w:p>
    <w:p>
      <w:pPr>
        <w:ind w:left="288" w:hanging="173"/>
      </w:pPr>
      <w:r>
        <w:rPr>
          <w:b/>
          <w:color w:val="C94F68"/>
        </w:rPr>
        <w:t xml:space="preserve">• </w:t>
      </w:r>
      <w:r>
        <w:t>Base service includes empty cabinet and drawer interiors, normal move-related dust/residue, floors, kitchen/bathrooms, baseboards/trim, and other currently defined empty-home scope.</w:t>
      </w:r>
    </w:p>
    <w:p>
      <w:pPr>
        <w:ind w:left="288" w:hanging="173"/>
      </w:pPr>
      <w:r>
        <w:rPr>
          <w:b/>
          <w:color w:val="C94F68"/>
        </w:rPr>
        <w:t xml:space="preserve">• </w:t>
      </w:r>
      <w:r>
        <w:t>Oven interior, refrigerator interior, and interior window glass remain separately priced add-ons.</w:t>
      </w:r>
    </w:p>
    <w:p>
      <w:pPr>
        <w:ind w:left="288" w:hanging="173"/>
      </w:pPr>
      <w:r>
        <w:rPr>
          <w:b/>
          <w:color w:val="C94F68"/>
        </w:rPr>
        <w:t xml:space="preserve">• </w:t>
      </w:r>
      <w:r>
        <w:t>Still furnished, heavily cluttered, construction/remodel cleanup, excessive trash/debris, severe buildup, or unusual conditions → Custom quote.</w:t>
      </w:r>
    </w:p>
    <w:p>
      <w:pPr>
        <w:pStyle w:val="Heading1"/>
      </w:pPr>
      <w:r>
        <w:t>4. Residential Add-Ons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374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E2E5"/>
              <w:left w:val="single" w:sz="4" w:color="D9E2E5"/>
              <w:bottom w:val="single" w:sz="4" w:color="D9E2E5"/>
              <w:right w:val="single" w:sz="4" w:color="D9E2E5"/>
            </w:tcBorders>
            <w:shd w:fill="123B57"/>
          </w:tcPr>
          <w:p>
            <w:pPr>
              <w:spacing w:before="0" w:after="0"/>
            </w:pPr>
            <w:r>
              <w:rPr>
                <w:rFonts w:ascii="Aptos" w:hAnsi="Aptos"/>
                <w:b/>
                <w:color w:val="FFFFFF"/>
                <w:sz w:val="16"/>
              </w:rPr>
              <w:t>Add-on</w:t>
            </w:r>
          </w:p>
        </w:tc>
        <w:tc>
          <w:tcPr>
            <w:tcW w:type="dxa" w:w="244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E2E5"/>
              <w:left w:val="single" w:sz="4" w:color="D9E2E5"/>
              <w:bottom w:val="single" w:sz="4" w:color="D9E2E5"/>
              <w:right w:val="single" w:sz="4" w:color="D9E2E5"/>
            </w:tcBorders>
            <w:shd w:fill="123B57"/>
          </w:tcPr>
          <w:p>
            <w:pPr>
              <w:spacing w:before="0" w:after="0"/>
            </w:pPr>
            <w:r>
              <w:rPr>
                <w:rFonts w:ascii="Aptos" w:hAnsi="Aptos"/>
                <w:b/>
                <w:color w:val="FFFFFF"/>
                <w:sz w:val="16"/>
              </w:rPr>
              <w:t>Price</w:t>
            </w:r>
          </w:p>
        </w:tc>
        <w:tc>
          <w:tcPr>
            <w:tcW w:type="dxa" w:w="388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E2E5"/>
              <w:left w:val="single" w:sz="4" w:color="D9E2E5"/>
              <w:bottom w:val="single" w:sz="4" w:color="D9E2E5"/>
              <w:right w:val="single" w:sz="4" w:color="D9E2E5"/>
            </w:tcBorders>
            <w:shd w:fill="123B57"/>
          </w:tcPr>
          <w:p>
            <w:pPr>
              <w:spacing w:before="0" w:after="0"/>
            </w:pPr>
            <w:r>
              <w:rPr>
                <w:rFonts w:ascii="Aptos" w:hAnsi="Aptos"/>
                <w:b/>
                <w:color w:val="FFFFFF"/>
                <w:sz w:val="16"/>
              </w:rPr>
              <w:t>Estimator treatment</w:t>
            </w:r>
          </w:p>
        </w:tc>
      </w:tr>
      <w:tr>
        <w:tc>
          <w:tcPr>
            <w:tcW w:type="dxa" w:w="374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E2E5"/>
              <w:left w:val="single" w:sz="4" w:color="D9E2E5"/>
              <w:bottom w:val="single" w:sz="4" w:color="D9E2E5"/>
              <w:right w:val="single" w:sz="4" w:color="D9E2E5"/>
            </w:tcBorders>
          </w:tcPr>
          <w:p>
            <w:pPr>
              <w:spacing w:before="0" w:after="0"/>
            </w:pPr>
            <w:r>
              <w:rPr>
                <w:rFonts w:ascii="Aptos" w:hAnsi="Aptos"/>
                <w:sz w:val="16"/>
              </w:rPr>
              <w:t>Inside oven</w:t>
            </w:r>
          </w:p>
        </w:tc>
        <w:tc>
          <w:tcPr>
            <w:tcW w:type="dxa" w:w="244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E2E5"/>
              <w:left w:val="single" w:sz="4" w:color="D9E2E5"/>
              <w:bottom w:val="single" w:sz="4" w:color="D9E2E5"/>
              <w:right w:val="single" w:sz="4" w:color="D9E2E5"/>
            </w:tcBorders>
          </w:tcPr>
          <w:p>
            <w:pPr>
              <w:spacing w:before="0" w:after="0"/>
            </w:pPr>
            <w:r>
              <w:rPr>
                <w:rFonts w:ascii="Aptos" w:hAnsi="Aptos"/>
                <w:sz w:val="16"/>
              </w:rPr>
              <w:t>+$45</w:t>
            </w:r>
          </w:p>
        </w:tc>
        <w:tc>
          <w:tcPr>
            <w:tcW w:type="dxa" w:w="388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E2E5"/>
              <w:left w:val="single" w:sz="4" w:color="D9E2E5"/>
              <w:bottom w:val="single" w:sz="4" w:color="D9E2E5"/>
              <w:right w:val="single" w:sz="4" w:color="D9E2E5"/>
            </w:tcBorders>
          </w:tcPr>
          <w:p>
            <w:pPr>
              <w:spacing w:before="0" w:after="0"/>
            </w:pPr>
            <w:r>
              <w:rPr>
                <w:rFonts w:ascii="Aptos" w:hAnsi="Aptos"/>
                <w:sz w:val="16"/>
              </w:rPr>
              <w:t>Exact add-on</w:t>
            </w:r>
          </w:p>
        </w:tc>
      </w:tr>
      <w:tr>
        <w:tc>
          <w:tcPr>
            <w:tcW w:type="dxa" w:w="374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E2E5"/>
              <w:left w:val="single" w:sz="4" w:color="D9E2E5"/>
              <w:bottom w:val="single" w:sz="4" w:color="D9E2E5"/>
              <w:right w:val="single" w:sz="4" w:color="D9E2E5"/>
            </w:tcBorders>
            <w:shd w:fill="F5F7F8"/>
          </w:tcPr>
          <w:p>
            <w:pPr>
              <w:spacing w:before="0" w:after="0"/>
            </w:pPr>
            <w:r>
              <w:rPr>
                <w:rFonts w:ascii="Aptos" w:hAnsi="Aptos"/>
                <w:sz w:val="16"/>
              </w:rPr>
              <w:t>Inside refrigerator</w:t>
            </w:r>
          </w:p>
        </w:tc>
        <w:tc>
          <w:tcPr>
            <w:tcW w:type="dxa" w:w="244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E2E5"/>
              <w:left w:val="single" w:sz="4" w:color="D9E2E5"/>
              <w:bottom w:val="single" w:sz="4" w:color="D9E2E5"/>
              <w:right w:val="single" w:sz="4" w:color="D9E2E5"/>
            </w:tcBorders>
            <w:shd w:fill="F5F7F8"/>
          </w:tcPr>
          <w:p>
            <w:pPr>
              <w:spacing w:before="0" w:after="0"/>
            </w:pPr>
            <w:r>
              <w:rPr>
                <w:rFonts w:ascii="Aptos" w:hAnsi="Aptos"/>
                <w:sz w:val="16"/>
              </w:rPr>
              <w:t>+$55</w:t>
            </w:r>
          </w:p>
        </w:tc>
        <w:tc>
          <w:tcPr>
            <w:tcW w:type="dxa" w:w="388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E2E5"/>
              <w:left w:val="single" w:sz="4" w:color="D9E2E5"/>
              <w:bottom w:val="single" w:sz="4" w:color="D9E2E5"/>
              <w:right w:val="single" w:sz="4" w:color="D9E2E5"/>
            </w:tcBorders>
            <w:shd w:fill="F5F7F8"/>
          </w:tcPr>
          <w:p>
            <w:pPr>
              <w:spacing w:before="0" w:after="0"/>
            </w:pPr>
            <w:r>
              <w:rPr>
                <w:rFonts w:ascii="Aptos" w:hAnsi="Aptos"/>
                <w:sz w:val="16"/>
              </w:rPr>
              <w:t>Exact add-on</w:t>
            </w:r>
          </w:p>
        </w:tc>
      </w:tr>
      <w:tr>
        <w:tc>
          <w:tcPr>
            <w:tcW w:type="dxa" w:w="374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E2E5"/>
              <w:left w:val="single" w:sz="4" w:color="D9E2E5"/>
              <w:bottom w:val="single" w:sz="4" w:color="D9E2E5"/>
              <w:right w:val="single" w:sz="4" w:color="D9E2E5"/>
            </w:tcBorders>
          </w:tcPr>
          <w:p>
            <w:pPr>
              <w:spacing w:before="0" w:after="0"/>
            </w:pPr>
            <w:r>
              <w:rPr>
                <w:rFonts w:ascii="Aptos" w:hAnsi="Aptos"/>
                <w:sz w:val="16"/>
              </w:rPr>
              <w:t>Empty cabinet interiors</w:t>
            </w:r>
          </w:p>
        </w:tc>
        <w:tc>
          <w:tcPr>
            <w:tcW w:type="dxa" w:w="244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E2E5"/>
              <w:left w:val="single" w:sz="4" w:color="D9E2E5"/>
              <w:bottom w:val="single" w:sz="4" w:color="D9E2E5"/>
              <w:right w:val="single" w:sz="4" w:color="D9E2E5"/>
            </w:tcBorders>
          </w:tcPr>
          <w:p>
            <w:pPr>
              <w:spacing w:before="0" w:after="0"/>
            </w:pPr>
            <w:r>
              <w:rPr>
                <w:rFonts w:ascii="Aptos" w:hAnsi="Aptos"/>
                <w:sz w:val="16"/>
              </w:rPr>
              <w:t>From +$60</w:t>
            </w:r>
          </w:p>
        </w:tc>
        <w:tc>
          <w:tcPr>
            <w:tcW w:type="dxa" w:w="388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E2E5"/>
              <w:left w:val="single" w:sz="4" w:color="D9E2E5"/>
              <w:bottom w:val="single" w:sz="4" w:color="D9E2E5"/>
              <w:right w:val="single" w:sz="4" w:color="D9E2E5"/>
            </w:tcBorders>
          </w:tcPr>
          <w:p>
            <w:pPr>
              <w:spacing w:before="0" w:after="0"/>
            </w:pPr>
            <w:r>
              <w:rPr>
                <w:rFonts w:ascii="Aptos" w:hAnsi="Aptos"/>
                <w:sz w:val="16"/>
              </w:rPr>
              <w:t>Manual confirmation; larger kitchens may vary</w:t>
            </w:r>
          </w:p>
        </w:tc>
      </w:tr>
      <w:tr>
        <w:tc>
          <w:tcPr>
            <w:tcW w:type="dxa" w:w="374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E2E5"/>
              <w:left w:val="single" w:sz="4" w:color="D9E2E5"/>
              <w:bottom w:val="single" w:sz="4" w:color="D9E2E5"/>
              <w:right w:val="single" w:sz="4" w:color="D9E2E5"/>
            </w:tcBorders>
            <w:shd w:fill="F5F7F8"/>
          </w:tcPr>
          <w:p>
            <w:pPr>
              <w:spacing w:before="0" w:after="0"/>
            </w:pPr>
            <w:r>
              <w:rPr>
                <w:rFonts w:ascii="Aptos" w:hAnsi="Aptos"/>
                <w:sz w:val="16"/>
              </w:rPr>
              <w:t>Interior window glass</w:t>
            </w:r>
          </w:p>
        </w:tc>
        <w:tc>
          <w:tcPr>
            <w:tcW w:type="dxa" w:w="244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E2E5"/>
              <w:left w:val="single" w:sz="4" w:color="D9E2E5"/>
              <w:bottom w:val="single" w:sz="4" w:color="D9E2E5"/>
              <w:right w:val="single" w:sz="4" w:color="D9E2E5"/>
            </w:tcBorders>
            <w:shd w:fill="F5F7F8"/>
          </w:tcPr>
          <w:p>
            <w:pPr>
              <w:spacing w:before="0" w:after="0"/>
            </w:pPr>
            <w:r>
              <w:rPr>
                <w:rFonts w:ascii="Aptos" w:hAnsi="Aptos"/>
                <w:sz w:val="16"/>
              </w:rPr>
              <w:t>+$10 per standard window</w:t>
            </w:r>
          </w:p>
        </w:tc>
        <w:tc>
          <w:tcPr>
            <w:tcW w:type="dxa" w:w="388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E2E5"/>
              <w:left w:val="single" w:sz="4" w:color="D9E2E5"/>
              <w:bottom w:val="single" w:sz="4" w:color="D9E2E5"/>
              <w:right w:val="single" w:sz="4" w:color="D9E2E5"/>
            </w:tcBorders>
            <w:shd w:fill="F5F7F8"/>
          </w:tcPr>
          <w:p>
            <w:pPr>
              <w:spacing w:before="0" w:after="0"/>
            </w:pPr>
            <w:r>
              <w:rPr>
                <w:rFonts w:ascii="Aptos" w:hAnsi="Aptos"/>
                <w:sz w:val="16"/>
              </w:rPr>
              <w:t>Exact count; oversized glass / sliders custom</w:t>
            </w:r>
          </w:p>
        </w:tc>
      </w:tr>
      <w:tr>
        <w:tc>
          <w:tcPr>
            <w:tcW w:type="dxa" w:w="374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E2E5"/>
              <w:left w:val="single" w:sz="4" w:color="D9E2E5"/>
              <w:bottom w:val="single" w:sz="4" w:color="D9E2E5"/>
              <w:right w:val="single" w:sz="4" w:color="D9E2E5"/>
            </w:tcBorders>
          </w:tcPr>
          <w:p>
            <w:pPr>
              <w:spacing w:before="0" w:after="0"/>
            </w:pPr>
            <w:r>
              <w:rPr>
                <w:rFonts w:ascii="Aptos" w:hAnsi="Aptos"/>
                <w:sz w:val="16"/>
              </w:rPr>
              <w:t>Heavy pet hair / unusual buildup</w:t>
            </w:r>
          </w:p>
        </w:tc>
        <w:tc>
          <w:tcPr>
            <w:tcW w:type="dxa" w:w="244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E2E5"/>
              <w:left w:val="single" w:sz="4" w:color="D9E2E5"/>
              <w:bottom w:val="single" w:sz="4" w:color="D9E2E5"/>
              <w:right w:val="single" w:sz="4" w:color="D9E2E5"/>
            </w:tcBorders>
          </w:tcPr>
          <w:p>
            <w:pPr>
              <w:spacing w:before="0" w:after="0"/>
            </w:pPr>
            <w:r>
              <w:rPr>
                <w:rFonts w:ascii="Aptos" w:hAnsi="Aptos"/>
                <w:sz w:val="16"/>
              </w:rPr>
              <w:t>Custom</w:t>
            </w:r>
          </w:p>
        </w:tc>
        <w:tc>
          <w:tcPr>
            <w:tcW w:type="dxa" w:w="388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E2E5"/>
              <w:left w:val="single" w:sz="4" w:color="D9E2E5"/>
              <w:bottom w:val="single" w:sz="4" w:color="D9E2E5"/>
              <w:right w:val="single" w:sz="4" w:color="D9E2E5"/>
            </w:tcBorders>
          </w:tcPr>
          <w:p>
            <w:pPr>
              <w:spacing w:before="0" w:after="0"/>
            </w:pPr>
            <w:r>
              <w:rPr>
                <w:rFonts w:ascii="Aptos" w:hAnsi="Aptos"/>
                <w:sz w:val="16"/>
              </w:rPr>
              <w:t>Do not use an automatic pet surcharge</w:t>
            </w:r>
          </w:p>
        </w:tc>
      </w:tr>
    </w:tbl>
    <w:p>
      <w:r>
        <w:rPr>
          <w:b/>
        </w:rPr>
        <w:t xml:space="preserve">Move-clean note: </w:t>
      </w:r>
      <w:r>
        <w:t>empty cabinet/drawer interiors are already included in the Move-In / Move-Out base scope and should not be charged again.</w:t>
      </w:r>
    </w:p>
    <w:p>
      <w:pPr>
        <w:pStyle w:val="Heading1"/>
      </w:pPr>
      <w:r>
        <w:t>5. Vacation Rental Turnovers</w:t>
      </w:r>
    </w:p>
    <w:p>
      <w:r>
        <w:t>Keep the current tiered turnover model. It is simple for hosts, aligns with the visible market, and avoids pretending that every short-term rental fits the occupied-home formula.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</w:trPr>
        <w:tc>
          <w:tcPr>
            <w:tcW w:type="dxa" w:w="576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E2E5"/>
              <w:left w:val="single" w:sz="4" w:color="D9E2E5"/>
              <w:bottom w:val="single" w:sz="4" w:color="D9E2E5"/>
              <w:right w:val="single" w:sz="4" w:color="D9E2E5"/>
            </w:tcBorders>
            <w:shd w:fill="123B57"/>
          </w:tcPr>
          <w:p>
            <w:pPr>
              <w:spacing w:before="0" w:after="0"/>
            </w:pPr>
            <w:r>
              <w:rPr>
                <w:rFonts w:ascii="Aptos" w:hAnsi="Aptos"/>
                <w:b/>
                <w:color w:val="FFFFFF"/>
                <w:sz w:val="17"/>
              </w:rPr>
              <w:t>Property</w:t>
            </w:r>
          </w:p>
        </w:tc>
        <w:tc>
          <w:tcPr>
            <w:tcW w:type="dxa" w:w="432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E2E5"/>
              <w:left w:val="single" w:sz="4" w:color="D9E2E5"/>
              <w:bottom w:val="single" w:sz="4" w:color="D9E2E5"/>
              <w:right w:val="single" w:sz="4" w:color="D9E2E5"/>
            </w:tcBorders>
            <w:shd w:fill="123B57"/>
          </w:tcPr>
          <w:p>
            <w:pPr>
              <w:spacing w:before="0" w:after="0"/>
            </w:pPr>
            <w:r>
              <w:rPr>
                <w:rFonts w:ascii="Aptos" w:hAnsi="Aptos"/>
                <w:b/>
                <w:color w:val="FFFFFF"/>
                <w:sz w:val="17"/>
              </w:rPr>
              <w:t>Per turnover</w:t>
            </w:r>
          </w:p>
        </w:tc>
      </w:tr>
      <w:tr>
        <w:tc>
          <w:tcPr>
            <w:tcW w:type="dxa" w:w="576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E2E5"/>
              <w:left w:val="single" w:sz="4" w:color="D9E2E5"/>
              <w:bottom w:val="single" w:sz="4" w:color="D9E2E5"/>
              <w:right w:val="single" w:sz="4" w:color="D9E2E5"/>
            </w:tcBorders>
          </w:tcPr>
          <w:p>
            <w:pPr>
              <w:spacing w:before="0" w:after="0"/>
            </w:pPr>
            <w:r>
              <w:rPr>
                <w:rFonts w:ascii="Aptos" w:hAnsi="Aptos"/>
                <w:sz w:val="17"/>
              </w:rPr>
              <w:t>Studio / 1BR / 1BA</w:t>
            </w:r>
          </w:p>
        </w:tc>
        <w:tc>
          <w:tcPr>
            <w:tcW w:type="dxa" w:w="432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E2E5"/>
              <w:left w:val="single" w:sz="4" w:color="D9E2E5"/>
              <w:bottom w:val="single" w:sz="4" w:color="D9E2E5"/>
              <w:right w:val="single" w:sz="4" w:color="D9E2E5"/>
            </w:tcBorders>
          </w:tcPr>
          <w:p>
            <w:pPr>
              <w:spacing w:before="0" w:after="0"/>
            </w:pPr>
            <w:r>
              <w:rPr>
                <w:rFonts w:ascii="Aptos" w:hAnsi="Aptos"/>
                <w:sz w:val="17"/>
              </w:rPr>
              <w:t>$125</w:t>
            </w:r>
          </w:p>
        </w:tc>
      </w:tr>
      <w:tr>
        <w:tc>
          <w:tcPr>
            <w:tcW w:type="dxa" w:w="576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E2E5"/>
              <w:left w:val="single" w:sz="4" w:color="D9E2E5"/>
              <w:bottom w:val="single" w:sz="4" w:color="D9E2E5"/>
              <w:right w:val="single" w:sz="4" w:color="D9E2E5"/>
            </w:tcBorders>
            <w:shd w:fill="F5F7F8"/>
          </w:tcPr>
          <w:p>
            <w:pPr>
              <w:spacing w:before="0" w:after="0"/>
            </w:pPr>
            <w:r>
              <w:rPr>
                <w:rFonts w:ascii="Aptos" w:hAnsi="Aptos"/>
                <w:sz w:val="17"/>
              </w:rPr>
              <w:t>2BR / 2BA</w:t>
            </w:r>
          </w:p>
        </w:tc>
        <w:tc>
          <w:tcPr>
            <w:tcW w:type="dxa" w:w="432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E2E5"/>
              <w:left w:val="single" w:sz="4" w:color="D9E2E5"/>
              <w:bottom w:val="single" w:sz="4" w:color="D9E2E5"/>
              <w:right w:val="single" w:sz="4" w:color="D9E2E5"/>
            </w:tcBorders>
            <w:shd w:fill="F5F7F8"/>
          </w:tcPr>
          <w:p>
            <w:pPr>
              <w:spacing w:before="0" w:after="0"/>
            </w:pPr>
            <w:r>
              <w:rPr>
                <w:rFonts w:ascii="Aptos" w:hAnsi="Aptos"/>
                <w:sz w:val="17"/>
              </w:rPr>
              <w:t>$150</w:t>
            </w:r>
          </w:p>
        </w:tc>
      </w:tr>
      <w:tr>
        <w:tc>
          <w:tcPr>
            <w:tcW w:type="dxa" w:w="576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E2E5"/>
              <w:left w:val="single" w:sz="4" w:color="D9E2E5"/>
              <w:bottom w:val="single" w:sz="4" w:color="D9E2E5"/>
              <w:right w:val="single" w:sz="4" w:color="D9E2E5"/>
            </w:tcBorders>
          </w:tcPr>
          <w:p>
            <w:pPr>
              <w:spacing w:before="0" w:after="0"/>
            </w:pPr>
            <w:r>
              <w:rPr>
                <w:rFonts w:ascii="Aptos" w:hAnsi="Aptos"/>
                <w:sz w:val="17"/>
              </w:rPr>
              <w:t>3BR / 2BA</w:t>
            </w:r>
          </w:p>
        </w:tc>
        <w:tc>
          <w:tcPr>
            <w:tcW w:type="dxa" w:w="432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E2E5"/>
              <w:left w:val="single" w:sz="4" w:color="D9E2E5"/>
              <w:bottom w:val="single" w:sz="4" w:color="D9E2E5"/>
              <w:right w:val="single" w:sz="4" w:color="D9E2E5"/>
            </w:tcBorders>
          </w:tcPr>
          <w:p>
            <w:pPr>
              <w:spacing w:before="0" w:after="0"/>
            </w:pPr>
            <w:r>
              <w:rPr>
                <w:rFonts w:ascii="Aptos" w:hAnsi="Aptos"/>
                <w:sz w:val="17"/>
              </w:rPr>
              <w:t>$175</w:t>
            </w:r>
          </w:p>
        </w:tc>
      </w:tr>
      <w:tr>
        <w:tc>
          <w:tcPr>
            <w:tcW w:type="dxa" w:w="576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E2E5"/>
              <w:left w:val="single" w:sz="4" w:color="D9E2E5"/>
              <w:bottom w:val="single" w:sz="4" w:color="D9E2E5"/>
              <w:right w:val="single" w:sz="4" w:color="D9E2E5"/>
            </w:tcBorders>
            <w:shd w:fill="F5F7F8"/>
          </w:tcPr>
          <w:p>
            <w:pPr>
              <w:spacing w:before="0" w:after="0"/>
            </w:pPr>
            <w:r>
              <w:rPr>
                <w:rFonts w:ascii="Aptos" w:hAnsi="Aptos"/>
                <w:sz w:val="17"/>
              </w:rPr>
              <w:t>4BR / 3BA</w:t>
            </w:r>
          </w:p>
        </w:tc>
        <w:tc>
          <w:tcPr>
            <w:tcW w:type="dxa" w:w="432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E2E5"/>
              <w:left w:val="single" w:sz="4" w:color="D9E2E5"/>
              <w:bottom w:val="single" w:sz="4" w:color="D9E2E5"/>
              <w:right w:val="single" w:sz="4" w:color="D9E2E5"/>
            </w:tcBorders>
            <w:shd w:fill="F5F7F8"/>
          </w:tcPr>
          <w:p>
            <w:pPr>
              <w:spacing w:before="0" w:after="0"/>
            </w:pPr>
            <w:r>
              <w:rPr>
                <w:rFonts w:ascii="Aptos" w:hAnsi="Aptos"/>
                <w:sz w:val="17"/>
              </w:rPr>
              <w:t>$225</w:t>
            </w:r>
          </w:p>
        </w:tc>
      </w:tr>
      <w:tr>
        <w:tc>
          <w:tcPr>
            <w:tcW w:type="dxa" w:w="576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E2E5"/>
              <w:left w:val="single" w:sz="4" w:color="D9E2E5"/>
              <w:bottom w:val="single" w:sz="4" w:color="D9E2E5"/>
              <w:right w:val="single" w:sz="4" w:color="D9E2E5"/>
            </w:tcBorders>
          </w:tcPr>
          <w:p>
            <w:pPr>
              <w:spacing w:before="0" w:after="0"/>
            </w:pPr>
            <w:r>
              <w:rPr>
                <w:rFonts w:ascii="Aptos" w:hAnsi="Aptos"/>
                <w:sz w:val="17"/>
              </w:rPr>
              <w:t>Larger / unusual layout</w:t>
            </w:r>
          </w:p>
        </w:tc>
        <w:tc>
          <w:tcPr>
            <w:tcW w:type="dxa" w:w="432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E2E5"/>
              <w:left w:val="single" w:sz="4" w:color="D9E2E5"/>
              <w:bottom w:val="single" w:sz="4" w:color="D9E2E5"/>
              <w:right w:val="single" w:sz="4" w:color="D9E2E5"/>
            </w:tcBorders>
          </w:tcPr>
          <w:p>
            <w:pPr>
              <w:spacing w:before="0" w:after="0"/>
            </w:pPr>
            <w:r>
              <w:rPr>
                <w:rFonts w:ascii="Aptos" w:hAnsi="Aptos"/>
                <w:sz w:val="17"/>
              </w:rPr>
              <w:t>Custom quote</w:t>
            </w:r>
          </w:p>
        </w:tc>
      </w:tr>
    </w:tbl>
    <w:p>
      <w:pPr>
        <w:pStyle w:val="Heading2"/>
      </w:pPr>
      <w:r>
        <w:t>Included / add-on rules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</w:trPr>
        <w:tc>
          <w:tcPr>
            <w:tcW w:type="dxa" w:w="61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E2E5"/>
              <w:left w:val="single" w:sz="4" w:color="D9E2E5"/>
              <w:bottom w:val="single" w:sz="4" w:color="D9E2E5"/>
              <w:right w:val="single" w:sz="4" w:color="D9E2E5"/>
            </w:tcBorders>
            <w:shd w:fill="123B57"/>
          </w:tcPr>
          <w:p>
            <w:pPr>
              <w:spacing w:before="0" w:after="0"/>
            </w:pPr>
            <w:r>
              <w:rPr>
                <w:rFonts w:ascii="Aptos" w:hAnsi="Aptos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388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E2E5"/>
              <w:left w:val="single" w:sz="4" w:color="D9E2E5"/>
              <w:bottom w:val="single" w:sz="4" w:color="D9E2E5"/>
              <w:right w:val="single" w:sz="4" w:color="D9E2E5"/>
            </w:tcBorders>
            <w:shd w:fill="123B57"/>
          </w:tcPr>
          <w:p>
            <w:pPr>
              <w:spacing w:before="0" w:after="0"/>
            </w:pPr>
            <w:r>
              <w:rPr>
                <w:rFonts w:ascii="Aptos" w:hAnsi="Aptos"/>
                <w:b/>
                <w:color w:val="FFFFFF"/>
                <w:sz w:val="17"/>
              </w:rPr>
              <w:t>Price / treatment</w:t>
            </w:r>
          </w:p>
        </w:tc>
      </w:tr>
      <w:tr>
        <w:tc>
          <w:tcPr>
            <w:tcW w:type="dxa" w:w="61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E2E5"/>
              <w:left w:val="single" w:sz="4" w:color="D9E2E5"/>
              <w:bottom w:val="single" w:sz="4" w:color="D9E2E5"/>
              <w:right w:val="single" w:sz="4" w:color="D9E2E5"/>
            </w:tcBorders>
          </w:tcPr>
          <w:p>
            <w:pPr>
              <w:spacing w:before="0" w:after="0"/>
            </w:pPr>
            <w:r>
              <w:rPr>
                <w:rFonts w:ascii="Aptos" w:hAnsi="Aptos"/>
                <w:sz w:val="17"/>
              </w:rPr>
              <w:t>Turnover cleaning + bed reset with owner-provided clean linens</w:t>
            </w:r>
          </w:p>
        </w:tc>
        <w:tc>
          <w:tcPr>
            <w:tcW w:type="dxa" w:w="388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E2E5"/>
              <w:left w:val="single" w:sz="4" w:color="D9E2E5"/>
              <w:bottom w:val="single" w:sz="4" w:color="D9E2E5"/>
              <w:right w:val="single" w:sz="4" w:color="D9E2E5"/>
            </w:tcBorders>
          </w:tcPr>
          <w:p>
            <w:pPr>
              <w:spacing w:before="0" w:after="0"/>
            </w:pPr>
            <w:r>
              <w:rPr>
                <w:rFonts w:ascii="Aptos" w:hAnsi="Aptos"/>
                <w:sz w:val="17"/>
              </w:rPr>
              <w:t>Included</w:t>
            </w:r>
          </w:p>
        </w:tc>
      </w:tr>
      <w:tr>
        <w:tc>
          <w:tcPr>
            <w:tcW w:type="dxa" w:w="61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E2E5"/>
              <w:left w:val="single" w:sz="4" w:color="D9E2E5"/>
              <w:bottom w:val="single" w:sz="4" w:color="D9E2E5"/>
              <w:right w:val="single" w:sz="4" w:color="D9E2E5"/>
            </w:tcBorders>
            <w:shd w:fill="F5F7F8"/>
          </w:tcPr>
          <w:p>
            <w:pPr>
              <w:spacing w:before="0" w:after="0"/>
            </w:pPr>
            <w:r>
              <w:rPr>
                <w:rFonts w:ascii="Aptos" w:hAnsi="Aptos"/>
                <w:sz w:val="17"/>
              </w:rPr>
              <w:t>Completion photos + visible condition notes</w:t>
            </w:r>
          </w:p>
        </w:tc>
        <w:tc>
          <w:tcPr>
            <w:tcW w:type="dxa" w:w="388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E2E5"/>
              <w:left w:val="single" w:sz="4" w:color="D9E2E5"/>
              <w:bottom w:val="single" w:sz="4" w:color="D9E2E5"/>
              <w:right w:val="single" w:sz="4" w:color="D9E2E5"/>
            </w:tcBorders>
            <w:shd w:fill="F5F7F8"/>
          </w:tcPr>
          <w:p>
            <w:pPr>
              <w:spacing w:before="0" w:after="0"/>
            </w:pPr>
            <w:r>
              <w:rPr>
                <w:rFonts w:ascii="Aptos" w:hAnsi="Aptos"/>
                <w:sz w:val="17"/>
              </w:rPr>
              <w:t>Included</w:t>
            </w:r>
          </w:p>
        </w:tc>
      </w:tr>
      <w:tr>
        <w:tc>
          <w:tcPr>
            <w:tcW w:type="dxa" w:w="61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E2E5"/>
              <w:left w:val="single" w:sz="4" w:color="D9E2E5"/>
              <w:bottom w:val="single" w:sz="4" w:color="D9E2E5"/>
              <w:right w:val="single" w:sz="4" w:color="D9E2E5"/>
            </w:tcBorders>
          </w:tcPr>
          <w:p>
            <w:pPr>
              <w:spacing w:before="0" w:after="0"/>
            </w:pPr>
            <w:r>
              <w:rPr>
                <w:rFonts w:ascii="Aptos" w:hAnsi="Aptos"/>
                <w:sz w:val="17"/>
              </w:rPr>
              <w:t>On-site laundry</w:t>
            </w:r>
          </w:p>
        </w:tc>
        <w:tc>
          <w:tcPr>
            <w:tcW w:type="dxa" w:w="388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E2E5"/>
              <w:left w:val="single" w:sz="4" w:color="D9E2E5"/>
              <w:bottom w:val="single" w:sz="4" w:color="D9E2E5"/>
              <w:right w:val="single" w:sz="4" w:color="D9E2E5"/>
            </w:tcBorders>
          </w:tcPr>
          <w:p>
            <w:pPr>
              <w:spacing w:before="0" w:after="0"/>
            </w:pPr>
            <w:r>
              <w:rPr>
                <w:rFonts w:ascii="Aptos" w:hAnsi="Aptos"/>
                <w:sz w:val="17"/>
              </w:rPr>
              <w:t>+$25 per load</w:t>
            </w:r>
          </w:p>
        </w:tc>
      </w:tr>
      <w:tr>
        <w:tc>
          <w:tcPr>
            <w:tcW w:type="dxa" w:w="61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E2E5"/>
              <w:left w:val="single" w:sz="4" w:color="D9E2E5"/>
              <w:bottom w:val="single" w:sz="4" w:color="D9E2E5"/>
              <w:right w:val="single" w:sz="4" w:color="D9E2E5"/>
            </w:tcBorders>
            <w:shd w:fill="F5F7F8"/>
          </w:tcPr>
          <w:p>
            <w:pPr>
              <w:spacing w:before="0" w:after="0"/>
            </w:pPr>
            <w:r>
              <w:rPr>
                <w:rFonts w:ascii="Aptos" w:hAnsi="Aptos"/>
                <w:sz w:val="17"/>
              </w:rPr>
              <w:t>Owner-provided supply restocking</w:t>
            </w:r>
          </w:p>
        </w:tc>
        <w:tc>
          <w:tcPr>
            <w:tcW w:type="dxa" w:w="388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E2E5"/>
              <w:left w:val="single" w:sz="4" w:color="D9E2E5"/>
              <w:bottom w:val="single" w:sz="4" w:color="D9E2E5"/>
              <w:right w:val="single" w:sz="4" w:color="D9E2E5"/>
            </w:tcBorders>
            <w:shd w:fill="F5F7F8"/>
          </w:tcPr>
          <w:p>
            <w:pPr>
              <w:spacing w:before="0" w:after="0"/>
            </w:pPr>
            <w:r>
              <w:rPr>
                <w:rFonts w:ascii="Aptos" w:hAnsi="Aptos"/>
                <w:sz w:val="17"/>
              </w:rPr>
              <w:t>+$25 per turnover</w:t>
            </w:r>
          </w:p>
        </w:tc>
      </w:tr>
      <w:tr>
        <w:tc>
          <w:tcPr>
            <w:tcW w:type="dxa" w:w="61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E2E5"/>
              <w:left w:val="single" w:sz="4" w:color="D9E2E5"/>
              <w:bottom w:val="single" w:sz="4" w:color="D9E2E5"/>
              <w:right w:val="single" w:sz="4" w:color="D9E2E5"/>
            </w:tcBorders>
          </w:tcPr>
          <w:p>
            <w:pPr>
              <w:spacing w:before="0" w:after="0"/>
            </w:pPr>
            <w:r>
              <w:rPr>
                <w:rFonts w:ascii="Aptos" w:hAnsi="Aptos"/>
                <w:sz w:val="17"/>
              </w:rPr>
              <w:t>Shopping / purchasing supplies</w:t>
            </w:r>
          </w:p>
        </w:tc>
        <w:tc>
          <w:tcPr>
            <w:tcW w:type="dxa" w:w="388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E2E5"/>
              <w:left w:val="single" w:sz="4" w:color="D9E2E5"/>
              <w:bottom w:val="single" w:sz="4" w:color="D9E2E5"/>
              <w:right w:val="single" w:sz="4" w:color="D9E2E5"/>
            </w:tcBorders>
          </w:tcPr>
          <w:p>
            <w:pPr>
              <w:spacing w:before="0" w:after="0"/>
            </w:pPr>
            <w:r>
              <w:rPr>
                <w:rFonts w:ascii="Aptos" w:hAnsi="Aptos"/>
                <w:sz w:val="17"/>
              </w:rPr>
              <w:t>Custom; do not promise automatic purchasing</w:t>
            </w:r>
          </w:p>
        </w:tc>
      </w:tr>
      <w:tr>
        <w:tc>
          <w:tcPr>
            <w:tcW w:type="dxa" w:w="61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E2E5"/>
              <w:left w:val="single" w:sz="4" w:color="D9E2E5"/>
              <w:bottom w:val="single" w:sz="4" w:color="D9E2E5"/>
              <w:right w:val="single" w:sz="4" w:color="D9E2E5"/>
            </w:tcBorders>
            <w:shd w:fill="F5F7F8"/>
          </w:tcPr>
          <w:p>
            <w:pPr>
              <w:spacing w:before="0" w:after="0"/>
            </w:pPr>
            <w:r>
              <w:rPr>
                <w:rFonts w:ascii="Aptos" w:hAnsi="Aptos"/>
                <w:sz w:val="17"/>
              </w:rPr>
              <w:t>Same-day / last-minute rush</w:t>
            </w:r>
          </w:p>
        </w:tc>
        <w:tc>
          <w:tcPr>
            <w:tcW w:type="dxa" w:w="388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E2E5"/>
              <w:left w:val="single" w:sz="4" w:color="D9E2E5"/>
              <w:bottom w:val="single" w:sz="4" w:color="D9E2E5"/>
              <w:right w:val="single" w:sz="4" w:color="D9E2E5"/>
            </w:tcBorders>
            <w:shd w:fill="F5F7F8"/>
          </w:tcPr>
          <w:p>
            <w:pPr>
              <w:spacing w:before="0" w:after="0"/>
            </w:pPr>
            <w:r>
              <w:rPr>
                <w:rFonts w:ascii="Aptos" w:hAnsi="Aptos"/>
                <w:sz w:val="17"/>
              </w:rPr>
              <w:t>Custom and subject to availability</w:t>
            </w:r>
          </w:p>
        </w:tc>
      </w:tr>
      <w:tr>
        <w:tc>
          <w:tcPr>
            <w:tcW w:type="dxa" w:w="61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E2E5"/>
              <w:left w:val="single" w:sz="4" w:color="D9E2E5"/>
              <w:bottom w:val="single" w:sz="4" w:color="D9E2E5"/>
              <w:right w:val="single" w:sz="4" w:color="D9E2E5"/>
            </w:tcBorders>
          </w:tcPr>
          <w:p>
            <w:pPr>
              <w:spacing w:before="0" w:after="0"/>
            </w:pPr>
            <w:r>
              <w:rPr>
                <w:rFonts w:ascii="Aptos" w:hAnsi="Aptos"/>
                <w:sz w:val="17"/>
              </w:rPr>
              <w:t>Seasonal / heavy reset</w:t>
            </w:r>
          </w:p>
        </w:tc>
        <w:tc>
          <w:tcPr>
            <w:tcW w:type="dxa" w:w="388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E2E5"/>
              <w:left w:val="single" w:sz="4" w:color="D9E2E5"/>
              <w:bottom w:val="single" w:sz="4" w:color="D9E2E5"/>
              <w:right w:val="single" w:sz="4" w:color="D9E2E5"/>
            </w:tcBorders>
          </w:tcPr>
          <w:p>
            <w:pPr>
              <w:spacing w:before="0" w:after="0"/>
            </w:pPr>
            <w:r>
              <w:rPr>
                <w:rFonts w:ascii="Aptos" w:hAnsi="Aptos"/>
                <w:sz w:val="17"/>
              </w:rPr>
              <w:t>Quote as Deep Cleaning or custom scope</w:t>
            </w:r>
          </w:p>
        </w:tc>
      </w:tr>
    </w:tbl>
    <w:p>
      <w:pPr>
        <w:ind w:left="288" w:hanging="173"/>
      </w:pPr>
      <w:r>
        <w:rPr>
          <w:b/>
          <w:color w:val="C94F68"/>
        </w:rPr>
        <w:t xml:space="preserve">• </w:t>
      </w:r>
      <w:r>
        <w:t>Pricing assumes a normal guest turnover, not severe damage, parties, excessive trash, or unusual remediation.</w:t>
      </w:r>
    </w:p>
    <w:p>
      <w:pPr>
        <w:ind w:left="288" w:hanging="173"/>
      </w:pPr>
      <w:r>
        <w:rPr>
          <w:b/>
          <w:color w:val="C94F68"/>
        </w:rPr>
        <w:t xml:space="preserve">• </w:t>
      </w:r>
      <w:r>
        <w:t>Checkout-to-check-in window is a quote factor, but do not hide a rush multiplier inside the estimator.</w:t>
      </w:r>
    </w:p>
    <w:p>
      <w:pPr>
        <w:ind w:left="288" w:hanging="173"/>
      </w:pPr>
      <w:r>
        <w:rPr>
          <w:b/>
          <w:color w:val="C94F68"/>
        </w:rPr>
        <w:t xml:space="preserve">• </w:t>
      </w:r>
      <w:r>
        <w:t>Use custom pricing when the layout does not match a published tier.</w:t>
      </w:r>
    </w:p>
    <w:p>
      <w:pPr>
        <w:pStyle w:val="Heading1"/>
      </w:pPr>
      <w:r>
        <w:t>6. Commercial Cleaning</w:t>
      </w:r>
    </w:p>
    <w:p>
      <w:r>
        <w:t>Public website pricing remains “Custom quote.” The following is an internal quoting guide for ordinary offices, professional suites, and comparable light-commercial spaces.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403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E2E5"/>
              <w:left w:val="single" w:sz="4" w:color="D9E2E5"/>
              <w:bottom w:val="single" w:sz="4" w:color="D9E2E5"/>
              <w:right w:val="single" w:sz="4" w:color="D9E2E5"/>
            </w:tcBorders>
            <w:shd w:fill="123B57"/>
          </w:tcPr>
          <w:p>
            <w:pPr>
              <w:spacing w:before="0" w:after="0"/>
            </w:pPr>
            <w:r>
              <w:rPr>
                <w:rFonts w:ascii="Aptos" w:hAnsi="Aptos"/>
                <w:b/>
                <w:color w:val="FFFFFF"/>
                <w:sz w:val="16"/>
              </w:rPr>
              <w:t>Frequency / scope</w:t>
            </w:r>
          </w:p>
        </w:tc>
        <w:tc>
          <w:tcPr>
            <w:tcW w:type="dxa" w:w="360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E2E5"/>
              <w:left w:val="single" w:sz="4" w:color="D9E2E5"/>
              <w:bottom w:val="single" w:sz="4" w:color="D9E2E5"/>
              <w:right w:val="single" w:sz="4" w:color="D9E2E5"/>
            </w:tcBorders>
            <w:shd w:fill="123B57"/>
          </w:tcPr>
          <w:p>
            <w:pPr>
              <w:spacing w:before="0" w:after="0"/>
            </w:pPr>
            <w:r>
              <w:rPr>
                <w:rFonts w:ascii="Aptos" w:hAnsi="Aptos"/>
                <w:b/>
                <w:color w:val="FFFFFF"/>
                <w:sz w:val="16"/>
              </w:rPr>
              <w:t>Internal guide</w:t>
            </w:r>
          </w:p>
        </w:tc>
        <w:tc>
          <w:tcPr>
            <w:tcW w:type="dxa" w:w="244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E2E5"/>
              <w:left w:val="single" w:sz="4" w:color="D9E2E5"/>
              <w:bottom w:val="single" w:sz="4" w:color="D9E2E5"/>
              <w:right w:val="single" w:sz="4" w:color="D9E2E5"/>
            </w:tcBorders>
            <w:shd w:fill="123B57"/>
          </w:tcPr>
          <w:p>
            <w:pPr>
              <w:spacing w:before="0" w:after="0"/>
            </w:pPr>
            <w:r>
              <w:rPr>
                <w:rFonts w:ascii="Aptos" w:hAnsi="Aptos"/>
                <w:b/>
                <w:color w:val="FFFFFF"/>
                <w:sz w:val="16"/>
              </w:rPr>
              <w:t>Minimum</w:t>
            </w:r>
          </w:p>
        </w:tc>
      </w:tr>
      <w:tr>
        <w:tc>
          <w:tcPr>
            <w:tcW w:type="dxa" w:w="403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E2E5"/>
              <w:left w:val="single" w:sz="4" w:color="D9E2E5"/>
              <w:bottom w:val="single" w:sz="4" w:color="D9E2E5"/>
              <w:right w:val="single" w:sz="4" w:color="D9E2E5"/>
            </w:tcBorders>
          </w:tcPr>
          <w:p>
            <w:pPr>
              <w:spacing w:before="0" w:after="0"/>
            </w:pPr>
            <w:r>
              <w:rPr>
                <w:rFonts w:ascii="Aptos" w:hAnsi="Aptos"/>
                <w:sz w:val="16"/>
              </w:rPr>
              <w:t>2+ visits per week</w:t>
            </w:r>
          </w:p>
        </w:tc>
        <w:tc>
          <w:tcPr>
            <w:tcW w:type="dxa" w:w="360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E2E5"/>
              <w:left w:val="single" w:sz="4" w:color="D9E2E5"/>
              <w:bottom w:val="single" w:sz="4" w:color="D9E2E5"/>
              <w:right w:val="single" w:sz="4" w:color="D9E2E5"/>
            </w:tcBorders>
          </w:tcPr>
          <w:p>
            <w:pPr>
              <w:spacing w:before="0" w:after="0"/>
            </w:pPr>
            <w:r>
              <w:rPr>
                <w:rFonts w:ascii="Aptos" w:hAnsi="Aptos"/>
                <w:sz w:val="16"/>
              </w:rPr>
              <w:t>$0.11 / sq ft / visit</w:t>
            </w:r>
          </w:p>
        </w:tc>
        <w:tc>
          <w:tcPr>
            <w:tcW w:type="dxa" w:w="244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E2E5"/>
              <w:left w:val="single" w:sz="4" w:color="D9E2E5"/>
              <w:bottom w:val="single" w:sz="4" w:color="D9E2E5"/>
              <w:right w:val="single" w:sz="4" w:color="D9E2E5"/>
            </w:tcBorders>
          </w:tcPr>
          <w:p>
            <w:pPr>
              <w:spacing w:before="0" w:after="0"/>
            </w:pPr>
            <w:r>
              <w:rPr>
                <w:rFonts w:ascii="Aptos" w:hAnsi="Aptos"/>
                <w:sz w:val="16"/>
              </w:rPr>
              <w:t>$125 / visit</w:t>
            </w:r>
          </w:p>
        </w:tc>
      </w:tr>
      <w:tr>
        <w:tc>
          <w:tcPr>
            <w:tcW w:type="dxa" w:w="403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E2E5"/>
              <w:left w:val="single" w:sz="4" w:color="D9E2E5"/>
              <w:bottom w:val="single" w:sz="4" w:color="D9E2E5"/>
              <w:right w:val="single" w:sz="4" w:color="D9E2E5"/>
            </w:tcBorders>
            <w:shd w:fill="F5F7F8"/>
          </w:tcPr>
          <w:p>
            <w:pPr>
              <w:spacing w:before="0" w:after="0"/>
            </w:pPr>
            <w:r>
              <w:rPr>
                <w:rFonts w:ascii="Aptos" w:hAnsi="Aptos"/>
                <w:sz w:val="16"/>
              </w:rPr>
              <w:t>Weekly</w:t>
            </w:r>
          </w:p>
        </w:tc>
        <w:tc>
          <w:tcPr>
            <w:tcW w:type="dxa" w:w="360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E2E5"/>
              <w:left w:val="single" w:sz="4" w:color="D9E2E5"/>
              <w:bottom w:val="single" w:sz="4" w:color="D9E2E5"/>
              <w:right w:val="single" w:sz="4" w:color="D9E2E5"/>
            </w:tcBorders>
            <w:shd w:fill="F5F7F8"/>
          </w:tcPr>
          <w:p>
            <w:pPr>
              <w:spacing w:before="0" w:after="0"/>
            </w:pPr>
            <w:r>
              <w:rPr>
                <w:rFonts w:ascii="Aptos" w:hAnsi="Aptos"/>
                <w:sz w:val="16"/>
              </w:rPr>
              <w:t>$0.12 / sq ft / visit</w:t>
            </w:r>
          </w:p>
        </w:tc>
        <w:tc>
          <w:tcPr>
            <w:tcW w:type="dxa" w:w="244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E2E5"/>
              <w:left w:val="single" w:sz="4" w:color="D9E2E5"/>
              <w:bottom w:val="single" w:sz="4" w:color="D9E2E5"/>
              <w:right w:val="single" w:sz="4" w:color="D9E2E5"/>
            </w:tcBorders>
            <w:shd w:fill="F5F7F8"/>
          </w:tcPr>
          <w:p>
            <w:pPr>
              <w:spacing w:before="0" w:after="0"/>
            </w:pPr>
            <w:r>
              <w:rPr>
                <w:rFonts w:ascii="Aptos" w:hAnsi="Aptos"/>
                <w:sz w:val="16"/>
              </w:rPr>
              <w:t>$125 / visit</w:t>
            </w:r>
          </w:p>
        </w:tc>
      </w:tr>
      <w:tr>
        <w:tc>
          <w:tcPr>
            <w:tcW w:type="dxa" w:w="403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E2E5"/>
              <w:left w:val="single" w:sz="4" w:color="D9E2E5"/>
              <w:bottom w:val="single" w:sz="4" w:color="D9E2E5"/>
              <w:right w:val="single" w:sz="4" w:color="D9E2E5"/>
            </w:tcBorders>
          </w:tcPr>
          <w:p>
            <w:pPr>
              <w:spacing w:before="0" w:after="0"/>
            </w:pPr>
            <w:r>
              <w:rPr>
                <w:rFonts w:ascii="Aptos" w:hAnsi="Aptos"/>
                <w:sz w:val="16"/>
              </w:rPr>
              <w:t>Biweekly</w:t>
            </w:r>
          </w:p>
        </w:tc>
        <w:tc>
          <w:tcPr>
            <w:tcW w:type="dxa" w:w="360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E2E5"/>
              <w:left w:val="single" w:sz="4" w:color="D9E2E5"/>
              <w:bottom w:val="single" w:sz="4" w:color="D9E2E5"/>
              <w:right w:val="single" w:sz="4" w:color="D9E2E5"/>
            </w:tcBorders>
          </w:tcPr>
          <w:p>
            <w:pPr>
              <w:spacing w:before="0" w:after="0"/>
            </w:pPr>
            <w:r>
              <w:rPr>
                <w:rFonts w:ascii="Aptos" w:hAnsi="Aptos"/>
                <w:sz w:val="16"/>
              </w:rPr>
              <w:t>$0.14 / sq ft / visit</w:t>
            </w:r>
          </w:p>
        </w:tc>
        <w:tc>
          <w:tcPr>
            <w:tcW w:type="dxa" w:w="244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E2E5"/>
              <w:left w:val="single" w:sz="4" w:color="D9E2E5"/>
              <w:bottom w:val="single" w:sz="4" w:color="D9E2E5"/>
              <w:right w:val="single" w:sz="4" w:color="D9E2E5"/>
            </w:tcBorders>
          </w:tcPr>
          <w:p>
            <w:pPr>
              <w:spacing w:before="0" w:after="0"/>
            </w:pPr>
            <w:r>
              <w:rPr>
                <w:rFonts w:ascii="Aptos" w:hAnsi="Aptos"/>
                <w:sz w:val="16"/>
              </w:rPr>
              <w:t>$125 / visit</w:t>
            </w:r>
          </w:p>
        </w:tc>
      </w:tr>
      <w:tr>
        <w:tc>
          <w:tcPr>
            <w:tcW w:type="dxa" w:w="403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E2E5"/>
              <w:left w:val="single" w:sz="4" w:color="D9E2E5"/>
              <w:bottom w:val="single" w:sz="4" w:color="D9E2E5"/>
              <w:right w:val="single" w:sz="4" w:color="D9E2E5"/>
            </w:tcBorders>
            <w:shd w:fill="F5F7F8"/>
          </w:tcPr>
          <w:p>
            <w:pPr>
              <w:spacing w:before="0" w:after="0"/>
            </w:pPr>
            <w:r>
              <w:rPr>
                <w:rFonts w:ascii="Aptos" w:hAnsi="Aptos"/>
                <w:sz w:val="16"/>
              </w:rPr>
              <w:t>Monthly / one-time routine</w:t>
            </w:r>
          </w:p>
        </w:tc>
        <w:tc>
          <w:tcPr>
            <w:tcW w:type="dxa" w:w="360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E2E5"/>
              <w:left w:val="single" w:sz="4" w:color="D9E2E5"/>
              <w:bottom w:val="single" w:sz="4" w:color="D9E2E5"/>
              <w:right w:val="single" w:sz="4" w:color="D9E2E5"/>
            </w:tcBorders>
            <w:shd w:fill="F5F7F8"/>
          </w:tcPr>
          <w:p>
            <w:pPr>
              <w:spacing w:before="0" w:after="0"/>
            </w:pPr>
            <w:r>
              <w:rPr>
                <w:rFonts w:ascii="Aptos" w:hAnsi="Aptos"/>
                <w:sz w:val="16"/>
              </w:rPr>
              <w:t>$0.16 / sq ft / visit</w:t>
            </w:r>
          </w:p>
        </w:tc>
        <w:tc>
          <w:tcPr>
            <w:tcW w:type="dxa" w:w="244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E2E5"/>
              <w:left w:val="single" w:sz="4" w:color="D9E2E5"/>
              <w:bottom w:val="single" w:sz="4" w:color="D9E2E5"/>
              <w:right w:val="single" w:sz="4" w:color="D9E2E5"/>
            </w:tcBorders>
            <w:shd w:fill="F5F7F8"/>
          </w:tcPr>
          <w:p>
            <w:pPr>
              <w:spacing w:before="0" w:after="0"/>
            </w:pPr>
            <w:r>
              <w:rPr>
                <w:rFonts w:ascii="Aptos" w:hAnsi="Aptos"/>
                <w:sz w:val="16"/>
              </w:rPr>
              <w:t>$125 / visit</w:t>
            </w:r>
          </w:p>
        </w:tc>
      </w:tr>
      <w:tr>
        <w:tc>
          <w:tcPr>
            <w:tcW w:type="dxa" w:w="403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E2E5"/>
              <w:left w:val="single" w:sz="4" w:color="D9E2E5"/>
              <w:bottom w:val="single" w:sz="4" w:color="D9E2E5"/>
              <w:right w:val="single" w:sz="4" w:color="D9E2E5"/>
            </w:tcBorders>
          </w:tcPr>
          <w:p>
            <w:pPr>
              <w:spacing w:before="0" w:after="0"/>
            </w:pPr>
            <w:r>
              <w:rPr>
                <w:rFonts w:ascii="Aptos" w:hAnsi="Aptos"/>
                <w:sz w:val="16"/>
              </w:rPr>
              <w:t>One-time deep/detail commercial</w:t>
            </w:r>
          </w:p>
        </w:tc>
        <w:tc>
          <w:tcPr>
            <w:tcW w:type="dxa" w:w="360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E2E5"/>
              <w:left w:val="single" w:sz="4" w:color="D9E2E5"/>
              <w:bottom w:val="single" w:sz="4" w:color="D9E2E5"/>
              <w:right w:val="single" w:sz="4" w:color="D9E2E5"/>
            </w:tcBorders>
          </w:tcPr>
          <w:p>
            <w:pPr>
              <w:spacing w:before="0" w:after="0"/>
            </w:pPr>
            <w:r>
              <w:rPr>
                <w:rFonts w:ascii="Aptos" w:hAnsi="Aptos"/>
                <w:sz w:val="16"/>
              </w:rPr>
              <w:t>From $0.22 / sq ft</w:t>
            </w:r>
          </w:p>
        </w:tc>
        <w:tc>
          <w:tcPr>
            <w:tcW w:type="dxa" w:w="244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E2E5"/>
              <w:left w:val="single" w:sz="4" w:color="D9E2E5"/>
              <w:bottom w:val="single" w:sz="4" w:color="D9E2E5"/>
              <w:right w:val="single" w:sz="4" w:color="D9E2E5"/>
            </w:tcBorders>
          </w:tcPr>
          <w:p>
            <w:pPr>
              <w:spacing w:before="0" w:after="0"/>
            </w:pPr>
            <w:r>
              <w:rPr>
                <w:rFonts w:ascii="Aptos" w:hAnsi="Aptos"/>
                <w:sz w:val="16"/>
              </w:rPr>
              <w:t>$175 / visit</w:t>
            </w:r>
          </w:p>
        </w:tc>
      </w:tr>
      <w:tr>
        <w:tc>
          <w:tcPr>
            <w:tcW w:type="dxa" w:w="403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E2E5"/>
              <w:left w:val="single" w:sz="4" w:color="D9E2E5"/>
              <w:bottom w:val="single" w:sz="4" w:color="D9E2E5"/>
              <w:right w:val="single" w:sz="4" w:color="D9E2E5"/>
            </w:tcBorders>
            <w:shd w:fill="F5F7F8"/>
          </w:tcPr>
          <w:p>
            <w:pPr>
              <w:spacing w:before="0" w:after="0"/>
            </w:pPr>
            <w:r>
              <w:rPr>
                <w:rFonts w:ascii="Aptos" w:hAnsi="Aptos"/>
                <w:sz w:val="16"/>
              </w:rPr>
              <w:t>Retail / high-traffic</w:t>
            </w:r>
          </w:p>
        </w:tc>
        <w:tc>
          <w:tcPr>
            <w:tcW w:type="dxa" w:w="360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E2E5"/>
              <w:left w:val="single" w:sz="4" w:color="D9E2E5"/>
              <w:bottom w:val="single" w:sz="4" w:color="D9E2E5"/>
              <w:right w:val="single" w:sz="4" w:color="D9E2E5"/>
            </w:tcBorders>
            <w:shd w:fill="F5F7F8"/>
          </w:tcPr>
          <w:p>
            <w:pPr>
              <w:spacing w:before="0" w:after="0"/>
            </w:pPr>
            <w:r>
              <w:rPr>
                <w:rFonts w:ascii="Aptos" w:hAnsi="Aptos"/>
                <w:sz w:val="16"/>
              </w:rPr>
              <w:t>From $0.16 / sq ft / visit</w:t>
            </w:r>
          </w:p>
        </w:tc>
        <w:tc>
          <w:tcPr>
            <w:tcW w:type="dxa" w:w="244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E2E5"/>
              <w:left w:val="single" w:sz="4" w:color="D9E2E5"/>
              <w:bottom w:val="single" w:sz="4" w:color="D9E2E5"/>
              <w:right w:val="single" w:sz="4" w:color="D9E2E5"/>
            </w:tcBorders>
            <w:shd w:fill="F5F7F8"/>
          </w:tcPr>
          <w:p>
            <w:pPr>
              <w:spacing w:before="0" w:after="0"/>
            </w:pPr>
            <w:r>
              <w:rPr>
                <w:rFonts w:ascii="Aptos" w:hAnsi="Aptos"/>
                <w:sz w:val="16"/>
              </w:rPr>
              <w:t>Custom after walkthrough</w:t>
            </w:r>
          </w:p>
        </w:tc>
      </w:tr>
    </w:tbl>
    <w:p>
      <w:pPr>
        <w:pStyle w:val="Heading2"/>
      </w:pPr>
      <w:r>
        <w:t>Commercial quote factors</w:t>
      </w:r>
    </w:p>
    <w:p>
      <w:pPr>
        <w:ind w:left="288" w:hanging="173"/>
      </w:pPr>
      <w:r>
        <w:rPr>
          <w:b/>
          <w:color w:val="C94F68"/>
        </w:rPr>
        <w:t xml:space="preserve">• </w:t>
      </w:r>
      <w:r>
        <w:t>Facility type and square footage</w:t>
      </w:r>
    </w:p>
    <w:p>
      <w:pPr>
        <w:ind w:left="288" w:hanging="173"/>
      </w:pPr>
      <w:r>
        <w:rPr>
          <w:b/>
          <w:color w:val="C94F68"/>
        </w:rPr>
        <w:t xml:space="preserve">• </w:t>
      </w:r>
      <w:r>
        <w:t>Number and density of restrooms / breakrooms</w:t>
      </w:r>
    </w:p>
    <w:p>
      <w:pPr>
        <w:ind w:left="288" w:hanging="173"/>
      </w:pPr>
      <w:r>
        <w:rPr>
          <w:b/>
          <w:color w:val="C94F68"/>
        </w:rPr>
        <w:t xml:space="preserve">• </w:t>
      </w:r>
      <w:r>
        <w:t>Cleaning frequency</w:t>
      </w:r>
    </w:p>
    <w:p>
      <w:pPr>
        <w:ind w:left="288" w:hanging="173"/>
      </w:pPr>
      <w:r>
        <w:rPr>
          <w:b/>
          <w:color w:val="C94F68"/>
        </w:rPr>
        <w:t xml:space="preserve">• </w:t>
      </w:r>
      <w:r>
        <w:t>Floor type and amount of glass</w:t>
      </w:r>
    </w:p>
    <w:p>
      <w:pPr>
        <w:ind w:left="288" w:hanging="173"/>
      </w:pPr>
      <w:r>
        <w:rPr>
          <w:b/>
          <w:color w:val="C94F68"/>
        </w:rPr>
        <w:t xml:space="preserve">• </w:t>
      </w:r>
      <w:r>
        <w:t>After-hours / weekend access</w:t>
      </w:r>
    </w:p>
    <w:p>
      <w:pPr>
        <w:ind w:left="288" w:hanging="173"/>
      </w:pPr>
      <w:r>
        <w:rPr>
          <w:b/>
          <w:color w:val="C94F68"/>
        </w:rPr>
        <w:t xml:space="preserve">• </w:t>
      </w:r>
      <w:r>
        <w:t>Waste volume, supply-restocking expectations, and agreed checklist</w:t>
      </w:r>
    </w:p>
    <w:p>
      <w:pPr>
        <w:ind w:left="288" w:hanging="173"/>
      </w:pPr>
      <w:r>
        <w:rPr>
          <w:b/>
          <w:color w:val="C94F68"/>
        </w:rPr>
        <w:t xml:space="preserve">• </w:t>
      </w:r>
      <w:r>
        <w:t>Any specialty work outside routine office / retail cleaning</w:t>
      </w:r>
    </w:p>
    <w:p>
      <w:r>
        <w:rPr>
          <w:b/>
        </w:rPr>
        <w:t xml:space="preserve">Do not automatically quote </w:t>
      </w:r>
      <w:r>
        <w:t>medical, restaurant, industrial, post-construction, hazardous, or specialty floor-care work from this rate card. Treat those as custom scope or outside service.</w:t>
      </w:r>
    </w:p>
    <w:p>
      <w:pPr>
        <w:pStyle w:val="Heading1"/>
      </w:pPr>
      <w:r>
        <w:t>7. Florida Sales-Tax Treatment</w:t>
      </w:r>
    </w:p>
    <w:p>
      <w:r>
        <w:t>This section is an operational summary based on current Florida Department of Revenue guidance and the current Brevard discretionary surtax rate. Verify registration and invoicing setup with Florida DOR / a tax professional before launch.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</w:trPr>
        <w:tc>
          <w:tcPr>
            <w:tcW w:type="dxa" w:w="518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E2E5"/>
              <w:left w:val="single" w:sz="4" w:color="D9E2E5"/>
              <w:bottom w:val="single" w:sz="4" w:color="D9E2E5"/>
              <w:right w:val="single" w:sz="4" w:color="D9E2E5"/>
            </w:tcBorders>
            <w:shd w:fill="123B57"/>
          </w:tcPr>
          <w:p>
            <w:pPr>
              <w:spacing w:before="0" w:after="0"/>
            </w:pPr>
            <w:r>
              <w:rPr>
                <w:rFonts w:ascii="Aptos" w:hAnsi="Aptos"/>
                <w:b/>
                <w:color w:val="FFFFFF"/>
                <w:sz w:val="16"/>
              </w:rPr>
              <w:t>Service</w:t>
            </w:r>
          </w:p>
        </w:tc>
        <w:tc>
          <w:tcPr>
            <w:tcW w:type="dxa" w:w="489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E2E5"/>
              <w:left w:val="single" w:sz="4" w:color="D9E2E5"/>
              <w:bottom w:val="single" w:sz="4" w:color="D9E2E5"/>
              <w:right w:val="single" w:sz="4" w:color="D9E2E5"/>
            </w:tcBorders>
            <w:shd w:fill="123B57"/>
          </w:tcPr>
          <w:p>
            <w:pPr>
              <w:spacing w:before="0" w:after="0"/>
            </w:pPr>
            <w:r>
              <w:rPr>
                <w:rFonts w:ascii="Aptos" w:hAnsi="Aptos"/>
                <w:b/>
                <w:color w:val="FFFFFF"/>
                <w:sz w:val="16"/>
              </w:rPr>
              <w:t>Beachline tax treatment</w:t>
            </w:r>
          </w:p>
        </w:tc>
      </w:tr>
      <w:tr>
        <w:tc>
          <w:tcPr>
            <w:tcW w:type="dxa" w:w="518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E2E5"/>
              <w:left w:val="single" w:sz="4" w:color="D9E2E5"/>
              <w:bottom w:val="single" w:sz="4" w:color="D9E2E5"/>
              <w:right w:val="single" w:sz="4" w:color="D9E2E5"/>
            </w:tcBorders>
          </w:tcPr>
          <w:p>
            <w:pPr>
              <w:spacing w:before="0" w:after="0"/>
            </w:pPr>
            <w:r>
              <w:rPr>
                <w:rFonts w:ascii="Aptos" w:hAnsi="Aptos"/>
                <w:sz w:val="16"/>
              </w:rPr>
              <w:t>Residential Home / Deep / Move cleaning</w:t>
            </w:r>
          </w:p>
        </w:tc>
        <w:tc>
          <w:tcPr>
            <w:tcW w:type="dxa" w:w="489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E2E5"/>
              <w:left w:val="single" w:sz="4" w:color="D9E2E5"/>
              <w:bottom w:val="single" w:sz="4" w:color="D9E2E5"/>
              <w:right w:val="single" w:sz="4" w:color="D9E2E5"/>
            </w:tcBorders>
          </w:tcPr>
          <w:p>
            <w:pPr>
              <w:spacing w:before="0" w:after="0"/>
            </w:pPr>
            <w:r>
              <w:rPr>
                <w:rFonts w:ascii="Aptos" w:hAnsi="Aptos"/>
                <w:sz w:val="16"/>
              </w:rPr>
              <w:t>No Florida sales tax on the cleaning service when cleaning a residential facility</w:t>
            </w:r>
          </w:p>
        </w:tc>
      </w:tr>
      <w:tr>
        <w:tc>
          <w:tcPr>
            <w:tcW w:type="dxa" w:w="518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E2E5"/>
              <w:left w:val="single" w:sz="4" w:color="D9E2E5"/>
              <w:bottom w:val="single" w:sz="4" w:color="D9E2E5"/>
              <w:right w:val="single" w:sz="4" w:color="D9E2E5"/>
            </w:tcBorders>
            <w:shd w:fill="F5F7F8"/>
          </w:tcPr>
          <w:p>
            <w:pPr>
              <w:spacing w:before="0" w:after="0"/>
            </w:pPr>
            <w:r>
              <w:rPr>
                <w:rFonts w:ascii="Aptos" w:hAnsi="Aptos"/>
                <w:sz w:val="16"/>
              </w:rPr>
              <w:t>Residential vacation home / condo turnover for owner or agent</w:t>
            </w:r>
          </w:p>
        </w:tc>
        <w:tc>
          <w:tcPr>
            <w:tcW w:type="dxa" w:w="489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E2E5"/>
              <w:left w:val="single" w:sz="4" w:color="D9E2E5"/>
              <w:bottom w:val="single" w:sz="4" w:color="D9E2E5"/>
              <w:right w:val="single" w:sz="4" w:color="D9E2E5"/>
            </w:tcBorders>
            <w:shd w:fill="F5F7F8"/>
          </w:tcPr>
          <w:p>
            <w:pPr>
              <w:spacing w:before="0" w:after="0"/>
            </w:pPr>
            <w:r>
              <w:rPr>
                <w:rFonts w:ascii="Aptos" w:hAnsi="Aptos"/>
                <w:sz w:val="16"/>
              </w:rPr>
              <w:t>Generally no sales tax on Beachline’s cleaning charge to the owner/agent when the property remains a residential facility</w:t>
            </w:r>
          </w:p>
        </w:tc>
      </w:tr>
      <w:tr>
        <w:tc>
          <w:tcPr>
            <w:tcW w:type="dxa" w:w="518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E2E5"/>
              <w:left w:val="single" w:sz="4" w:color="D9E2E5"/>
              <w:bottom w:val="single" w:sz="4" w:color="D9E2E5"/>
              <w:right w:val="single" w:sz="4" w:color="D9E2E5"/>
            </w:tcBorders>
          </w:tcPr>
          <w:p>
            <w:pPr>
              <w:spacing w:before="0" w:after="0"/>
            </w:pPr>
            <w:r>
              <w:rPr>
                <w:rFonts w:ascii="Aptos" w:hAnsi="Aptos"/>
                <w:sz w:val="16"/>
              </w:rPr>
              <w:t>Commercial / nonresidential interior cleaning</w:t>
            </w:r>
          </w:p>
        </w:tc>
        <w:tc>
          <w:tcPr>
            <w:tcW w:type="dxa" w:w="489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E2E5"/>
              <w:left w:val="single" w:sz="4" w:color="D9E2E5"/>
              <w:bottom w:val="single" w:sz="4" w:color="D9E2E5"/>
              <w:right w:val="single" w:sz="4" w:color="D9E2E5"/>
            </w:tcBorders>
          </w:tcPr>
          <w:p>
            <w:pPr>
              <w:spacing w:before="0" w:after="0"/>
            </w:pPr>
            <w:r>
              <w:rPr>
                <w:rFonts w:ascii="Aptos" w:hAnsi="Aptos"/>
                <w:sz w:val="16"/>
              </w:rPr>
              <w:t>Taxable</w:t>
            </w:r>
          </w:p>
        </w:tc>
      </w:tr>
      <w:tr>
        <w:tc>
          <w:tcPr>
            <w:tcW w:type="dxa" w:w="518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E2E5"/>
              <w:left w:val="single" w:sz="4" w:color="D9E2E5"/>
              <w:bottom w:val="single" w:sz="4" w:color="D9E2E5"/>
              <w:right w:val="single" w:sz="4" w:color="D9E2E5"/>
            </w:tcBorders>
            <w:shd w:fill="F5F7F8"/>
          </w:tcPr>
          <w:p>
            <w:pPr>
              <w:spacing w:before="0" w:after="0"/>
            </w:pPr>
            <w:r>
              <w:rPr>
                <w:rFonts w:ascii="Aptos" w:hAnsi="Aptos"/>
                <w:sz w:val="16"/>
              </w:rPr>
              <w:t>Current Brevard commercial rate</w:t>
            </w:r>
          </w:p>
        </w:tc>
        <w:tc>
          <w:tcPr>
            <w:tcW w:type="dxa" w:w="489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E2E5"/>
              <w:left w:val="single" w:sz="4" w:color="D9E2E5"/>
              <w:bottom w:val="single" w:sz="4" w:color="D9E2E5"/>
              <w:right w:val="single" w:sz="4" w:color="D9E2E5"/>
            </w:tcBorders>
            <w:shd w:fill="F5F7F8"/>
          </w:tcPr>
          <w:p>
            <w:pPr>
              <w:spacing w:before="0" w:after="0"/>
            </w:pPr>
            <w:r>
              <w:rPr>
                <w:rFonts w:ascii="Aptos" w:hAnsi="Aptos"/>
                <w:sz w:val="16"/>
              </w:rPr>
              <w:t>6% Florida sales tax + 1% Brevard surtax = 7% total</w:t>
            </w:r>
          </w:p>
        </w:tc>
      </w:tr>
    </w:tbl>
    <w:p>
      <w:r>
        <w:rPr>
          <w:b/>
        </w:rPr>
        <w:t xml:space="preserve">Important distinction: </w:t>
      </w:r>
      <w:r>
        <w:t>a host’s mandatory cleaning fee charged to a transient guest can be taxable as part of the rental charge even when the cleaner’s invoice to the owner for cleaning a residential vacation home is not taxable.</w:t>
      </w:r>
    </w:p>
    <w:p>
      <w:pPr>
        <w:pStyle w:val="Heading1"/>
      </w:pPr>
      <w:r>
        <w:t>8. Website &amp; Instant-Estimate Rules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</w:trPr>
        <w:tc>
          <w:tcPr>
            <w:tcW w:type="dxa" w:w="388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E2E5"/>
              <w:left w:val="single" w:sz="4" w:color="D9E2E5"/>
              <w:bottom w:val="single" w:sz="4" w:color="D9E2E5"/>
              <w:right w:val="single" w:sz="4" w:color="D9E2E5"/>
            </w:tcBorders>
            <w:shd w:fill="123B57"/>
          </w:tcPr>
          <w:p>
            <w:pPr>
              <w:spacing w:before="0" w:after="0"/>
            </w:pPr>
            <w:r>
              <w:rPr>
                <w:rFonts w:ascii="Aptos" w:hAnsi="Aptos"/>
                <w:b/>
                <w:color w:val="FFFFFF"/>
                <w:sz w:val="16"/>
              </w:rPr>
              <w:t>Service</w:t>
            </w:r>
          </w:p>
        </w:tc>
        <w:tc>
          <w:tcPr>
            <w:tcW w:type="dxa" w:w="61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E2E5"/>
              <w:left w:val="single" w:sz="4" w:color="D9E2E5"/>
              <w:bottom w:val="single" w:sz="4" w:color="D9E2E5"/>
              <w:right w:val="single" w:sz="4" w:color="D9E2E5"/>
            </w:tcBorders>
            <w:shd w:fill="123B57"/>
          </w:tcPr>
          <w:p>
            <w:pPr>
              <w:spacing w:before="0" w:after="0"/>
            </w:pPr>
            <w:r>
              <w:rPr>
                <w:rFonts w:ascii="Aptos" w:hAnsi="Aptos"/>
                <w:b/>
                <w:color w:val="FFFFFF"/>
                <w:sz w:val="16"/>
              </w:rPr>
              <w:t>Website pricing behavior</w:t>
            </w:r>
          </w:p>
        </w:tc>
      </w:tr>
      <w:tr>
        <w:tc>
          <w:tcPr>
            <w:tcW w:type="dxa" w:w="388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E2E5"/>
              <w:left w:val="single" w:sz="4" w:color="D9E2E5"/>
              <w:bottom w:val="single" w:sz="4" w:color="D9E2E5"/>
              <w:right w:val="single" w:sz="4" w:color="D9E2E5"/>
            </w:tcBorders>
          </w:tcPr>
          <w:p>
            <w:pPr>
              <w:spacing w:before="0" w:after="0"/>
            </w:pPr>
            <w:r>
              <w:rPr>
                <w:rFonts w:ascii="Aptos" w:hAnsi="Aptos"/>
                <w:sz w:val="16"/>
              </w:rPr>
              <w:t>Home Cleaning</w:t>
            </w:r>
          </w:p>
        </w:tc>
        <w:tc>
          <w:tcPr>
            <w:tcW w:type="dxa" w:w="61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E2E5"/>
              <w:left w:val="single" w:sz="4" w:color="D9E2E5"/>
              <w:bottom w:val="single" w:sz="4" w:color="D9E2E5"/>
              <w:right w:val="single" w:sz="4" w:color="D9E2E5"/>
            </w:tcBorders>
          </w:tcPr>
          <w:p>
            <w:pPr>
              <w:spacing w:before="0" w:after="0"/>
            </w:pPr>
            <w:r>
              <w:rPr>
                <w:rFonts w:ascii="Aptos" w:hAnsi="Aptos"/>
                <w:sz w:val="16"/>
              </w:rPr>
              <w:t>Calculate from room count + size + frequency; show estimated price</w:t>
            </w:r>
          </w:p>
        </w:tc>
      </w:tr>
      <w:tr>
        <w:tc>
          <w:tcPr>
            <w:tcW w:type="dxa" w:w="388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E2E5"/>
              <w:left w:val="single" w:sz="4" w:color="D9E2E5"/>
              <w:bottom w:val="single" w:sz="4" w:color="D9E2E5"/>
              <w:right w:val="single" w:sz="4" w:color="D9E2E5"/>
            </w:tcBorders>
            <w:shd w:fill="F5F7F8"/>
          </w:tcPr>
          <w:p>
            <w:pPr>
              <w:spacing w:before="0" w:after="0"/>
            </w:pPr>
            <w:r>
              <w:rPr>
                <w:rFonts w:ascii="Aptos" w:hAnsi="Aptos"/>
                <w:sz w:val="16"/>
              </w:rPr>
              <w:t>Deep Cleaning</w:t>
            </w:r>
          </w:p>
        </w:tc>
        <w:tc>
          <w:tcPr>
            <w:tcW w:type="dxa" w:w="61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E2E5"/>
              <w:left w:val="single" w:sz="4" w:color="D9E2E5"/>
              <w:bottom w:val="single" w:sz="4" w:color="D9E2E5"/>
              <w:right w:val="single" w:sz="4" w:color="D9E2E5"/>
            </w:tcBorders>
            <w:shd w:fill="F5F7F8"/>
          </w:tcPr>
          <w:p>
            <w:pPr>
              <w:spacing w:before="0" w:after="0"/>
            </w:pPr>
            <w:r>
              <w:rPr>
                <w:rFonts w:ascii="Aptos" w:hAnsi="Aptos"/>
                <w:sz w:val="16"/>
              </w:rPr>
              <w:t>Calculate from one-time Home estimate + deep formula; show estimated price</w:t>
            </w:r>
          </w:p>
        </w:tc>
      </w:tr>
      <w:tr>
        <w:tc>
          <w:tcPr>
            <w:tcW w:type="dxa" w:w="388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E2E5"/>
              <w:left w:val="single" w:sz="4" w:color="D9E2E5"/>
              <w:bottom w:val="single" w:sz="4" w:color="D9E2E5"/>
              <w:right w:val="single" w:sz="4" w:color="D9E2E5"/>
            </w:tcBorders>
          </w:tcPr>
          <w:p>
            <w:pPr>
              <w:spacing w:before="0" w:after="0"/>
            </w:pPr>
            <w:r>
              <w:rPr>
                <w:rFonts w:ascii="Aptos" w:hAnsi="Aptos"/>
                <w:sz w:val="16"/>
              </w:rPr>
              <w:t>Move-In / Move-Out</w:t>
            </w:r>
          </w:p>
        </w:tc>
        <w:tc>
          <w:tcPr>
            <w:tcW w:type="dxa" w:w="61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E2E5"/>
              <w:left w:val="single" w:sz="4" w:color="D9E2E5"/>
              <w:bottom w:val="single" w:sz="4" w:color="D9E2E5"/>
              <w:right w:val="single" w:sz="4" w:color="D9E2E5"/>
            </w:tcBorders>
          </w:tcPr>
          <w:p>
            <w:pPr>
              <w:spacing w:before="0" w:after="0"/>
            </w:pPr>
            <w:r>
              <w:rPr>
                <w:rFonts w:ascii="Aptos" w:hAnsi="Aptos"/>
                <w:sz w:val="16"/>
              </w:rPr>
              <w:t>Calculate from dedicated move formula; show estimated price</w:t>
            </w:r>
          </w:p>
        </w:tc>
      </w:tr>
      <w:tr>
        <w:tc>
          <w:tcPr>
            <w:tcW w:type="dxa" w:w="388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E2E5"/>
              <w:left w:val="single" w:sz="4" w:color="D9E2E5"/>
              <w:bottom w:val="single" w:sz="4" w:color="D9E2E5"/>
              <w:right w:val="single" w:sz="4" w:color="D9E2E5"/>
            </w:tcBorders>
            <w:shd w:fill="F5F7F8"/>
          </w:tcPr>
          <w:p>
            <w:pPr>
              <w:spacing w:before="0" w:after="0"/>
            </w:pPr>
            <w:r>
              <w:rPr>
                <w:rFonts w:ascii="Aptos" w:hAnsi="Aptos"/>
                <w:sz w:val="16"/>
              </w:rPr>
              <w:t>Vacation Rentals</w:t>
            </w:r>
          </w:p>
        </w:tc>
        <w:tc>
          <w:tcPr>
            <w:tcW w:type="dxa" w:w="61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E2E5"/>
              <w:left w:val="single" w:sz="4" w:color="D9E2E5"/>
              <w:bottom w:val="single" w:sz="4" w:color="D9E2E5"/>
              <w:right w:val="single" w:sz="4" w:color="D9E2E5"/>
            </w:tcBorders>
            <w:shd w:fill="F5F7F8"/>
          </w:tcPr>
          <w:p>
            <w:pPr>
              <w:spacing w:before="0" w:after="0"/>
            </w:pPr>
            <w:r>
              <w:rPr>
                <w:rFonts w:ascii="Aptos" w:hAnsi="Aptos"/>
                <w:sz w:val="16"/>
              </w:rPr>
              <w:t>Use published turnover tiers + selected rental add-ons</w:t>
            </w:r>
          </w:p>
        </w:tc>
      </w:tr>
      <w:tr>
        <w:tc>
          <w:tcPr>
            <w:tcW w:type="dxa" w:w="388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E2E5"/>
              <w:left w:val="single" w:sz="4" w:color="D9E2E5"/>
              <w:bottom w:val="single" w:sz="4" w:color="D9E2E5"/>
              <w:right w:val="single" w:sz="4" w:color="D9E2E5"/>
            </w:tcBorders>
          </w:tcPr>
          <w:p>
            <w:pPr>
              <w:spacing w:before="0" w:after="0"/>
            </w:pPr>
            <w:r>
              <w:rPr>
                <w:rFonts w:ascii="Aptos" w:hAnsi="Aptos"/>
                <w:sz w:val="16"/>
              </w:rPr>
              <w:t>Commercial</w:t>
            </w:r>
          </w:p>
        </w:tc>
        <w:tc>
          <w:tcPr>
            <w:tcW w:type="dxa" w:w="61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E2E5"/>
              <w:left w:val="single" w:sz="4" w:color="D9E2E5"/>
              <w:bottom w:val="single" w:sz="4" w:color="D9E2E5"/>
              <w:right w:val="single" w:sz="4" w:color="D9E2E5"/>
            </w:tcBorders>
          </w:tcPr>
          <w:p>
            <w:pPr>
              <w:spacing w:before="0" w:after="0"/>
            </w:pPr>
            <w:r>
              <w:rPr>
                <w:rFonts w:ascii="Aptos" w:hAnsi="Aptos"/>
                <w:sz w:val="16"/>
              </w:rPr>
              <w:t>Show Custom quote; do not expose internal per-sq-ft rate card</w:t>
            </w:r>
          </w:p>
        </w:tc>
      </w:tr>
    </w:tbl>
    <w:p>
      <w:pPr>
        <w:ind w:left="288" w:hanging="173"/>
      </w:pPr>
      <w:r>
        <w:rPr>
          <w:b/>
          <w:color w:val="C94F68"/>
        </w:rPr>
        <w:t xml:space="preserve">• </w:t>
      </w:r>
      <w:r>
        <w:t>Customer inputs: service, bedrooms, full bathrooms, half bathrooms if needed, approximate square footage, frequency, and selected add-ons.</w:t>
      </w:r>
    </w:p>
    <w:p>
      <w:pPr>
        <w:ind w:left="288" w:hanging="173"/>
      </w:pPr>
      <w:r>
        <w:rPr>
          <w:b/>
          <w:color w:val="C94F68"/>
        </w:rPr>
        <w:t xml:space="preserve">• </w:t>
      </w:r>
      <w:r>
        <w:t>Show the result as an estimate and state that scope, price, and availability are confirmed before booking.</w:t>
      </w:r>
    </w:p>
    <w:p>
      <w:pPr>
        <w:ind w:left="288" w:hanging="173"/>
      </w:pPr>
      <w:r>
        <w:rPr>
          <w:b/>
          <w:color w:val="C94F68"/>
        </w:rPr>
        <w:t xml:space="preserve">• </w:t>
      </w:r>
      <w:r>
        <w:t>Store the displayed estimate in the quote-form submission so Beachline sees exactly what the customer saw.</w:t>
      </w:r>
    </w:p>
    <w:p>
      <w:pPr>
        <w:ind w:left="288" w:hanging="173"/>
      </w:pPr>
      <w:r>
        <w:rPr>
          <w:b/>
          <w:color w:val="C94F68"/>
        </w:rPr>
        <w:t xml:space="preserve">• </w:t>
      </w:r>
      <w:r>
        <w:t>Unsupported size/layout/condition states must switch to Custom quote rather than returning a misleading number.</w:t>
      </w:r>
    </w:p>
    <w:p>
      <w:pPr>
        <w:ind w:left="288" w:hanging="173"/>
      </w:pPr>
      <w:r>
        <w:rPr>
          <w:b/>
          <w:color w:val="C94F68"/>
        </w:rPr>
        <w:t xml:space="preserve">• </w:t>
      </w:r>
      <w:r>
        <w:t>Do not expose the detailed formula or a long surcharge list to customers.</w:t>
      </w:r>
    </w:p>
    <w:p>
      <w:pPr>
        <w:pStyle w:val="Heading1"/>
      </w:pPr>
      <w:r>
        <w:t>9. Review Trigger</w:t>
      </w:r>
    </w:p>
    <w:p>
      <w:r>
        <w:t>Treat these rates as the launch pricing model. After approximately 10–20 completed jobs across multiple service types, compare actual labor-hours, travel time, supplies, and callbacks against the $60/labor-hour sanity-check floor. Adjust formulas only from real job data rather than competitor prices alone.</w:t>
      </w:r>
    </w:p>
    <w:p>
      <w:pPr>
        <w:pStyle w:val="Heading1"/>
      </w:pPr>
      <w:r>
        <w:t>10. Market &amp; Tax References</w:t>
      </w:r>
    </w:p>
    <w:p>
      <w:r>
        <w:rPr>
          <w:b/>
        </w:rPr>
        <w:t xml:space="preserve">Sources checked October 4, 2026. </w:t>
      </w:r>
      <w:r>
        <w:t>Competitor scope is not necessarily equivalent to Beachline scope; market sources are used as benchmarks, not copied rate cards.</w:t>
      </w:r>
    </w:p>
    <w:p>
      <w:pPr>
        <w:spacing w:after="40"/>
      </w:pPr>
      <w:r>
        <w:t xml:space="preserve">1. TotalCare Cleaning — Cocoa Beach house/deep/move pricing: </w:t>
      </w:r>
      <w:hyperlink r:id="rId11">
        <w:r>
          <w:rPr>
            <w:color w:val="1F7A8C"/>
            <w:u w:val="single"/>
          </w:rPr>
          <w:t>https://www.totalcarecleaning.com/space-coast/cocoa-beach-house-cleaning</w:t>
        </w:r>
      </w:hyperlink>
    </w:p>
    <w:p>
      <w:pPr>
        <w:spacing w:after="40"/>
      </w:pPr>
      <w:r>
        <w:t xml:space="preserve">2. Cleaning Services by Jaime Krischik — local recurring and add-on pricing: </w:t>
      </w:r>
      <w:hyperlink r:id="rId12">
        <w:r>
          <w:rPr>
            <w:color w:val="1F7A8C"/>
            <w:u w:val="single"/>
          </w:rPr>
          <w:t>https://jaimecleans.com/</w:t>
        </w:r>
      </w:hyperlink>
    </w:p>
    <w:p>
      <w:pPr>
        <w:spacing w:after="40"/>
      </w:pPr>
      <w:r>
        <w:t xml:space="preserve">3. TurnFlow — Florida vacation-rental turnover pricing: </w:t>
      </w:r>
      <w:hyperlink r:id="rId13">
        <w:r>
          <w:rPr>
            <w:color w:val="1F7A8C"/>
            <w:u w:val="single"/>
          </w:rPr>
          <w:t>https://turnflowfl.com/</w:t>
        </w:r>
      </w:hyperlink>
    </w:p>
    <w:p>
      <w:pPr>
        <w:spacing w:after="40"/>
      </w:pPr>
      <w:r>
        <w:t xml:space="preserve">4. SPRUCY — Cocoa Beach / multi-market STR turnover pricing: </w:t>
      </w:r>
      <w:hyperlink r:id="rId14">
        <w:r>
          <w:rPr>
            <w:color w:val="1F7A8C"/>
            <w:u w:val="single"/>
          </w:rPr>
          <w:t>https://sprucyclean.com/</w:t>
        </w:r>
      </w:hyperlink>
    </w:p>
    <w:p>
      <w:pPr>
        <w:spacing w:after="40"/>
      </w:pPr>
      <w:r>
        <w:t xml:space="preserve">5. Lopes Services — Cape Canaveral turnover starting price: </w:t>
      </w:r>
      <w:hyperlink r:id="rId15">
        <w:r>
          <w:rPr>
            <w:color w:val="1F7A8C"/>
            <w:u w:val="single"/>
          </w:rPr>
          <w:t>https://lopesservices.net/services/airbnb-turnover-cleaning</w:t>
        </w:r>
      </w:hyperlink>
    </w:p>
    <w:p>
      <w:pPr>
        <w:spacing w:after="40"/>
      </w:pPr>
      <w:r>
        <w:t xml:space="preserve">6. CleanFlorida — vacation-rental restocking fee: </w:t>
      </w:r>
      <w:hyperlink r:id="rId16">
        <w:r>
          <w:rPr>
            <w:color w:val="1F7A8C"/>
            <w:u w:val="single"/>
          </w:rPr>
          <w:t>https://clean-florida.com/vacation-rental-cleaning-services/</w:t>
        </w:r>
      </w:hyperlink>
    </w:p>
    <w:p>
      <w:pPr>
        <w:spacing w:after="40"/>
      </w:pPr>
      <w:r>
        <w:t xml:space="preserve">7. Mint Maids — vacation-rental laundry pricing: </w:t>
      </w:r>
      <w:hyperlink r:id="rId17">
        <w:r>
          <w:rPr>
            <w:color w:val="1F7A8C"/>
            <w:u w:val="single"/>
          </w:rPr>
          <w:t>https://themintmaids.com/services/vacation-rental-cleaning</w:t>
        </w:r>
      </w:hyperlink>
    </w:p>
    <w:p>
      <w:pPr>
        <w:spacing w:after="40"/>
      </w:pPr>
      <w:r>
        <w:t xml:space="preserve">8. Bethel J Cleaning — Florida commercial / office pricing: </w:t>
      </w:r>
      <w:hyperlink r:id="rId18">
        <w:r>
          <w:rPr>
            <w:color w:val="1F7A8C"/>
            <w:u w:val="single"/>
          </w:rPr>
          <w:t>https://betheljcleaningservices.com/</w:t>
        </w:r>
      </w:hyperlink>
    </w:p>
    <w:p>
      <w:pPr>
        <w:spacing w:after="40"/>
      </w:pPr>
      <w:r>
        <w:t xml:space="preserve">9. Florida Department of Revenue — Sales and Use Tax on Cleaning Services: </w:t>
      </w:r>
      <w:hyperlink r:id="rId19">
        <w:r>
          <w:rPr>
            <w:color w:val="1F7A8C"/>
            <w:u w:val="single"/>
          </w:rPr>
          <w:t>https://floridarevenue.com/forms_library/current/gt800015.pdf</w:t>
        </w:r>
      </w:hyperlink>
    </w:p>
    <w:p>
      <w:pPr>
        <w:spacing w:after="40"/>
      </w:pPr>
      <w:r>
        <w:t xml:space="preserve">10. Florida Department of Revenue — current discretionary surtax rate table: </w:t>
      </w:r>
      <w:hyperlink r:id="rId20">
        <w:r>
          <w:rPr>
            <w:color w:val="1F7A8C"/>
            <w:u w:val="single"/>
          </w:rPr>
          <w:t>https://pointmatch.floridarevenue.com/General/DiscretionarySalesSurtaxRates.aspx/DiscretionarySalesSurtaxRates.aspx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A6973"/>
        <w:sz w:val="16"/>
      </w:rPr>
      <w:t>Beachline Cleaners Pricing Framework · Final v2 · October 4,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1F7A8C"/>
        <w:sz w:val="16"/>
      </w:rPr>
      <w:t>BEACHLINE CLEANERS  /  INTERNAL PRICING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4" w:lineRule="auto"/>
    </w:pPr>
    <w:rPr>
      <w:rFonts w:ascii="Aptos" w:hAnsi="Aptos"/>
      <w:color w:val="22313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3B57"/>
      <w:sz w:val="3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1F7A8C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Aptos" w:hAnsi="Aptos"/>
      <w:b/>
      <w:bCs/>
      <w:color w:val="123B5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3B57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totalcarecleaning.com/space-coast/cocoa-beach-house-cleaning" TargetMode="External"/><Relationship Id="rId12" Type="http://schemas.openxmlformats.org/officeDocument/2006/relationships/hyperlink" Target="https://jaimecleans.com/" TargetMode="External"/><Relationship Id="rId13" Type="http://schemas.openxmlformats.org/officeDocument/2006/relationships/hyperlink" Target="https://turnflowfl.com/" TargetMode="External"/><Relationship Id="rId14" Type="http://schemas.openxmlformats.org/officeDocument/2006/relationships/hyperlink" Target="https://sprucyclean.com/" TargetMode="External"/><Relationship Id="rId15" Type="http://schemas.openxmlformats.org/officeDocument/2006/relationships/hyperlink" Target="https://lopesservices.net/services/airbnb-turnover-cleaning" TargetMode="External"/><Relationship Id="rId16" Type="http://schemas.openxmlformats.org/officeDocument/2006/relationships/hyperlink" Target="https://clean-florida.com/vacation-rental-cleaning-services/" TargetMode="External"/><Relationship Id="rId17" Type="http://schemas.openxmlformats.org/officeDocument/2006/relationships/hyperlink" Target="https://themintmaids.com/services/vacation-rental-cleaning" TargetMode="External"/><Relationship Id="rId18" Type="http://schemas.openxmlformats.org/officeDocument/2006/relationships/hyperlink" Target="https://betheljcleaningservices.com/" TargetMode="External"/><Relationship Id="rId19" Type="http://schemas.openxmlformats.org/officeDocument/2006/relationships/hyperlink" Target="https://floridarevenue.com/forms_library/current/gt800015.pdf" TargetMode="External"/><Relationship Id="rId20" Type="http://schemas.openxmlformats.org/officeDocument/2006/relationships/hyperlink" Target="https://pointmatch.floridarevenue.com/General/DiscretionarySalesSurtaxRates.aspx/DiscretionarySalesSurtaxRates.asp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