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1CF1C" w14:textId="77777777" w:rsidR="00165E1D" w:rsidRDefault="00165E1D" w:rsidP="00783B4C">
      <w:pPr>
        <w:jc w:val="both"/>
        <w:rPr>
          <w:b/>
          <w:bCs/>
          <w:sz w:val="32"/>
          <w:szCs w:val="32"/>
          <w:lang w:val="en-US"/>
        </w:rPr>
      </w:pPr>
      <w:r w:rsidRPr="00E113A2">
        <w:rPr>
          <w:b/>
          <w:bCs/>
          <w:sz w:val="32"/>
          <w:szCs w:val="32"/>
          <w:lang w:val="en-US"/>
        </w:rPr>
        <w:t>Supplementary material</w:t>
      </w:r>
    </w:p>
    <w:p w14:paraId="415B0A66" w14:textId="49E2EE0A" w:rsidR="00DC5D72" w:rsidRPr="00EB5AD1" w:rsidRDefault="004B57A8" w:rsidP="009E5E42">
      <w:pPr>
        <w:rPr>
          <w:lang w:val="en-US"/>
        </w:rPr>
      </w:pPr>
      <w:r w:rsidRPr="00EB5AD1">
        <w:rPr>
          <w:lang w:val="en-US"/>
        </w:rPr>
        <w:t xml:space="preserve">Manuscript: </w:t>
      </w:r>
      <w:r w:rsidR="002C008C" w:rsidRPr="002C008C">
        <w:rPr>
          <w:lang w:val="en-US"/>
        </w:rPr>
        <w:t>Trends in Infection Incidence and Antimicrobial Resistance in the US Veterans Affairs Healthcare System: A Nationwide Retrospective Cohort Study (2007-2022)</w:t>
      </w:r>
    </w:p>
    <w:p w14:paraId="6101A2D1" w14:textId="6A751845" w:rsidR="005F7155" w:rsidRPr="0065657A" w:rsidRDefault="005F7155" w:rsidP="00532601">
      <w:pPr>
        <w:rPr>
          <w:sz w:val="21"/>
          <w:szCs w:val="21"/>
          <w:vertAlign w:val="superscript"/>
          <w:lang w:val="en-US" w:eastAsia="en-GB"/>
        </w:rPr>
      </w:pPr>
      <w:bookmarkStart w:id="0" w:name="_Toc165897550"/>
      <w:bookmarkStart w:id="1" w:name="_Toc166574696"/>
      <w:bookmarkStart w:id="2" w:name="_Toc166836768"/>
      <w:r w:rsidRPr="0065657A">
        <w:rPr>
          <w:sz w:val="21"/>
          <w:szCs w:val="21"/>
          <w:lang w:val="en-US" w:eastAsia="en-GB"/>
        </w:rPr>
        <w:t>Thi Mui Pham, PhD</w:t>
      </w:r>
      <w:r w:rsidRPr="0065657A">
        <w:rPr>
          <w:sz w:val="21"/>
          <w:szCs w:val="21"/>
          <w:vertAlign w:val="superscript"/>
          <w:lang w:val="en-US" w:eastAsia="en-GB"/>
        </w:rPr>
        <w:t>1,2,5</w:t>
      </w:r>
      <w:r w:rsidRPr="0065657A">
        <w:rPr>
          <w:sz w:val="21"/>
          <w:szCs w:val="21"/>
          <w:lang w:val="en-US" w:eastAsia="en-GB"/>
        </w:rPr>
        <w:t>, Yue Zhang, PhD</w:t>
      </w:r>
      <w:r w:rsidRPr="0065657A">
        <w:rPr>
          <w:sz w:val="21"/>
          <w:szCs w:val="21"/>
          <w:vertAlign w:val="superscript"/>
          <w:lang w:val="en-US" w:eastAsia="en-GB"/>
        </w:rPr>
        <w:t>3</w:t>
      </w:r>
      <w:r w:rsidRPr="0065657A">
        <w:rPr>
          <w:sz w:val="21"/>
          <w:szCs w:val="21"/>
          <w:lang w:val="en-US" w:eastAsia="en-GB"/>
        </w:rPr>
        <w:t>, McKenna Nevers, MS</w:t>
      </w:r>
      <w:r w:rsidRPr="0065657A">
        <w:rPr>
          <w:sz w:val="21"/>
          <w:szCs w:val="21"/>
          <w:vertAlign w:val="superscript"/>
          <w:lang w:val="en-US" w:eastAsia="en-GB"/>
        </w:rPr>
        <w:t>3,4</w:t>
      </w:r>
      <w:r w:rsidRPr="0065657A">
        <w:rPr>
          <w:sz w:val="21"/>
          <w:szCs w:val="21"/>
          <w:lang w:val="en-US" w:eastAsia="en-GB"/>
        </w:rPr>
        <w:t>, Haojia Li, MS</w:t>
      </w:r>
      <w:r w:rsidRPr="0065657A">
        <w:rPr>
          <w:sz w:val="21"/>
          <w:szCs w:val="21"/>
          <w:vertAlign w:val="superscript"/>
          <w:lang w:val="en-US" w:eastAsia="en-GB"/>
        </w:rPr>
        <w:t>3</w:t>
      </w:r>
      <w:r w:rsidRPr="0065657A">
        <w:rPr>
          <w:sz w:val="21"/>
          <w:szCs w:val="21"/>
          <w:lang w:val="en-US" w:eastAsia="en-GB"/>
        </w:rPr>
        <w:t>, Karim Khader, PhD</w:t>
      </w:r>
      <w:r w:rsidRPr="0065657A">
        <w:rPr>
          <w:sz w:val="21"/>
          <w:szCs w:val="21"/>
          <w:vertAlign w:val="superscript"/>
          <w:lang w:val="en-US" w:eastAsia="en-GB"/>
        </w:rPr>
        <w:t>3,4</w:t>
      </w:r>
      <w:r w:rsidRPr="0065657A">
        <w:rPr>
          <w:sz w:val="21"/>
          <w:szCs w:val="21"/>
          <w:lang w:val="en-US" w:eastAsia="en-GB"/>
        </w:rPr>
        <w:t>, Yonatan H. Grad, MD</w:t>
      </w:r>
      <w:r w:rsidR="00260541">
        <w:rPr>
          <w:sz w:val="21"/>
          <w:szCs w:val="21"/>
          <w:lang w:val="en-US" w:eastAsia="en-GB"/>
        </w:rPr>
        <w:t>, Prof</w:t>
      </w:r>
      <w:r w:rsidRPr="0065657A">
        <w:rPr>
          <w:sz w:val="21"/>
          <w:szCs w:val="21"/>
          <w:vertAlign w:val="superscript"/>
          <w:lang w:val="en-US" w:eastAsia="en-GB"/>
        </w:rPr>
        <w:t>2,5</w:t>
      </w:r>
      <w:r w:rsidRPr="0065657A">
        <w:rPr>
          <w:sz w:val="21"/>
          <w:szCs w:val="21"/>
          <w:lang w:val="en-US" w:eastAsia="en-GB"/>
        </w:rPr>
        <w:t>, Marc Lipsitch, DPhil</w:t>
      </w:r>
      <w:r w:rsidR="00260541">
        <w:rPr>
          <w:sz w:val="21"/>
          <w:szCs w:val="21"/>
          <w:lang w:val="en-US" w:eastAsia="en-GB"/>
        </w:rPr>
        <w:t>, Prof</w:t>
      </w:r>
      <w:r w:rsidRPr="0065657A">
        <w:rPr>
          <w:sz w:val="21"/>
          <w:szCs w:val="21"/>
          <w:vertAlign w:val="superscript"/>
          <w:lang w:val="en-US" w:eastAsia="en-GB"/>
        </w:rPr>
        <w:t>1,2</w:t>
      </w:r>
      <w:r w:rsidRPr="0065657A">
        <w:rPr>
          <w:sz w:val="21"/>
          <w:szCs w:val="21"/>
          <w:lang w:val="en-US" w:eastAsia="en-GB"/>
        </w:rPr>
        <w:t>, Matthew Samore, MD</w:t>
      </w:r>
      <w:r w:rsidR="00260541">
        <w:rPr>
          <w:sz w:val="21"/>
          <w:szCs w:val="21"/>
          <w:lang w:val="en-US" w:eastAsia="en-GB"/>
        </w:rPr>
        <w:t>, Prof</w:t>
      </w:r>
      <w:r w:rsidRPr="0065657A">
        <w:rPr>
          <w:sz w:val="21"/>
          <w:szCs w:val="21"/>
          <w:vertAlign w:val="superscript"/>
          <w:lang w:val="en-US" w:eastAsia="en-GB"/>
        </w:rPr>
        <w:t>3,4</w:t>
      </w:r>
      <w:bookmarkEnd w:id="0"/>
      <w:bookmarkEnd w:id="1"/>
      <w:bookmarkEnd w:id="2"/>
    </w:p>
    <w:p w14:paraId="16D00432" w14:textId="77777777" w:rsidR="005F7155" w:rsidRPr="00B338D0" w:rsidRDefault="005F7155" w:rsidP="009E5E42">
      <w:pPr>
        <w:rPr>
          <w:rFonts w:eastAsia="Times New Roman" w:cstheme="minorHAnsi"/>
          <w:color w:val="000000" w:themeColor="text1"/>
          <w:lang w:val="en-US" w:eastAsia="en-GB"/>
        </w:rPr>
      </w:pPr>
    </w:p>
    <w:p w14:paraId="453DA497" w14:textId="77777777" w:rsidR="005F7155" w:rsidRPr="00B47494" w:rsidRDefault="005F7155" w:rsidP="009E5E42">
      <w:pPr>
        <w:rPr>
          <w:rFonts w:cstheme="minorHAnsi"/>
          <w:sz w:val="21"/>
          <w:szCs w:val="21"/>
        </w:rPr>
      </w:pPr>
      <w:bookmarkStart w:id="3" w:name="_Toc165897551"/>
      <w:bookmarkStart w:id="4" w:name="_Toc166574697"/>
      <w:bookmarkStart w:id="5" w:name="_Toc166836769"/>
      <w:r w:rsidRPr="00B47494">
        <w:rPr>
          <w:rFonts w:cstheme="minorHAnsi"/>
          <w:sz w:val="21"/>
          <w:szCs w:val="21"/>
          <w:vertAlign w:val="superscript"/>
        </w:rPr>
        <w:t xml:space="preserve">1 </w:t>
      </w:r>
      <w:r w:rsidRPr="00B47494">
        <w:rPr>
          <w:rFonts w:cstheme="minorHAnsi"/>
          <w:sz w:val="21"/>
          <w:szCs w:val="21"/>
        </w:rPr>
        <w:t>Department of Epidemiology, Harvard T.H. Chan School of Public Health</w:t>
      </w:r>
      <w:bookmarkEnd w:id="3"/>
      <w:bookmarkEnd w:id="4"/>
      <w:bookmarkEnd w:id="5"/>
    </w:p>
    <w:p w14:paraId="68E0180F" w14:textId="77777777" w:rsidR="005F7155" w:rsidRPr="00B47494" w:rsidRDefault="005F7155" w:rsidP="009E5E42">
      <w:pPr>
        <w:rPr>
          <w:rFonts w:cstheme="minorHAnsi"/>
          <w:sz w:val="21"/>
          <w:szCs w:val="21"/>
        </w:rPr>
      </w:pPr>
      <w:bookmarkStart w:id="6" w:name="_Toc165897552"/>
      <w:bookmarkStart w:id="7" w:name="_Toc166574698"/>
      <w:bookmarkStart w:id="8" w:name="_Toc166836770"/>
      <w:r w:rsidRPr="00B47494">
        <w:rPr>
          <w:rFonts w:cstheme="minorHAnsi"/>
          <w:sz w:val="21"/>
          <w:szCs w:val="21"/>
          <w:vertAlign w:val="superscript"/>
        </w:rPr>
        <w:t>2</w:t>
      </w:r>
      <w:r w:rsidRPr="00B47494">
        <w:rPr>
          <w:rFonts w:cstheme="minorHAnsi"/>
          <w:sz w:val="21"/>
          <w:szCs w:val="21"/>
        </w:rPr>
        <w:t xml:space="preserve"> </w:t>
      </w:r>
      <w:proofErr w:type="spellStart"/>
      <w:r w:rsidRPr="00B47494">
        <w:rPr>
          <w:rFonts w:cstheme="minorHAnsi"/>
          <w:sz w:val="21"/>
          <w:szCs w:val="21"/>
        </w:rPr>
        <w:t>Center</w:t>
      </w:r>
      <w:proofErr w:type="spellEnd"/>
      <w:r w:rsidRPr="00B47494">
        <w:rPr>
          <w:rFonts w:cstheme="minorHAnsi"/>
          <w:sz w:val="21"/>
          <w:szCs w:val="21"/>
        </w:rPr>
        <w:t xml:space="preserve"> for Communicable Disease Dynamics, Harvard T.H. Chan School of Public Health</w:t>
      </w:r>
      <w:bookmarkEnd w:id="6"/>
      <w:bookmarkEnd w:id="7"/>
      <w:bookmarkEnd w:id="8"/>
    </w:p>
    <w:p w14:paraId="7807E42B" w14:textId="77777777" w:rsidR="005F7155" w:rsidRPr="00B47494" w:rsidRDefault="005F7155" w:rsidP="009E5E42">
      <w:pPr>
        <w:rPr>
          <w:rFonts w:cstheme="minorHAnsi"/>
          <w:sz w:val="21"/>
          <w:szCs w:val="21"/>
        </w:rPr>
      </w:pPr>
      <w:bookmarkStart w:id="9" w:name="_Toc165897553"/>
      <w:bookmarkStart w:id="10" w:name="_Toc166574699"/>
      <w:bookmarkStart w:id="11" w:name="_Toc166836771"/>
      <w:r w:rsidRPr="00B47494">
        <w:rPr>
          <w:rFonts w:cstheme="minorHAnsi"/>
          <w:sz w:val="21"/>
          <w:szCs w:val="21"/>
          <w:vertAlign w:val="superscript"/>
        </w:rPr>
        <w:t xml:space="preserve">3 </w:t>
      </w:r>
      <w:r w:rsidRPr="00B47494">
        <w:rPr>
          <w:rFonts w:cstheme="minorHAnsi"/>
          <w:sz w:val="21"/>
          <w:szCs w:val="21"/>
        </w:rPr>
        <w:t>Department of Internal Medicine, Division of Epidemiology, Spencer Fox Eccles School of Medicine, University of Utah,</w:t>
      </w:r>
      <w:bookmarkEnd w:id="9"/>
      <w:bookmarkEnd w:id="10"/>
      <w:bookmarkEnd w:id="11"/>
      <w:r w:rsidRPr="00B47494">
        <w:rPr>
          <w:rFonts w:cstheme="minorHAnsi"/>
          <w:sz w:val="21"/>
          <w:szCs w:val="21"/>
        </w:rPr>
        <w:t xml:space="preserve"> </w:t>
      </w:r>
    </w:p>
    <w:p w14:paraId="61C934F6" w14:textId="77777777" w:rsidR="005F7155" w:rsidRPr="00B47494" w:rsidRDefault="005F7155" w:rsidP="009E5E42">
      <w:pPr>
        <w:rPr>
          <w:rFonts w:eastAsia="Times New Roman" w:cstheme="minorHAnsi"/>
          <w:color w:val="000000" w:themeColor="text1"/>
          <w:sz w:val="21"/>
          <w:szCs w:val="21"/>
          <w:lang w:val="en-US" w:eastAsia="en-GB"/>
        </w:rPr>
      </w:pPr>
      <w:bookmarkStart w:id="12" w:name="_Toc165897554"/>
      <w:bookmarkStart w:id="13" w:name="_Toc166574700"/>
      <w:bookmarkStart w:id="14" w:name="_Toc166836772"/>
      <w:r w:rsidRPr="00B47494">
        <w:rPr>
          <w:rFonts w:eastAsia="Times New Roman" w:cstheme="minorHAnsi"/>
          <w:color w:val="000000" w:themeColor="text1"/>
          <w:sz w:val="21"/>
          <w:szCs w:val="21"/>
          <w:vertAlign w:val="superscript"/>
          <w:lang w:val="en-US" w:eastAsia="en-GB"/>
        </w:rPr>
        <w:t xml:space="preserve">4 </w:t>
      </w:r>
      <w:r w:rsidRPr="00B47494">
        <w:rPr>
          <w:rFonts w:eastAsia="Times New Roman" w:cstheme="minorHAnsi"/>
          <w:color w:val="000000" w:themeColor="text1"/>
          <w:sz w:val="21"/>
          <w:szCs w:val="21"/>
          <w:lang w:val="en-US" w:eastAsia="en-GB"/>
        </w:rPr>
        <w:t>IDEAS Center of Innovation, Veterans Affairs Salt Lake City Health Care System, Salt Lake City, Utah</w:t>
      </w:r>
      <w:bookmarkEnd w:id="12"/>
      <w:bookmarkEnd w:id="13"/>
      <w:bookmarkEnd w:id="14"/>
    </w:p>
    <w:p w14:paraId="7F01BE92" w14:textId="77777777" w:rsidR="005F7155" w:rsidRPr="00B47494" w:rsidRDefault="005F7155" w:rsidP="009E5E42">
      <w:pPr>
        <w:rPr>
          <w:rFonts w:eastAsia="Times New Roman" w:cstheme="minorHAnsi"/>
          <w:color w:val="000000" w:themeColor="text1"/>
          <w:sz w:val="21"/>
          <w:szCs w:val="21"/>
          <w:lang w:val="en-US" w:eastAsia="en-GB"/>
        </w:rPr>
      </w:pPr>
      <w:bookmarkStart w:id="15" w:name="_Toc165897555"/>
      <w:bookmarkStart w:id="16" w:name="_Toc166574701"/>
      <w:bookmarkStart w:id="17" w:name="_Toc166836773"/>
      <w:r w:rsidRPr="00B47494">
        <w:rPr>
          <w:rFonts w:eastAsia="Times New Roman" w:cstheme="minorHAnsi"/>
          <w:color w:val="000000" w:themeColor="text1"/>
          <w:sz w:val="21"/>
          <w:szCs w:val="21"/>
          <w:vertAlign w:val="superscript"/>
          <w:lang w:val="en-US" w:eastAsia="en-GB"/>
        </w:rPr>
        <w:t xml:space="preserve">5 </w:t>
      </w:r>
      <w:r w:rsidRPr="00B47494">
        <w:rPr>
          <w:rFonts w:eastAsia="Times New Roman" w:cstheme="minorHAnsi"/>
          <w:color w:val="000000" w:themeColor="text1"/>
          <w:sz w:val="21"/>
          <w:szCs w:val="21"/>
          <w:lang w:val="en-US" w:eastAsia="en-GB"/>
        </w:rPr>
        <w:t xml:space="preserve">Department of Immunology and Infectious diseases, </w:t>
      </w:r>
      <w:r w:rsidRPr="00B47494">
        <w:rPr>
          <w:rFonts w:cstheme="minorHAnsi"/>
          <w:sz w:val="21"/>
          <w:szCs w:val="21"/>
        </w:rPr>
        <w:t>Harvard T.H. Chan School of Public Health</w:t>
      </w:r>
      <w:bookmarkEnd w:id="15"/>
      <w:bookmarkEnd w:id="16"/>
      <w:bookmarkEnd w:id="17"/>
    </w:p>
    <w:p w14:paraId="0ECE2E6F" w14:textId="77777777" w:rsidR="00EB5AD1" w:rsidRPr="00EB5AD1" w:rsidRDefault="00EB5AD1" w:rsidP="009E5E42">
      <w:pPr>
        <w:rPr>
          <w:rFonts w:eastAsia="Times New Roman" w:cstheme="minorHAnsi"/>
          <w:color w:val="000000" w:themeColor="text1"/>
          <w:lang w:val="en-US" w:eastAsia="en-GB"/>
        </w:rPr>
      </w:pPr>
    </w:p>
    <w:p w14:paraId="5D3F69F9" w14:textId="42FA15BB" w:rsidR="00EB5AD1" w:rsidRDefault="007F269E" w:rsidP="009E5E42">
      <w:pPr>
        <w:rPr>
          <w:rStyle w:val="Hyperlink"/>
          <w:rFonts w:eastAsia="Times New Roman" w:cstheme="minorHAnsi"/>
          <w:sz w:val="21"/>
          <w:szCs w:val="21"/>
          <w:lang w:val="en-US" w:eastAsia="en-GB"/>
        </w:rPr>
      </w:pPr>
      <w:bookmarkStart w:id="18" w:name="_Toc166574702"/>
      <w:bookmarkStart w:id="19" w:name="_Toc165897556"/>
      <w:r w:rsidRPr="00B47494">
        <w:rPr>
          <w:rFonts w:eastAsia="Times New Roman"/>
          <w:color w:val="000000" w:themeColor="text1"/>
          <w:sz w:val="21"/>
          <w:szCs w:val="21"/>
          <w:lang w:val="en-US" w:eastAsia="en-GB"/>
        </w:rPr>
        <w:t xml:space="preserve">Thi Mui Pham, </w:t>
      </w:r>
      <w:r w:rsidRPr="00B47494">
        <w:rPr>
          <w:sz w:val="21"/>
          <w:szCs w:val="21"/>
        </w:rPr>
        <w:t xml:space="preserve">Department of Epidemiology and </w:t>
      </w:r>
      <w:proofErr w:type="spellStart"/>
      <w:r w:rsidRPr="00B47494">
        <w:rPr>
          <w:sz w:val="21"/>
          <w:szCs w:val="21"/>
        </w:rPr>
        <w:t>Center</w:t>
      </w:r>
      <w:proofErr w:type="spellEnd"/>
      <w:r w:rsidRPr="00B47494">
        <w:rPr>
          <w:sz w:val="21"/>
          <w:szCs w:val="21"/>
        </w:rPr>
        <w:t xml:space="preserve"> for Communicable Disease Dynamics, Harvard T.H. Chan School of Public Health, </w:t>
      </w:r>
      <w:r w:rsidRPr="00B47494">
        <w:rPr>
          <w:rFonts w:eastAsia="Times New Roman"/>
          <w:color w:val="000000" w:themeColor="text1"/>
          <w:sz w:val="21"/>
          <w:szCs w:val="21"/>
          <w:lang w:val="en-US" w:eastAsia="en-GB"/>
        </w:rPr>
        <w:t xml:space="preserve">677 Huntington Avenue, 02115 Boston, MA, USA, </w:t>
      </w:r>
      <w:hyperlink r:id="rId8" w:history="1">
        <w:r w:rsidRPr="00B47494">
          <w:rPr>
            <w:rStyle w:val="Hyperlink"/>
            <w:rFonts w:eastAsia="Times New Roman" w:cstheme="minorHAnsi"/>
            <w:sz w:val="21"/>
            <w:szCs w:val="21"/>
            <w:lang w:val="en-US" w:eastAsia="en-GB"/>
          </w:rPr>
          <w:t>tmpham@hsph.harvard.edu</w:t>
        </w:r>
        <w:bookmarkEnd w:id="18"/>
      </w:hyperlink>
      <w:bookmarkEnd w:id="19"/>
    </w:p>
    <w:p w14:paraId="25E0B26D" w14:textId="77777777" w:rsidR="00B47494" w:rsidRDefault="00B47494" w:rsidP="00B47494">
      <w:pPr>
        <w:rPr>
          <w:rStyle w:val="Hyperlink"/>
          <w:rFonts w:eastAsia="Times New Roman" w:cstheme="minorHAnsi"/>
          <w:sz w:val="21"/>
          <w:szCs w:val="21"/>
          <w:lang w:val="en-US" w:eastAsia="en-GB"/>
        </w:rPr>
      </w:pPr>
    </w:p>
    <w:p w14:paraId="58B354B1" w14:textId="77777777" w:rsidR="00B47494" w:rsidRPr="00B47494" w:rsidRDefault="00B47494" w:rsidP="00B47494">
      <w:pPr>
        <w:rPr>
          <w:sz w:val="20"/>
          <w:szCs w:val="20"/>
          <w:lang w:val="en-US"/>
        </w:rPr>
      </w:pPr>
    </w:p>
    <w:sdt>
      <w:sdtPr>
        <w:rPr>
          <w:rFonts w:cstheme="minorBidi"/>
          <w:b w:val="0"/>
          <w:bCs w:val="0"/>
          <w:i w:val="0"/>
          <w:iCs w:val="0"/>
          <w:color w:val="0563C1" w:themeColor="hyperlink"/>
          <w:u w:val="single"/>
        </w:rPr>
        <w:id w:val="-1178274402"/>
        <w:docPartObj>
          <w:docPartGallery w:val="Table of Contents"/>
          <w:docPartUnique/>
        </w:docPartObj>
      </w:sdtPr>
      <w:sdtEndPr>
        <w:rPr>
          <w:noProof/>
        </w:rPr>
      </w:sdtEndPr>
      <w:sdtContent>
        <w:p w14:paraId="017EB734" w14:textId="77777777" w:rsidR="000B53B8" w:rsidRDefault="00733D66">
          <w:pPr>
            <w:pStyle w:val="TOC1"/>
            <w:tabs>
              <w:tab w:val="right" w:leader="dot" w:pos="9016"/>
            </w:tabs>
            <w:rPr>
              <w:sz w:val="28"/>
              <w:szCs w:val="28"/>
            </w:rPr>
          </w:pPr>
          <w:r w:rsidRPr="00B47494">
            <w:rPr>
              <w:sz w:val="28"/>
              <w:szCs w:val="28"/>
            </w:rPr>
            <w:t>Table of Contents</w:t>
          </w:r>
        </w:p>
        <w:p w14:paraId="6C857A84" w14:textId="18B550EC" w:rsidR="004F0F74" w:rsidRDefault="00733D66">
          <w:pPr>
            <w:pStyle w:val="TOC1"/>
            <w:tabs>
              <w:tab w:val="right" w:leader="dot" w:pos="9016"/>
            </w:tabs>
            <w:rPr>
              <w:rFonts w:eastAsiaTheme="minorEastAsia" w:cstheme="minorBidi"/>
              <w:b w:val="0"/>
              <w:bCs w:val="0"/>
              <w:i w:val="0"/>
              <w:iCs w:val="0"/>
              <w:noProof/>
              <w:kern w:val="2"/>
              <w:lang w:eastAsia="en-GB"/>
              <w14:ligatures w14:val="standardContextual"/>
            </w:rPr>
          </w:pPr>
          <w:r w:rsidRPr="00B47494">
            <w:rPr>
              <w:rFonts w:asciiTheme="majorHAnsi" w:eastAsiaTheme="majorEastAsia" w:hAnsiTheme="majorHAnsi"/>
              <w:color w:val="2F5496" w:themeColor="accent1" w:themeShade="BF"/>
              <w:sz w:val="44"/>
              <w:szCs w:val="44"/>
              <w:lang w:val="en-US"/>
            </w:rPr>
            <w:fldChar w:fldCharType="begin"/>
          </w:r>
          <w:r w:rsidRPr="00B47494">
            <w:rPr>
              <w:sz w:val="28"/>
              <w:szCs w:val="28"/>
            </w:rPr>
            <w:instrText xml:space="preserve"> TOC \o "1-3" \h \z \u </w:instrText>
          </w:r>
          <w:r w:rsidRPr="00B47494">
            <w:rPr>
              <w:rFonts w:asciiTheme="majorHAnsi" w:eastAsiaTheme="majorEastAsia" w:hAnsiTheme="majorHAnsi" w:cstheme="minorBidi"/>
              <w:noProof/>
              <w:color w:val="2F5496" w:themeColor="accent1" w:themeShade="BF"/>
              <w:sz w:val="44"/>
              <w:szCs w:val="44"/>
              <w:lang w:val="en-US"/>
            </w:rPr>
            <w:fldChar w:fldCharType="separate"/>
          </w:r>
          <w:hyperlink w:anchor="_Toc169512166" w:history="1">
            <w:r w:rsidR="004F0F74" w:rsidRPr="001F7793">
              <w:rPr>
                <w:rStyle w:val="Hyperlink"/>
                <w:noProof/>
                <w:lang w:val="en-US"/>
              </w:rPr>
              <w:t>S1 Data</w:t>
            </w:r>
            <w:r w:rsidR="004F0F74">
              <w:rPr>
                <w:noProof/>
                <w:webHidden/>
              </w:rPr>
              <w:tab/>
            </w:r>
            <w:r w:rsidR="004F0F74">
              <w:rPr>
                <w:noProof/>
                <w:webHidden/>
              </w:rPr>
              <w:fldChar w:fldCharType="begin"/>
            </w:r>
            <w:r w:rsidR="004F0F74">
              <w:rPr>
                <w:noProof/>
                <w:webHidden/>
              </w:rPr>
              <w:instrText xml:space="preserve"> PAGEREF _Toc169512166 \h </w:instrText>
            </w:r>
            <w:r w:rsidR="004F0F74">
              <w:rPr>
                <w:noProof/>
                <w:webHidden/>
              </w:rPr>
            </w:r>
            <w:r w:rsidR="004F0F74">
              <w:rPr>
                <w:noProof/>
                <w:webHidden/>
              </w:rPr>
              <w:fldChar w:fldCharType="separate"/>
            </w:r>
            <w:r w:rsidR="004F0F74">
              <w:rPr>
                <w:noProof/>
                <w:webHidden/>
              </w:rPr>
              <w:t>2</w:t>
            </w:r>
            <w:r w:rsidR="004F0F74">
              <w:rPr>
                <w:noProof/>
                <w:webHidden/>
              </w:rPr>
              <w:fldChar w:fldCharType="end"/>
            </w:r>
          </w:hyperlink>
        </w:p>
        <w:p w14:paraId="57B9FE0E" w14:textId="37A66828"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67" w:history="1">
            <w:r w:rsidR="004F0F74" w:rsidRPr="001F7793">
              <w:rPr>
                <w:rStyle w:val="Hyperlink"/>
                <w:noProof/>
                <w:lang w:val="en-US"/>
              </w:rPr>
              <w:t>S1.1 Databases</w:t>
            </w:r>
            <w:r w:rsidR="004F0F74">
              <w:rPr>
                <w:noProof/>
                <w:webHidden/>
              </w:rPr>
              <w:tab/>
            </w:r>
            <w:r w:rsidR="004F0F74">
              <w:rPr>
                <w:noProof/>
                <w:webHidden/>
              </w:rPr>
              <w:fldChar w:fldCharType="begin"/>
            </w:r>
            <w:r w:rsidR="004F0F74">
              <w:rPr>
                <w:noProof/>
                <w:webHidden/>
              </w:rPr>
              <w:instrText xml:space="preserve"> PAGEREF _Toc169512167 \h </w:instrText>
            </w:r>
            <w:r w:rsidR="004F0F74">
              <w:rPr>
                <w:noProof/>
                <w:webHidden/>
              </w:rPr>
            </w:r>
            <w:r w:rsidR="004F0F74">
              <w:rPr>
                <w:noProof/>
                <w:webHidden/>
              </w:rPr>
              <w:fldChar w:fldCharType="separate"/>
            </w:r>
            <w:r w:rsidR="004F0F74">
              <w:rPr>
                <w:noProof/>
                <w:webHidden/>
              </w:rPr>
              <w:t>2</w:t>
            </w:r>
            <w:r w:rsidR="004F0F74">
              <w:rPr>
                <w:noProof/>
                <w:webHidden/>
              </w:rPr>
              <w:fldChar w:fldCharType="end"/>
            </w:r>
          </w:hyperlink>
        </w:p>
        <w:p w14:paraId="155452B4" w14:textId="286D2E3C"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68" w:history="1">
            <w:r w:rsidR="004F0F74" w:rsidRPr="001F7793">
              <w:rPr>
                <w:rStyle w:val="Hyperlink"/>
                <w:noProof/>
                <w:lang w:val="en-US"/>
              </w:rPr>
              <w:t>S1.2 VA facility complexity model</w:t>
            </w:r>
            <w:r w:rsidR="004F0F74">
              <w:rPr>
                <w:noProof/>
                <w:webHidden/>
              </w:rPr>
              <w:tab/>
            </w:r>
            <w:r w:rsidR="004F0F74">
              <w:rPr>
                <w:noProof/>
                <w:webHidden/>
              </w:rPr>
              <w:fldChar w:fldCharType="begin"/>
            </w:r>
            <w:r w:rsidR="004F0F74">
              <w:rPr>
                <w:noProof/>
                <w:webHidden/>
              </w:rPr>
              <w:instrText xml:space="preserve"> PAGEREF _Toc169512168 \h </w:instrText>
            </w:r>
            <w:r w:rsidR="004F0F74">
              <w:rPr>
                <w:noProof/>
                <w:webHidden/>
              </w:rPr>
            </w:r>
            <w:r w:rsidR="004F0F74">
              <w:rPr>
                <w:noProof/>
                <w:webHidden/>
              </w:rPr>
              <w:fldChar w:fldCharType="separate"/>
            </w:r>
            <w:r w:rsidR="004F0F74">
              <w:rPr>
                <w:noProof/>
                <w:webHidden/>
              </w:rPr>
              <w:t>4</w:t>
            </w:r>
            <w:r w:rsidR="004F0F74">
              <w:rPr>
                <w:noProof/>
                <w:webHidden/>
              </w:rPr>
              <w:fldChar w:fldCharType="end"/>
            </w:r>
          </w:hyperlink>
        </w:p>
        <w:p w14:paraId="5EF58148" w14:textId="3ECB169F"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69" w:history="1">
            <w:r w:rsidR="004F0F74" w:rsidRPr="001F7793">
              <w:rPr>
                <w:rStyle w:val="Hyperlink"/>
                <w:noProof/>
                <w:lang w:val="en-US"/>
              </w:rPr>
              <w:t>S1.3 Data on geography</w:t>
            </w:r>
            <w:r w:rsidR="004F0F74">
              <w:rPr>
                <w:noProof/>
                <w:webHidden/>
              </w:rPr>
              <w:tab/>
            </w:r>
            <w:r w:rsidR="004F0F74">
              <w:rPr>
                <w:noProof/>
                <w:webHidden/>
              </w:rPr>
              <w:fldChar w:fldCharType="begin"/>
            </w:r>
            <w:r w:rsidR="004F0F74">
              <w:rPr>
                <w:noProof/>
                <w:webHidden/>
              </w:rPr>
              <w:instrText xml:space="preserve"> PAGEREF _Toc169512169 \h </w:instrText>
            </w:r>
            <w:r w:rsidR="004F0F74">
              <w:rPr>
                <w:noProof/>
                <w:webHidden/>
              </w:rPr>
            </w:r>
            <w:r w:rsidR="004F0F74">
              <w:rPr>
                <w:noProof/>
                <w:webHidden/>
              </w:rPr>
              <w:fldChar w:fldCharType="separate"/>
            </w:r>
            <w:r w:rsidR="004F0F74">
              <w:rPr>
                <w:noProof/>
                <w:webHidden/>
              </w:rPr>
              <w:t>4</w:t>
            </w:r>
            <w:r w:rsidR="004F0F74">
              <w:rPr>
                <w:noProof/>
                <w:webHidden/>
              </w:rPr>
              <w:fldChar w:fldCharType="end"/>
            </w:r>
          </w:hyperlink>
        </w:p>
        <w:p w14:paraId="0B6D8259" w14:textId="742BF2A5"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70" w:history="1">
            <w:r w:rsidR="004F0F74" w:rsidRPr="001F7793">
              <w:rPr>
                <w:rStyle w:val="Hyperlink"/>
                <w:noProof/>
                <w:lang w:val="en-US"/>
              </w:rPr>
              <w:t>S1.4 Data on patient demographics</w:t>
            </w:r>
            <w:r w:rsidR="004F0F74">
              <w:rPr>
                <w:noProof/>
                <w:webHidden/>
              </w:rPr>
              <w:tab/>
            </w:r>
            <w:r w:rsidR="004F0F74">
              <w:rPr>
                <w:noProof/>
                <w:webHidden/>
              </w:rPr>
              <w:fldChar w:fldCharType="begin"/>
            </w:r>
            <w:r w:rsidR="004F0F74">
              <w:rPr>
                <w:noProof/>
                <w:webHidden/>
              </w:rPr>
              <w:instrText xml:space="preserve"> PAGEREF _Toc169512170 \h </w:instrText>
            </w:r>
            <w:r w:rsidR="004F0F74">
              <w:rPr>
                <w:noProof/>
                <w:webHidden/>
              </w:rPr>
            </w:r>
            <w:r w:rsidR="004F0F74">
              <w:rPr>
                <w:noProof/>
                <w:webHidden/>
              </w:rPr>
              <w:fldChar w:fldCharType="separate"/>
            </w:r>
            <w:r w:rsidR="004F0F74">
              <w:rPr>
                <w:noProof/>
                <w:webHidden/>
              </w:rPr>
              <w:t>5</w:t>
            </w:r>
            <w:r w:rsidR="004F0F74">
              <w:rPr>
                <w:noProof/>
                <w:webHidden/>
              </w:rPr>
              <w:fldChar w:fldCharType="end"/>
            </w:r>
          </w:hyperlink>
        </w:p>
        <w:p w14:paraId="032E45FC" w14:textId="49675909"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71" w:history="1">
            <w:r w:rsidR="004F0F74" w:rsidRPr="001F7793">
              <w:rPr>
                <w:rStyle w:val="Hyperlink"/>
                <w:noProof/>
                <w:lang w:val="en-US"/>
              </w:rPr>
              <w:t>S2 VA Hospital infection control measures</w:t>
            </w:r>
            <w:r w:rsidR="004F0F74">
              <w:rPr>
                <w:noProof/>
                <w:webHidden/>
              </w:rPr>
              <w:tab/>
            </w:r>
            <w:r w:rsidR="004F0F74">
              <w:rPr>
                <w:noProof/>
                <w:webHidden/>
              </w:rPr>
              <w:fldChar w:fldCharType="begin"/>
            </w:r>
            <w:r w:rsidR="004F0F74">
              <w:rPr>
                <w:noProof/>
                <w:webHidden/>
              </w:rPr>
              <w:instrText xml:space="preserve"> PAGEREF _Toc169512171 \h </w:instrText>
            </w:r>
            <w:r w:rsidR="004F0F74">
              <w:rPr>
                <w:noProof/>
                <w:webHidden/>
              </w:rPr>
            </w:r>
            <w:r w:rsidR="004F0F74">
              <w:rPr>
                <w:noProof/>
                <w:webHidden/>
              </w:rPr>
              <w:fldChar w:fldCharType="separate"/>
            </w:r>
            <w:r w:rsidR="004F0F74">
              <w:rPr>
                <w:noProof/>
                <w:webHidden/>
              </w:rPr>
              <w:t>5</w:t>
            </w:r>
            <w:r w:rsidR="004F0F74">
              <w:rPr>
                <w:noProof/>
                <w:webHidden/>
              </w:rPr>
              <w:fldChar w:fldCharType="end"/>
            </w:r>
          </w:hyperlink>
        </w:p>
        <w:p w14:paraId="213F8A1F" w14:textId="0BCF3516" w:rsidR="004F0F74"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69512172" w:history="1">
            <w:r w:rsidR="004F0F74" w:rsidRPr="001F7793">
              <w:rPr>
                <w:rStyle w:val="Hyperlink"/>
                <w:noProof/>
                <w:lang w:val="en-US"/>
              </w:rPr>
              <w:t>S3 Measures of antimicrobial resistance</w:t>
            </w:r>
            <w:r w:rsidR="004F0F74">
              <w:rPr>
                <w:noProof/>
                <w:webHidden/>
              </w:rPr>
              <w:tab/>
            </w:r>
            <w:r w:rsidR="004F0F74">
              <w:rPr>
                <w:noProof/>
                <w:webHidden/>
              </w:rPr>
              <w:fldChar w:fldCharType="begin"/>
            </w:r>
            <w:r w:rsidR="004F0F74">
              <w:rPr>
                <w:noProof/>
                <w:webHidden/>
              </w:rPr>
              <w:instrText xml:space="preserve"> PAGEREF _Toc169512172 \h </w:instrText>
            </w:r>
            <w:r w:rsidR="004F0F74">
              <w:rPr>
                <w:noProof/>
                <w:webHidden/>
              </w:rPr>
            </w:r>
            <w:r w:rsidR="004F0F74">
              <w:rPr>
                <w:noProof/>
                <w:webHidden/>
              </w:rPr>
              <w:fldChar w:fldCharType="separate"/>
            </w:r>
            <w:r w:rsidR="004F0F74">
              <w:rPr>
                <w:noProof/>
                <w:webHidden/>
              </w:rPr>
              <w:t>6</w:t>
            </w:r>
            <w:r w:rsidR="004F0F74">
              <w:rPr>
                <w:noProof/>
                <w:webHidden/>
              </w:rPr>
              <w:fldChar w:fldCharType="end"/>
            </w:r>
          </w:hyperlink>
        </w:p>
        <w:p w14:paraId="1DA29C3C" w14:textId="32CE7524" w:rsidR="004F0F74"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69512173" w:history="1">
            <w:r w:rsidR="004F0F74" w:rsidRPr="001F7793">
              <w:rPr>
                <w:rStyle w:val="Hyperlink"/>
                <w:noProof/>
                <w:lang w:val="en-US"/>
              </w:rPr>
              <w:t>S4 Statistical analysis</w:t>
            </w:r>
            <w:r w:rsidR="004F0F74">
              <w:rPr>
                <w:noProof/>
                <w:webHidden/>
              </w:rPr>
              <w:tab/>
            </w:r>
            <w:r w:rsidR="004F0F74">
              <w:rPr>
                <w:noProof/>
                <w:webHidden/>
              </w:rPr>
              <w:fldChar w:fldCharType="begin"/>
            </w:r>
            <w:r w:rsidR="004F0F74">
              <w:rPr>
                <w:noProof/>
                <w:webHidden/>
              </w:rPr>
              <w:instrText xml:space="preserve"> PAGEREF _Toc169512173 \h </w:instrText>
            </w:r>
            <w:r w:rsidR="004F0F74">
              <w:rPr>
                <w:noProof/>
                <w:webHidden/>
              </w:rPr>
            </w:r>
            <w:r w:rsidR="004F0F74">
              <w:rPr>
                <w:noProof/>
                <w:webHidden/>
              </w:rPr>
              <w:fldChar w:fldCharType="separate"/>
            </w:r>
            <w:r w:rsidR="004F0F74">
              <w:rPr>
                <w:noProof/>
                <w:webHidden/>
              </w:rPr>
              <w:t>6</w:t>
            </w:r>
            <w:r w:rsidR="004F0F74">
              <w:rPr>
                <w:noProof/>
                <w:webHidden/>
              </w:rPr>
              <w:fldChar w:fldCharType="end"/>
            </w:r>
          </w:hyperlink>
        </w:p>
        <w:p w14:paraId="02507388" w14:textId="5ADC188F"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74" w:history="1">
            <w:r w:rsidR="004F0F74" w:rsidRPr="001F7793">
              <w:rPr>
                <w:rStyle w:val="Hyperlink"/>
                <w:noProof/>
                <w:lang w:val="en-US"/>
              </w:rPr>
              <w:t>S4.1 Generalized Estimating Equation approach</w:t>
            </w:r>
            <w:r w:rsidR="004F0F74">
              <w:rPr>
                <w:noProof/>
                <w:webHidden/>
              </w:rPr>
              <w:tab/>
            </w:r>
            <w:r w:rsidR="004F0F74">
              <w:rPr>
                <w:noProof/>
                <w:webHidden/>
              </w:rPr>
              <w:fldChar w:fldCharType="begin"/>
            </w:r>
            <w:r w:rsidR="004F0F74">
              <w:rPr>
                <w:noProof/>
                <w:webHidden/>
              </w:rPr>
              <w:instrText xml:space="preserve"> PAGEREF _Toc169512174 \h </w:instrText>
            </w:r>
            <w:r w:rsidR="004F0F74">
              <w:rPr>
                <w:noProof/>
                <w:webHidden/>
              </w:rPr>
            </w:r>
            <w:r w:rsidR="004F0F74">
              <w:rPr>
                <w:noProof/>
                <w:webHidden/>
              </w:rPr>
              <w:fldChar w:fldCharType="separate"/>
            </w:r>
            <w:r w:rsidR="004F0F74">
              <w:rPr>
                <w:noProof/>
                <w:webHidden/>
              </w:rPr>
              <w:t>6</w:t>
            </w:r>
            <w:r w:rsidR="004F0F74">
              <w:rPr>
                <w:noProof/>
                <w:webHidden/>
              </w:rPr>
              <w:fldChar w:fldCharType="end"/>
            </w:r>
          </w:hyperlink>
        </w:p>
        <w:p w14:paraId="636CD1B1" w14:textId="18975960"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75" w:history="1">
            <w:r w:rsidR="004F0F74" w:rsidRPr="001F7793">
              <w:rPr>
                <w:rStyle w:val="Hyperlink"/>
                <w:noProof/>
              </w:rPr>
              <w:t>S4.2 Assumptions of the Generalized Estimating Equation approach</w:t>
            </w:r>
            <w:r w:rsidR="004F0F74">
              <w:rPr>
                <w:noProof/>
                <w:webHidden/>
              </w:rPr>
              <w:tab/>
            </w:r>
            <w:r w:rsidR="004F0F74">
              <w:rPr>
                <w:noProof/>
                <w:webHidden/>
              </w:rPr>
              <w:fldChar w:fldCharType="begin"/>
            </w:r>
            <w:r w:rsidR="004F0F74">
              <w:rPr>
                <w:noProof/>
                <w:webHidden/>
              </w:rPr>
              <w:instrText xml:space="preserve"> PAGEREF _Toc169512175 \h </w:instrText>
            </w:r>
            <w:r w:rsidR="004F0F74">
              <w:rPr>
                <w:noProof/>
                <w:webHidden/>
              </w:rPr>
            </w:r>
            <w:r w:rsidR="004F0F74">
              <w:rPr>
                <w:noProof/>
                <w:webHidden/>
              </w:rPr>
              <w:fldChar w:fldCharType="separate"/>
            </w:r>
            <w:r w:rsidR="004F0F74">
              <w:rPr>
                <w:noProof/>
                <w:webHidden/>
              </w:rPr>
              <w:t>8</w:t>
            </w:r>
            <w:r w:rsidR="004F0F74">
              <w:rPr>
                <w:noProof/>
                <w:webHidden/>
              </w:rPr>
              <w:fldChar w:fldCharType="end"/>
            </w:r>
          </w:hyperlink>
        </w:p>
        <w:p w14:paraId="60B5505D" w14:textId="7E338BF4"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76" w:history="1">
            <w:r w:rsidR="004F0F74" w:rsidRPr="001F7793">
              <w:rPr>
                <w:rStyle w:val="Hyperlink"/>
                <w:noProof/>
                <w:lang w:val="en-US"/>
              </w:rPr>
              <w:t>S4.3 Relative contribution in time trend analyses</w:t>
            </w:r>
            <w:r w:rsidR="004F0F74">
              <w:rPr>
                <w:noProof/>
                <w:webHidden/>
              </w:rPr>
              <w:tab/>
            </w:r>
            <w:r w:rsidR="004F0F74">
              <w:rPr>
                <w:noProof/>
                <w:webHidden/>
              </w:rPr>
              <w:fldChar w:fldCharType="begin"/>
            </w:r>
            <w:r w:rsidR="004F0F74">
              <w:rPr>
                <w:noProof/>
                <w:webHidden/>
              </w:rPr>
              <w:instrText xml:space="preserve"> PAGEREF _Toc169512176 \h </w:instrText>
            </w:r>
            <w:r w:rsidR="004F0F74">
              <w:rPr>
                <w:noProof/>
                <w:webHidden/>
              </w:rPr>
            </w:r>
            <w:r w:rsidR="004F0F74">
              <w:rPr>
                <w:noProof/>
                <w:webHidden/>
              </w:rPr>
              <w:fldChar w:fldCharType="separate"/>
            </w:r>
            <w:r w:rsidR="004F0F74">
              <w:rPr>
                <w:noProof/>
                <w:webHidden/>
              </w:rPr>
              <w:t>9</w:t>
            </w:r>
            <w:r w:rsidR="004F0F74">
              <w:rPr>
                <w:noProof/>
                <w:webHidden/>
              </w:rPr>
              <w:fldChar w:fldCharType="end"/>
            </w:r>
          </w:hyperlink>
        </w:p>
        <w:p w14:paraId="26D8E132" w14:textId="0CCC4E5F" w:rsidR="004F0F74"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69512177" w:history="1">
            <w:r w:rsidR="004F0F74" w:rsidRPr="001F7793">
              <w:rPr>
                <w:rStyle w:val="Hyperlink"/>
                <w:noProof/>
                <w:lang w:val="en-US"/>
              </w:rPr>
              <w:t>S5 Supplementary results</w:t>
            </w:r>
            <w:r w:rsidR="004F0F74">
              <w:rPr>
                <w:noProof/>
                <w:webHidden/>
              </w:rPr>
              <w:tab/>
            </w:r>
            <w:r w:rsidR="004F0F74">
              <w:rPr>
                <w:noProof/>
                <w:webHidden/>
              </w:rPr>
              <w:fldChar w:fldCharType="begin"/>
            </w:r>
            <w:r w:rsidR="004F0F74">
              <w:rPr>
                <w:noProof/>
                <w:webHidden/>
              </w:rPr>
              <w:instrText xml:space="preserve"> PAGEREF _Toc169512177 \h </w:instrText>
            </w:r>
            <w:r w:rsidR="004F0F74">
              <w:rPr>
                <w:noProof/>
                <w:webHidden/>
              </w:rPr>
            </w:r>
            <w:r w:rsidR="004F0F74">
              <w:rPr>
                <w:noProof/>
                <w:webHidden/>
              </w:rPr>
              <w:fldChar w:fldCharType="separate"/>
            </w:r>
            <w:r w:rsidR="004F0F74">
              <w:rPr>
                <w:noProof/>
                <w:webHidden/>
              </w:rPr>
              <w:t>10</w:t>
            </w:r>
            <w:r w:rsidR="004F0F74">
              <w:rPr>
                <w:noProof/>
                <w:webHidden/>
              </w:rPr>
              <w:fldChar w:fldCharType="end"/>
            </w:r>
          </w:hyperlink>
        </w:p>
        <w:p w14:paraId="6943F3BC" w14:textId="2AA711A6"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78" w:history="1">
            <w:r w:rsidR="004F0F74" w:rsidRPr="001F7793">
              <w:rPr>
                <w:rStyle w:val="Hyperlink"/>
                <w:noProof/>
                <w:lang w:val="en-US"/>
              </w:rPr>
              <w:t>S5.1 Temporal trends in infection incidence for each pathogen</w:t>
            </w:r>
            <w:r w:rsidR="004F0F74">
              <w:rPr>
                <w:noProof/>
                <w:webHidden/>
              </w:rPr>
              <w:tab/>
            </w:r>
            <w:r w:rsidR="004F0F74">
              <w:rPr>
                <w:noProof/>
                <w:webHidden/>
              </w:rPr>
              <w:fldChar w:fldCharType="begin"/>
            </w:r>
            <w:r w:rsidR="004F0F74">
              <w:rPr>
                <w:noProof/>
                <w:webHidden/>
              </w:rPr>
              <w:instrText xml:space="preserve"> PAGEREF _Toc169512178 \h </w:instrText>
            </w:r>
            <w:r w:rsidR="004F0F74">
              <w:rPr>
                <w:noProof/>
                <w:webHidden/>
              </w:rPr>
            </w:r>
            <w:r w:rsidR="004F0F74">
              <w:rPr>
                <w:noProof/>
                <w:webHidden/>
              </w:rPr>
              <w:fldChar w:fldCharType="separate"/>
            </w:r>
            <w:r w:rsidR="004F0F74">
              <w:rPr>
                <w:noProof/>
                <w:webHidden/>
              </w:rPr>
              <w:t>10</w:t>
            </w:r>
            <w:r w:rsidR="004F0F74">
              <w:rPr>
                <w:noProof/>
                <w:webHidden/>
              </w:rPr>
              <w:fldChar w:fldCharType="end"/>
            </w:r>
          </w:hyperlink>
        </w:p>
        <w:p w14:paraId="6EEA5274" w14:textId="3A965D7E"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79" w:history="1">
            <w:r w:rsidR="004F0F74" w:rsidRPr="001F7793">
              <w:rPr>
                <w:rStyle w:val="Hyperlink"/>
                <w:noProof/>
                <w:lang w:val="en-US"/>
              </w:rPr>
              <w:t>S5.2 Infection incidence stratified by source of infection and pathogen</w:t>
            </w:r>
            <w:r w:rsidR="004F0F74">
              <w:rPr>
                <w:noProof/>
                <w:webHidden/>
              </w:rPr>
              <w:tab/>
            </w:r>
            <w:r w:rsidR="004F0F74">
              <w:rPr>
                <w:noProof/>
                <w:webHidden/>
              </w:rPr>
              <w:fldChar w:fldCharType="begin"/>
            </w:r>
            <w:r w:rsidR="004F0F74">
              <w:rPr>
                <w:noProof/>
                <w:webHidden/>
              </w:rPr>
              <w:instrText xml:space="preserve"> PAGEREF _Toc169512179 \h </w:instrText>
            </w:r>
            <w:r w:rsidR="004F0F74">
              <w:rPr>
                <w:noProof/>
                <w:webHidden/>
              </w:rPr>
            </w:r>
            <w:r w:rsidR="004F0F74">
              <w:rPr>
                <w:noProof/>
                <w:webHidden/>
              </w:rPr>
              <w:fldChar w:fldCharType="separate"/>
            </w:r>
            <w:r w:rsidR="004F0F74">
              <w:rPr>
                <w:noProof/>
                <w:webHidden/>
              </w:rPr>
              <w:t>10</w:t>
            </w:r>
            <w:r w:rsidR="004F0F74">
              <w:rPr>
                <w:noProof/>
                <w:webHidden/>
              </w:rPr>
              <w:fldChar w:fldCharType="end"/>
            </w:r>
          </w:hyperlink>
        </w:p>
        <w:p w14:paraId="2E6A2035" w14:textId="08A0E1FC"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80" w:history="1">
            <w:r w:rsidR="004F0F74" w:rsidRPr="001F7793">
              <w:rPr>
                <w:rStyle w:val="Hyperlink"/>
                <w:noProof/>
                <w:lang w:val="en-US"/>
              </w:rPr>
              <w:t>S5.3 Infection incidence stratified by US census region</w:t>
            </w:r>
            <w:r w:rsidR="004F0F74">
              <w:rPr>
                <w:noProof/>
                <w:webHidden/>
              </w:rPr>
              <w:tab/>
            </w:r>
            <w:r w:rsidR="004F0F74">
              <w:rPr>
                <w:noProof/>
                <w:webHidden/>
              </w:rPr>
              <w:fldChar w:fldCharType="begin"/>
            </w:r>
            <w:r w:rsidR="004F0F74">
              <w:rPr>
                <w:noProof/>
                <w:webHidden/>
              </w:rPr>
              <w:instrText xml:space="preserve"> PAGEREF _Toc169512180 \h </w:instrText>
            </w:r>
            <w:r w:rsidR="004F0F74">
              <w:rPr>
                <w:noProof/>
                <w:webHidden/>
              </w:rPr>
            </w:r>
            <w:r w:rsidR="004F0F74">
              <w:rPr>
                <w:noProof/>
                <w:webHidden/>
              </w:rPr>
              <w:fldChar w:fldCharType="separate"/>
            </w:r>
            <w:r w:rsidR="004F0F74">
              <w:rPr>
                <w:noProof/>
                <w:webHidden/>
              </w:rPr>
              <w:t>21</w:t>
            </w:r>
            <w:r w:rsidR="004F0F74">
              <w:rPr>
                <w:noProof/>
                <w:webHidden/>
              </w:rPr>
              <w:fldChar w:fldCharType="end"/>
            </w:r>
          </w:hyperlink>
        </w:p>
        <w:p w14:paraId="386252AB" w14:textId="50F4C6C2" w:rsidR="004F0F74"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69512181" w:history="1">
            <w:r w:rsidR="004F0F74" w:rsidRPr="001F7793">
              <w:rPr>
                <w:rStyle w:val="Hyperlink"/>
                <w:noProof/>
                <w:lang w:val="en-US"/>
              </w:rPr>
              <w:t>S6 Sensitivity analyses</w:t>
            </w:r>
            <w:r w:rsidR="004F0F74">
              <w:rPr>
                <w:noProof/>
                <w:webHidden/>
              </w:rPr>
              <w:tab/>
            </w:r>
            <w:r w:rsidR="004F0F74">
              <w:rPr>
                <w:noProof/>
                <w:webHidden/>
              </w:rPr>
              <w:fldChar w:fldCharType="begin"/>
            </w:r>
            <w:r w:rsidR="004F0F74">
              <w:rPr>
                <w:noProof/>
                <w:webHidden/>
              </w:rPr>
              <w:instrText xml:space="preserve"> PAGEREF _Toc169512181 \h </w:instrText>
            </w:r>
            <w:r w:rsidR="004F0F74">
              <w:rPr>
                <w:noProof/>
                <w:webHidden/>
              </w:rPr>
            </w:r>
            <w:r w:rsidR="004F0F74">
              <w:rPr>
                <w:noProof/>
                <w:webHidden/>
              </w:rPr>
              <w:fldChar w:fldCharType="separate"/>
            </w:r>
            <w:r w:rsidR="004F0F74">
              <w:rPr>
                <w:noProof/>
                <w:webHidden/>
              </w:rPr>
              <w:t>22</w:t>
            </w:r>
            <w:r w:rsidR="004F0F74">
              <w:rPr>
                <w:noProof/>
                <w:webHidden/>
              </w:rPr>
              <w:fldChar w:fldCharType="end"/>
            </w:r>
          </w:hyperlink>
        </w:p>
        <w:p w14:paraId="2F0A338D" w14:textId="79A2664B"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82" w:history="1">
            <w:r w:rsidR="004F0F74" w:rsidRPr="001F7793">
              <w:rPr>
                <w:rStyle w:val="Hyperlink"/>
                <w:noProof/>
                <w:lang w:val="en-US"/>
              </w:rPr>
              <w:t>S6.1 Changes in incidence during COVID-19 pandemic</w:t>
            </w:r>
            <w:r w:rsidR="004F0F74">
              <w:rPr>
                <w:noProof/>
                <w:webHidden/>
              </w:rPr>
              <w:tab/>
            </w:r>
            <w:r w:rsidR="004F0F74">
              <w:rPr>
                <w:noProof/>
                <w:webHidden/>
              </w:rPr>
              <w:fldChar w:fldCharType="begin"/>
            </w:r>
            <w:r w:rsidR="004F0F74">
              <w:rPr>
                <w:noProof/>
                <w:webHidden/>
              </w:rPr>
              <w:instrText xml:space="preserve"> PAGEREF _Toc169512182 \h </w:instrText>
            </w:r>
            <w:r w:rsidR="004F0F74">
              <w:rPr>
                <w:noProof/>
                <w:webHidden/>
              </w:rPr>
            </w:r>
            <w:r w:rsidR="004F0F74">
              <w:rPr>
                <w:noProof/>
                <w:webHidden/>
              </w:rPr>
              <w:fldChar w:fldCharType="separate"/>
            </w:r>
            <w:r w:rsidR="004F0F74">
              <w:rPr>
                <w:noProof/>
                <w:webHidden/>
              </w:rPr>
              <w:t>22</w:t>
            </w:r>
            <w:r w:rsidR="004F0F74">
              <w:rPr>
                <w:noProof/>
                <w:webHidden/>
              </w:rPr>
              <w:fldChar w:fldCharType="end"/>
            </w:r>
          </w:hyperlink>
        </w:p>
        <w:p w14:paraId="3568825D" w14:textId="4B5D6A2F"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83" w:history="1">
            <w:r w:rsidR="004F0F74" w:rsidRPr="001F7793">
              <w:rPr>
                <w:rStyle w:val="Hyperlink"/>
                <w:noProof/>
              </w:rPr>
              <w:t>S6.2 Different denominator for incidence rate calculation</w:t>
            </w:r>
            <w:r w:rsidR="004F0F74">
              <w:rPr>
                <w:noProof/>
                <w:webHidden/>
              </w:rPr>
              <w:tab/>
            </w:r>
            <w:r w:rsidR="004F0F74">
              <w:rPr>
                <w:noProof/>
                <w:webHidden/>
              </w:rPr>
              <w:fldChar w:fldCharType="begin"/>
            </w:r>
            <w:r w:rsidR="004F0F74">
              <w:rPr>
                <w:noProof/>
                <w:webHidden/>
              </w:rPr>
              <w:instrText xml:space="preserve"> PAGEREF _Toc169512183 \h </w:instrText>
            </w:r>
            <w:r w:rsidR="004F0F74">
              <w:rPr>
                <w:noProof/>
                <w:webHidden/>
              </w:rPr>
            </w:r>
            <w:r w:rsidR="004F0F74">
              <w:rPr>
                <w:noProof/>
                <w:webHidden/>
              </w:rPr>
              <w:fldChar w:fldCharType="separate"/>
            </w:r>
            <w:r w:rsidR="004F0F74">
              <w:rPr>
                <w:noProof/>
                <w:webHidden/>
              </w:rPr>
              <w:t>23</w:t>
            </w:r>
            <w:r w:rsidR="004F0F74">
              <w:rPr>
                <w:noProof/>
                <w:webHidden/>
              </w:rPr>
              <w:fldChar w:fldCharType="end"/>
            </w:r>
          </w:hyperlink>
        </w:p>
        <w:p w14:paraId="055DF0F9" w14:textId="146B9CA1" w:rsidR="004F0F74" w:rsidRDefault="00000000">
          <w:pPr>
            <w:pStyle w:val="TOC2"/>
            <w:tabs>
              <w:tab w:val="right" w:leader="dot" w:pos="9016"/>
            </w:tabs>
            <w:rPr>
              <w:rFonts w:eastAsiaTheme="minorEastAsia" w:cstheme="minorBidi"/>
              <w:b w:val="0"/>
              <w:bCs w:val="0"/>
              <w:noProof/>
              <w:kern w:val="2"/>
              <w:sz w:val="24"/>
              <w:szCs w:val="24"/>
              <w:lang w:eastAsia="en-GB"/>
              <w14:ligatures w14:val="standardContextual"/>
            </w:rPr>
          </w:pPr>
          <w:hyperlink w:anchor="_Toc169512184" w:history="1">
            <w:r w:rsidR="004F0F74" w:rsidRPr="001F7793">
              <w:rPr>
                <w:rStyle w:val="Hyperlink"/>
                <w:noProof/>
                <w:lang w:val="en-US"/>
              </w:rPr>
              <w:t>S6.3 Approaches to handle missing values in antibiotic susceptibility data</w:t>
            </w:r>
            <w:r w:rsidR="004F0F74">
              <w:rPr>
                <w:noProof/>
                <w:webHidden/>
              </w:rPr>
              <w:tab/>
            </w:r>
            <w:r w:rsidR="004F0F74">
              <w:rPr>
                <w:noProof/>
                <w:webHidden/>
              </w:rPr>
              <w:fldChar w:fldCharType="begin"/>
            </w:r>
            <w:r w:rsidR="004F0F74">
              <w:rPr>
                <w:noProof/>
                <w:webHidden/>
              </w:rPr>
              <w:instrText xml:space="preserve"> PAGEREF _Toc169512184 \h </w:instrText>
            </w:r>
            <w:r w:rsidR="004F0F74">
              <w:rPr>
                <w:noProof/>
                <w:webHidden/>
              </w:rPr>
            </w:r>
            <w:r w:rsidR="004F0F74">
              <w:rPr>
                <w:noProof/>
                <w:webHidden/>
              </w:rPr>
              <w:fldChar w:fldCharType="separate"/>
            </w:r>
            <w:r w:rsidR="004F0F74">
              <w:rPr>
                <w:noProof/>
                <w:webHidden/>
              </w:rPr>
              <w:t>25</w:t>
            </w:r>
            <w:r w:rsidR="004F0F74">
              <w:rPr>
                <w:noProof/>
                <w:webHidden/>
              </w:rPr>
              <w:fldChar w:fldCharType="end"/>
            </w:r>
          </w:hyperlink>
        </w:p>
        <w:p w14:paraId="7FF222FF" w14:textId="443D5401" w:rsidR="004F0F74"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69512185" w:history="1">
            <w:r w:rsidR="004F0F74" w:rsidRPr="001F7793">
              <w:rPr>
                <w:rStyle w:val="Hyperlink"/>
                <w:noProof/>
                <w:lang w:val="en-US"/>
              </w:rPr>
              <w:t>S6.3.1 Resistance proportion under various assumptions</w:t>
            </w:r>
            <w:r w:rsidR="004F0F74">
              <w:rPr>
                <w:noProof/>
                <w:webHidden/>
              </w:rPr>
              <w:tab/>
            </w:r>
            <w:r w:rsidR="004F0F74">
              <w:rPr>
                <w:noProof/>
                <w:webHidden/>
              </w:rPr>
              <w:fldChar w:fldCharType="begin"/>
            </w:r>
            <w:r w:rsidR="004F0F74">
              <w:rPr>
                <w:noProof/>
                <w:webHidden/>
              </w:rPr>
              <w:instrText xml:space="preserve"> PAGEREF _Toc169512185 \h </w:instrText>
            </w:r>
            <w:r w:rsidR="004F0F74">
              <w:rPr>
                <w:noProof/>
                <w:webHidden/>
              </w:rPr>
            </w:r>
            <w:r w:rsidR="004F0F74">
              <w:rPr>
                <w:noProof/>
                <w:webHidden/>
              </w:rPr>
              <w:fldChar w:fldCharType="separate"/>
            </w:r>
            <w:r w:rsidR="004F0F74">
              <w:rPr>
                <w:noProof/>
                <w:webHidden/>
              </w:rPr>
              <w:t>25</w:t>
            </w:r>
            <w:r w:rsidR="004F0F74">
              <w:rPr>
                <w:noProof/>
                <w:webHidden/>
              </w:rPr>
              <w:fldChar w:fldCharType="end"/>
            </w:r>
          </w:hyperlink>
        </w:p>
        <w:p w14:paraId="073586BA" w14:textId="06FB801C" w:rsidR="004F0F74"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69512186" w:history="1">
            <w:r w:rsidR="004F0F74" w:rsidRPr="001F7793">
              <w:rPr>
                <w:rStyle w:val="Hyperlink"/>
                <w:noProof/>
                <w:lang w:val="en-US"/>
              </w:rPr>
              <w:t>S6.3.2 Sensitivity analyses for time trend estimates</w:t>
            </w:r>
            <w:r w:rsidR="004F0F74">
              <w:rPr>
                <w:noProof/>
                <w:webHidden/>
              </w:rPr>
              <w:tab/>
            </w:r>
            <w:r w:rsidR="004F0F74">
              <w:rPr>
                <w:noProof/>
                <w:webHidden/>
              </w:rPr>
              <w:fldChar w:fldCharType="begin"/>
            </w:r>
            <w:r w:rsidR="004F0F74">
              <w:rPr>
                <w:noProof/>
                <w:webHidden/>
              </w:rPr>
              <w:instrText xml:space="preserve"> PAGEREF _Toc169512186 \h </w:instrText>
            </w:r>
            <w:r w:rsidR="004F0F74">
              <w:rPr>
                <w:noProof/>
                <w:webHidden/>
              </w:rPr>
            </w:r>
            <w:r w:rsidR="004F0F74">
              <w:rPr>
                <w:noProof/>
                <w:webHidden/>
              </w:rPr>
              <w:fldChar w:fldCharType="separate"/>
            </w:r>
            <w:r w:rsidR="004F0F74">
              <w:rPr>
                <w:noProof/>
                <w:webHidden/>
              </w:rPr>
              <w:t>27</w:t>
            </w:r>
            <w:r w:rsidR="004F0F74">
              <w:rPr>
                <w:noProof/>
                <w:webHidden/>
              </w:rPr>
              <w:fldChar w:fldCharType="end"/>
            </w:r>
          </w:hyperlink>
        </w:p>
        <w:p w14:paraId="2B7E4B3D" w14:textId="183A10B5" w:rsidR="004F0F74"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69512187" w:history="1">
            <w:r w:rsidR="004F0F74" w:rsidRPr="001F7793">
              <w:rPr>
                <w:rStyle w:val="Hyperlink"/>
                <w:noProof/>
                <w:lang w:val="en-US"/>
              </w:rPr>
              <w:t>S6.3.3 Distribution of missing susceptibility test results across different complexity levels</w:t>
            </w:r>
            <w:r w:rsidR="004F0F74">
              <w:rPr>
                <w:noProof/>
                <w:webHidden/>
              </w:rPr>
              <w:tab/>
            </w:r>
            <w:r w:rsidR="004F0F74">
              <w:rPr>
                <w:noProof/>
                <w:webHidden/>
              </w:rPr>
              <w:fldChar w:fldCharType="begin"/>
            </w:r>
            <w:r w:rsidR="004F0F74">
              <w:rPr>
                <w:noProof/>
                <w:webHidden/>
              </w:rPr>
              <w:instrText xml:space="preserve"> PAGEREF _Toc169512187 \h </w:instrText>
            </w:r>
            <w:r w:rsidR="004F0F74">
              <w:rPr>
                <w:noProof/>
                <w:webHidden/>
              </w:rPr>
            </w:r>
            <w:r w:rsidR="004F0F74">
              <w:rPr>
                <w:noProof/>
                <w:webHidden/>
              </w:rPr>
              <w:fldChar w:fldCharType="separate"/>
            </w:r>
            <w:r w:rsidR="004F0F74">
              <w:rPr>
                <w:noProof/>
                <w:webHidden/>
              </w:rPr>
              <w:t>29</w:t>
            </w:r>
            <w:r w:rsidR="004F0F74">
              <w:rPr>
                <w:noProof/>
                <w:webHidden/>
              </w:rPr>
              <w:fldChar w:fldCharType="end"/>
            </w:r>
          </w:hyperlink>
        </w:p>
        <w:p w14:paraId="69D2F78F" w14:textId="27192972" w:rsidR="00733D66" w:rsidRPr="00B47494" w:rsidRDefault="00733D66">
          <w:r w:rsidRPr="00B47494">
            <w:rPr>
              <w:noProof/>
            </w:rPr>
            <w:fldChar w:fldCharType="end"/>
          </w:r>
        </w:p>
      </w:sdtContent>
    </w:sdt>
    <w:p w14:paraId="11938FCB" w14:textId="77777777" w:rsidR="00733D66" w:rsidRPr="00155847" w:rsidRDefault="00733D66">
      <w:pPr>
        <w:rPr>
          <w:rFonts w:asciiTheme="majorHAnsi" w:eastAsiaTheme="majorEastAsia" w:hAnsiTheme="majorHAnsi" w:cstheme="majorBidi"/>
          <w:color w:val="2F5496" w:themeColor="accent1" w:themeShade="BF"/>
          <w:sz w:val="32"/>
          <w:szCs w:val="32"/>
          <w:lang w:val="en-US"/>
        </w:rPr>
      </w:pPr>
      <w:r w:rsidRPr="00155847">
        <w:rPr>
          <w:lang w:val="en-US"/>
        </w:rPr>
        <w:br w:type="page"/>
      </w:r>
    </w:p>
    <w:p w14:paraId="1D66BE02" w14:textId="5B20BA2F" w:rsidR="00165E1D" w:rsidRPr="00155847" w:rsidRDefault="00165E1D" w:rsidP="00DC5D72">
      <w:pPr>
        <w:pStyle w:val="Heading1"/>
        <w:rPr>
          <w:lang w:val="en-US"/>
        </w:rPr>
      </w:pPr>
      <w:bookmarkStart w:id="20" w:name="_Toc169512166"/>
      <w:r w:rsidRPr="00155847">
        <w:rPr>
          <w:lang w:val="en-US"/>
        </w:rPr>
        <w:lastRenderedPageBreak/>
        <w:t>S1 Data</w:t>
      </w:r>
      <w:bookmarkEnd w:id="20"/>
    </w:p>
    <w:p w14:paraId="0994180A" w14:textId="5238C4B6" w:rsidR="005B4600" w:rsidRPr="00155847" w:rsidRDefault="00DC5D72" w:rsidP="00DC5D72">
      <w:pPr>
        <w:pStyle w:val="Heading2"/>
        <w:rPr>
          <w:lang w:val="en-US"/>
        </w:rPr>
      </w:pPr>
      <w:bookmarkStart w:id="21" w:name="_Toc169512167"/>
      <w:r w:rsidRPr="00155847">
        <w:rPr>
          <w:lang w:val="en-US"/>
        </w:rPr>
        <w:t>S1.1 Databases</w:t>
      </w:r>
      <w:bookmarkEnd w:id="21"/>
    </w:p>
    <w:p w14:paraId="225115FD" w14:textId="05AD61CC" w:rsidR="00155847" w:rsidRDefault="00155847" w:rsidP="00783B4C">
      <w:pPr>
        <w:jc w:val="both"/>
        <w:rPr>
          <w:rFonts w:cstheme="minorHAnsi"/>
          <w:lang w:val="en-US"/>
        </w:rPr>
      </w:pPr>
      <w:r>
        <w:rPr>
          <w:rFonts w:cstheme="minorHAnsi"/>
          <w:lang w:val="en-US"/>
        </w:rPr>
        <w:t xml:space="preserve">The main source for the data used in this study was the Veterans Affairs Corporate Data Warehouse (CDW), which is a national repository that includes clinical and administrative data from the VHA. </w:t>
      </w:r>
      <w:r w:rsidRPr="00155847">
        <w:rPr>
          <w:rFonts w:cstheme="minorHAnsi"/>
          <w:lang w:val="en-US"/>
        </w:rPr>
        <w:t xml:space="preserve">These data are updated on a continual basis and additional information can be </w:t>
      </w:r>
      <w:r w:rsidR="00885545">
        <w:rPr>
          <w:rFonts w:cstheme="minorHAnsi"/>
          <w:lang w:val="en-US"/>
        </w:rPr>
        <w:t xml:space="preserve">found here: </w:t>
      </w:r>
      <w:hyperlink r:id="rId9" w:history="1">
        <w:r w:rsidRPr="0032020E">
          <w:rPr>
            <w:rStyle w:val="Hyperlink"/>
            <w:rFonts w:cstheme="minorHAnsi"/>
            <w:lang w:val="en-US"/>
          </w:rPr>
          <w:t>https://www.hsrd.research.va.gov/for_researchers/cdw.cfm</w:t>
        </w:r>
      </w:hyperlink>
    </w:p>
    <w:p w14:paraId="1D253E20" w14:textId="77777777" w:rsidR="00155847" w:rsidRDefault="00155847" w:rsidP="00783B4C">
      <w:pPr>
        <w:jc w:val="both"/>
        <w:rPr>
          <w:rFonts w:cstheme="minorHAnsi"/>
          <w:lang w:val="en-US"/>
        </w:rPr>
      </w:pPr>
    </w:p>
    <w:p w14:paraId="159F81D6" w14:textId="32A83470" w:rsidR="00155847" w:rsidRPr="00155847" w:rsidRDefault="00155847" w:rsidP="00783B4C">
      <w:pPr>
        <w:jc w:val="both"/>
        <w:rPr>
          <w:rFonts w:cstheme="minorHAnsi"/>
          <w:lang w:val="en-US"/>
        </w:rPr>
      </w:pPr>
      <w:r w:rsidRPr="00155847">
        <w:rPr>
          <w:rFonts w:cstheme="minorHAnsi"/>
          <w:lang w:val="en-US"/>
        </w:rPr>
        <w:t xml:space="preserve">Two large datasets were generated </w:t>
      </w:r>
      <w:r w:rsidRPr="00155847">
        <w:rPr>
          <w:lang w:val="en-US"/>
        </w:rPr>
        <w:t>from the V</w:t>
      </w:r>
      <w:r>
        <w:rPr>
          <w:lang w:val="en-US"/>
        </w:rPr>
        <w:t>eterans Health administration</w:t>
      </w:r>
      <w:r w:rsidRPr="00155847">
        <w:rPr>
          <w:lang w:val="en-US"/>
        </w:rPr>
        <w:t>’s</w:t>
      </w:r>
      <w:r>
        <w:rPr>
          <w:lang w:val="en-US"/>
        </w:rPr>
        <w:t xml:space="preserve"> (VHA’s)</w:t>
      </w:r>
      <w:r w:rsidRPr="00155847">
        <w:rPr>
          <w:lang w:val="en-US"/>
        </w:rPr>
        <w:t xml:space="preserve"> electronic health records</w:t>
      </w:r>
      <w:r w:rsidRPr="00155847">
        <w:rPr>
          <w:rFonts w:cstheme="minorHAnsi"/>
          <w:lang w:val="en-US"/>
        </w:rPr>
        <w:t xml:space="preserve"> with over 15 years of data from all patients admitted to acute care wards (either medical/surgical wards or ICUs) from V</w:t>
      </w:r>
      <w:r>
        <w:rPr>
          <w:rFonts w:cstheme="minorHAnsi"/>
          <w:lang w:val="en-US"/>
        </w:rPr>
        <w:t>eterans Affairs</w:t>
      </w:r>
      <w:r w:rsidRPr="00155847">
        <w:rPr>
          <w:rFonts w:cstheme="minorHAnsi"/>
          <w:lang w:val="en-US"/>
        </w:rPr>
        <w:t xml:space="preserve"> </w:t>
      </w:r>
      <w:r>
        <w:rPr>
          <w:rFonts w:cstheme="minorHAnsi"/>
          <w:lang w:val="en-US"/>
        </w:rPr>
        <w:t>M</w:t>
      </w:r>
      <w:r w:rsidRPr="00155847">
        <w:rPr>
          <w:rFonts w:cstheme="minorHAnsi"/>
          <w:lang w:val="en-US"/>
        </w:rPr>
        <w:t xml:space="preserve">edical </w:t>
      </w:r>
      <w:r>
        <w:rPr>
          <w:rFonts w:cstheme="minorHAnsi"/>
          <w:lang w:val="en-US"/>
        </w:rPr>
        <w:t>C</w:t>
      </w:r>
      <w:r w:rsidRPr="00155847">
        <w:rPr>
          <w:rFonts w:cstheme="minorHAnsi"/>
          <w:lang w:val="en-US"/>
        </w:rPr>
        <w:t>enters (VAMCs) between 1</w:t>
      </w:r>
      <w:r w:rsidRPr="00155847">
        <w:rPr>
          <w:rFonts w:cstheme="minorHAnsi"/>
          <w:vertAlign w:val="superscript"/>
          <w:lang w:val="en-US"/>
        </w:rPr>
        <w:t>st</w:t>
      </w:r>
      <w:r w:rsidRPr="00155847">
        <w:rPr>
          <w:rFonts w:cstheme="minorHAnsi"/>
          <w:lang w:val="en-US"/>
        </w:rPr>
        <w:t xml:space="preserve"> January 2007 and 31</w:t>
      </w:r>
      <w:r w:rsidRPr="00155847">
        <w:rPr>
          <w:rFonts w:cstheme="minorHAnsi"/>
          <w:vertAlign w:val="superscript"/>
          <w:lang w:val="en-US"/>
        </w:rPr>
        <w:t>st</w:t>
      </w:r>
      <w:r w:rsidRPr="00155847">
        <w:rPr>
          <w:rFonts w:cstheme="minorHAnsi"/>
          <w:lang w:val="en-US"/>
        </w:rPr>
        <w:t xml:space="preserve"> March 2022 for the analyses of this study.</w:t>
      </w:r>
      <w:r w:rsidR="007A2D24">
        <w:rPr>
          <w:rFonts w:cstheme="minorHAnsi"/>
          <w:lang w:val="en-US"/>
        </w:rPr>
        <w:t xml:space="preserve"> </w:t>
      </w:r>
      <w:r w:rsidR="007A2D24">
        <w:rPr>
          <w:lang w:val="en-US"/>
        </w:rPr>
        <w:t>We excluded f</w:t>
      </w:r>
      <w:r w:rsidR="007A2D24" w:rsidRPr="00664DB3">
        <w:rPr>
          <w:lang w:val="en-US"/>
        </w:rPr>
        <w:t xml:space="preserve">acilities from the study if they did not provide acute care or if they did not report data to </w:t>
      </w:r>
      <w:r w:rsidR="007A2D24">
        <w:rPr>
          <w:lang w:val="en-US"/>
        </w:rPr>
        <w:t xml:space="preserve">the </w:t>
      </w:r>
      <w:r w:rsidR="007A2D24" w:rsidRPr="00664DB3">
        <w:rPr>
          <w:lang w:val="en-US"/>
        </w:rPr>
        <w:t xml:space="preserve">VA’s </w:t>
      </w:r>
      <w:r w:rsidR="007A2D24">
        <w:rPr>
          <w:lang w:val="en-US"/>
        </w:rPr>
        <w:t xml:space="preserve">facility </w:t>
      </w:r>
      <w:r w:rsidR="007A2D24" w:rsidRPr="00664DB3">
        <w:rPr>
          <w:lang w:val="en-US"/>
        </w:rPr>
        <w:t>complexity assessment</w:t>
      </w:r>
      <w:sdt>
        <w:sdtPr>
          <w:rPr>
            <w:color w:val="000000"/>
            <w:vertAlign w:val="superscript"/>
            <w:lang w:val="en-US"/>
          </w:rPr>
          <w:tag w:val="MENDELEY_CITATION_v3_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"/>
          <w:id w:val="582412395"/>
          <w:placeholder>
            <w:docPart w:val="14066BF855A3D146A7736D2C3A5731DE"/>
          </w:placeholder>
        </w:sdtPr>
        <w:sdtContent>
          <w:r w:rsidR="00D83908" w:rsidRPr="00D83908">
            <w:rPr>
              <w:color w:val="000000"/>
              <w:vertAlign w:val="superscript"/>
              <w:lang w:val="en-US"/>
            </w:rPr>
            <w:t>1,2</w:t>
          </w:r>
        </w:sdtContent>
      </w:sdt>
      <w:r w:rsidR="007A2D24" w:rsidRPr="00664DB3">
        <w:rPr>
          <w:lang w:val="en-US"/>
        </w:rPr>
        <w:t xml:space="preserve"> (e.g., level and type of care provided) in all eligible years during the study period.</w:t>
      </w:r>
      <w:r w:rsidR="008532F0">
        <w:rPr>
          <w:lang w:val="en-US"/>
        </w:rPr>
        <w:t xml:space="preserve"> </w:t>
      </w:r>
      <w:r w:rsidR="002461C4">
        <w:rPr>
          <w:lang w:val="en-US"/>
        </w:rPr>
        <w:t>In total, we included data from</w:t>
      </w:r>
      <w:r w:rsidR="008532F0">
        <w:rPr>
          <w:lang w:val="en-US"/>
        </w:rPr>
        <w:t xml:space="preserve"> 138 </w:t>
      </w:r>
      <w:proofErr w:type="gramStart"/>
      <w:r w:rsidR="008532F0">
        <w:rPr>
          <w:lang w:val="en-US"/>
        </w:rPr>
        <w:t>VAMCs</w:t>
      </w:r>
      <w:r w:rsidR="002461C4">
        <w:rPr>
          <w:lang w:val="en-US"/>
        </w:rPr>
        <w:t xml:space="preserve"> </w:t>
      </w:r>
      <w:r w:rsidR="008532F0">
        <w:rPr>
          <w:lang w:val="en-US"/>
        </w:rPr>
        <w:t>.</w:t>
      </w:r>
      <w:proofErr w:type="gramEnd"/>
      <w:r w:rsidR="008532F0">
        <w:rPr>
          <w:lang w:val="en-US"/>
        </w:rPr>
        <w:t xml:space="preserve"> </w:t>
      </w:r>
    </w:p>
    <w:p w14:paraId="29356FD9" w14:textId="77777777" w:rsidR="00E113A2" w:rsidRPr="00155847" w:rsidRDefault="00E113A2" w:rsidP="00783B4C">
      <w:pPr>
        <w:jc w:val="both"/>
        <w:rPr>
          <w:rFonts w:cstheme="minorHAnsi"/>
          <w:lang w:val="en-US"/>
        </w:rPr>
      </w:pPr>
    </w:p>
    <w:p w14:paraId="15AD5EE7" w14:textId="44ADA09F" w:rsidR="009D5379" w:rsidRPr="00155847" w:rsidRDefault="005B4600" w:rsidP="00783B4C">
      <w:pPr>
        <w:jc w:val="both"/>
        <w:rPr>
          <w:lang w:val="en-US"/>
        </w:rPr>
      </w:pPr>
      <w:r w:rsidRPr="00155847">
        <w:rPr>
          <w:rFonts w:cstheme="minorHAnsi"/>
          <w:lang w:val="en-US"/>
        </w:rPr>
        <w:t xml:space="preserve">The first dataset represents a hospital-day level dataset for all acute care hospitalizations and any administered antibiotics on those days and contains over 50,000,000 hospital days. </w:t>
      </w:r>
      <w:r w:rsidR="009D5379" w:rsidRPr="00155847">
        <w:rPr>
          <w:rFonts w:cstheme="minorHAnsi"/>
          <w:lang w:val="en-US"/>
        </w:rPr>
        <w:t xml:space="preserve">It </w:t>
      </w:r>
      <w:r w:rsidR="00805FEB" w:rsidRPr="00155847">
        <w:rPr>
          <w:rFonts w:cstheme="minorHAnsi"/>
          <w:lang w:val="en-US"/>
        </w:rPr>
        <w:t>includes information on</w:t>
      </w:r>
      <w:r w:rsidR="009D5379" w:rsidRPr="00155847">
        <w:rPr>
          <w:rFonts w:cstheme="minorHAnsi"/>
          <w:lang w:val="en-US"/>
        </w:rPr>
        <w:t xml:space="preserve"> </w:t>
      </w:r>
      <w:r w:rsidR="009D5379" w:rsidRPr="00155847">
        <w:rPr>
          <w:rStyle w:val="contentpasted0"/>
          <w:rFonts w:cstheme="minorHAnsi"/>
          <w:iCs/>
          <w:color w:val="000000"/>
          <w:lang w:val="en-US"/>
        </w:rPr>
        <w:t xml:space="preserve">patient demographics, comorbidities, mortality, readmission information, risk factors, and primary diagnosis categories. </w:t>
      </w:r>
      <w:r w:rsidR="009D5379" w:rsidRPr="00155847">
        <w:rPr>
          <w:rFonts w:cstheme="minorHAnsi"/>
          <w:lang w:val="en-US"/>
        </w:rPr>
        <w:t xml:space="preserve">We used </w:t>
      </w:r>
      <w:r w:rsidR="009D5379" w:rsidRPr="00155847">
        <w:rPr>
          <w:lang w:val="en-US"/>
        </w:rPr>
        <w:t>days of therapy divided by occupied bed days (bed days of</w:t>
      </w:r>
      <w:r w:rsidR="009D5379" w:rsidRPr="00155847">
        <w:rPr>
          <w:spacing w:val="1"/>
          <w:lang w:val="en-US"/>
        </w:rPr>
        <w:t xml:space="preserve"> </w:t>
      </w:r>
      <w:r w:rsidR="009D5379" w:rsidRPr="00155847">
        <w:rPr>
          <w:spacing w:val="-1"/>
          <w:lang w:val="en-US"/>
        </w:rPr>
        <w:t>care) as the primary measure of antibiotic use,</w:t>
      </w:r>
      <w:r w:rsidR="009D5379" w:rsidRPr="00155847">
        <w:rPr>
          <w:spacing w:val="-13"/>
          <w:lang w:val="en-US"/>
        </w:rPr>
        <w:t xml:space="preserve"> </w:t>
      </w:r>
      <w:r w:rsidR="009D5379" w:rsidRPr="00155847">
        <w:rPr>
          <w:spacing w:val="-1"/>
          <w:lang w:val="en-US"/>
        </w:rPr>
        <w:t>in</w:t>
      </w:r>
      <w:r w:rsidR="009D5379" w:rsidRPr="00155847">
        <w:rPr>
          <w:spacing w:val="-14"/>
          <w:lang w:val="en-US"/>
        </w:rPr>
        <w:t xml:space="preserve"> </w:t>
      </w:r>
      <w:r w:rsidR="009D5379" w:rsidRPr="00155847">
        <w:rPr>
          <w:spacing w:val="-1"/>
          <w:lang w:val="en-US"/>
        </w:rPr>
        <w:t>concordance</w:t>
      </w:r>
      <w:r w:rsidR="009D5379" w:rsidRPr="00155847">
        <w:rPr>
          <w:spacing w:val="-14"/>
          <w:lang w:val="en-US"/>
        </w:rPr>
        <w:t xml:space="preserve"> </w:t>
      </w:r>
      <w:r w:rsidR="009D5379" w:rsidRPr="00155847">
        <w:rPr>
          <w:spacing w:val="-1"/>
          <w:lang w:val="en-US"/>
        </w:rPr>
        <w:t>with</w:t>
      </w:r>
      <w:r w:rsidR="009D5379" w:rsidRPr="00155847">
        <w:rPr>
          <w:spacing w:val="-14"/>
          <w:lang w:val="en-US"/>
        </w:rPr>
        <w:t xml:space="preserve"> </w:t>
      </w:r>
      <w:r w:rsidR="009D5379" w:rsidRPr="00155847">
        <w:rPr>
          <w:spacing w:val="-1"/>
          <w:lang w:val="en-US"/>
        </w:rPr>
        <w:t>National</w:t>
      </w:r>
      <w:r w:rsidR="009D5379" w:rsidRPr="00155847">
        <w:rPr>
          <w:spacing w:val="-15"/>
          <w:lang w:val="en-US"/>
        </w:rPr>
        <w:t xml:space="preserve"> </w:t>
      </w:r>
      <w:r w:rsidR="009D5379" w:rsidRPr="00155847">
        <w:rPr>
          <w:spacing w:val="-1"/>
          <w:lang w:val="en-US"/>
        </w:rPr>
        <w:t>Health</w:t>
      </w:r>
      <w:r w:rsidR="009D5379" w:rsidRPr="00155847">
        <w:rPr>
          <w:spacing w:val="-14"/>
          <w:lang w:val="en-US"/>
        </w:rPr>
        <w:t xml:space="preserve"> </w:t>
      </w:r>
      <w:r w:rsidR="009D5379" w:rsidRPr="00155847">
        <w:rPr>
          <w:spacing w:val="-1"/>
          <w:lang w:val="en-US"/>
        </w:rPr>
        <w:t>Safety</w:t>
      </w:r>
      <w:r w:rsidR="009D5379" w:rsidRPr="00155847">
        <w:rPr>
          <w:spacing w:val="-16"/>
          <w:lang w:val="en-US"/>
        </w:rPr>
        <w:t xml:space="preserve"> </w:t>
      </w:r>
      <w:r w:rsidR="009D5379" w:rsidRPr="00155847">
        <w:rPr>
          <w:spacing w:val="-1"/>
          <w:lang w:val="en-US"/>
        </w:rPr>
        <w:t>Network</w:t>
      </w:r>
      <w:r w:rsidR="009D5379" w:rsidRPr="00155847">
        <w:rPr>
          <w:spacing w:val="-16"/>
          <w:lang w:val="en-US"/>
        </w:rPr>
        <w:t xml:space="preserve"> </w:t>
      </w:r>
      <w:r w:rsidR="009D5379" w:rsidRPr="00155847">
        <w:rPr>
          <w:spacing w:val="-1"/>
          <w:lang w:val="en-US"/>
        </w:rPr>
        <w:t>(NHSN)</w:t>
      </w:r>
      <w:r w:rsidR="009D5379" w:rsidRPr="00155847">
        <w:rPr>
          <w:spacing w:val="-12"/>
          <w:lang w:val="en-US"/>
        </w:rPr>
        <w:t xml:space="preserve"> </w:t>
      </w:r>
      <w:r w:rsidR="009D5379" w:rsidRPr="00155847">
        <w:rPr>
          <w:lang w:val="en-US"/>
        </w:rPr>
        <w:t>guidelines</w:t>
      </w:r>
      <w:r w:rsidR="009D5379" w:rsidRPr="00155847">
        <w:rPr>
          <w:spacing w:val="-14"/>
          <w:lang w:val="en-US"/>
        </w:rPr>
        <w:t xml:space="preserve"> </w:t>
      </w:r>
      <w:r w:rsidR="009D5379" w:rsidRPr="00155847">
        <w:rPr>
          <w:lang w:val="en-US"/>
        </w:rPr>
        <w:t>for</w:t>
      </w:r>
      <w:r w:rsidR="009D5379" w:rsidRPr="00155847">
        <w:rPr>
          <w:spacing w:val="-15"/>
          <w:lang w:val="en-US"/>
        </w:rPr>
        <w:t xml:space="preserve"> </w:t>
      </w:r>
      <w:r w:rsidR="009D5379" w:rsidRPr="00155847">
        <w:rPr>
          <w:lang w:val="en-US"/>
        </w:rPr>
        <w:t>electronic</w:t>
      </w:r>
      <w:r w:rsidR="009D5379" w:rsidRPr="00155847">
        <w:rPr>
          <w:spacing w:val="-14"/>
          <w:lang w:val="en-US"/>
        </w:rPr>
        <w:t xml:space="preserve"> </w:t>
      </w:r>
      <w:r w:rsidR="009D5379" w:rsidRPr="00155847">
        <w:rPr>
          <w:lang w:val="en-US"/>
        </w:rPr>
        <w:t>reporting</w:t>
      </w:r>
      <w:r w:rsidR="009D5379" w:rsidRPr="00155847">
        <w:rPr>
          <w:spacing w:val="-16"/>
          <w:lang w:val="en-US"/>
        </w:rPr>
        <w:t xml:space="preserve"> </w:t>
      </w:r>
      <w:r w:rsidR="009D5379" w:rsidRPr="00155847">
        <w:rPr>
          <w:lang w:val="en-US"/>
        </w:rPr>
        <w:t>of</w:t>
      </w:r>
      <w:r w:rsidR="009D5379" w:rsidRPr="00155847">
        <w:rPr>
          <w:spacing w:val="-13"/>
          <w:lang w:val="en-US"/>
        </w:rPr>
        <w:t xml:space="preserve"> </w:t>
      </w:r>
      <w:r w:rsidR="009D5379" w:rsidRPr="00155847">
        <w:rPr>
          <w:lang w:val="en-US"/>
        </w:rPr>
        <w:t>antibiotic</w:t>
      </w:r>
      <w:r w:rsidR="009D5379" w:rsidRPr="00155847">
        <w:rPr>
          <w:spacing w:val="1"/>
          <w:lang w:val="en-US"/>
        </w:rPr>
        <w:t xml:space="preserve"> </w:t>
      </w:r>
      <w:r w:rsidR="009D5379" w:rsidRPr="00155847">
        <w:rPr>
          <w:lang w:val="en-US"/>
        </w:rPr>
        <w:t>utilization</w:t>
      </w:r>
      <w:r w:rsidR="009D5379" w:rsidRPr="00155847">
        <w:rPr>
          <w:spacing w:val="-7"/>
          <w:lang w:val="en-US"/>
        </w:rPr>
        <w:t xml:space="preserve"> </w:t>
      </w:r>
      <w:r w:rsidR="009D5379" w:rsidRPr="00155847">
        <w:rPr>
          <w:lang w:val="en-US"/>
        </w:rPr>
        <w:t>data.</w:t>
      </w:r>
      <w:sdt>
        <w:sdtPr>
          <w:rPr>
            <w:color w:val="000000"/>
            <w:vertAlign w:val="superscript"/>
            <w:lang w:val="en-US"/>
          </w:rPr>
          <w:tag w:val="MENDELEY_CITATION_v3_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"/>
          <w:id w:val="240537281"/>
          <w:placeholder>
            <w:docPart w:val="DefaultPlaceholder_-1854013440"/>
          </w:placeholder>
        </w:sdtPr>
        <w:sdtContent>
          <w:r w:rsidR="00D83908" w:rsidRPr="00D83908">
            <w:rPr>
              <w:color w:val="000000"/>
              <w:vertAlign w:val="superscript"/>
              <w:lang w:val="en-US"/>
            </w:rPr>
            <w:t>3</w:t>
          </w:r>
        </w:sdtContent>
      </w:sdt>
      <w:r w:rsidR="009D5379" w:rsidRPr="00155847">
        <w:rPr>
          <w:lang w:val="en-US"/>
        </w:rPr>
        <w:t xml:space="preserve"> </w:t>
      </w:r>
    </w:p>
    <w:p w14:paraId="7372BEAE" w14:textId="77777777" w:rsidR="00E113A2" w:rsidRPr="00155847" w:rsidRDefault="00E113A2" w:rsidP="00783B4C">
      <w:pPr>
        <w:jc w:val="both"/>
        <w:rPr>
          <w:rFonts w:cstheme="minorHAnsi"/>
          <w:lang w:val="en-US"/>
        </w:rPr>
      </w:pPr>
    </w:p>
    <w:p w14:paraId="47063A1B" w14:textId="4A16AFEE" w:rsidR="005F2931" w:rsidRPr="00155847" w:rsidRDefault="005B4600" w:rsidP="00783B4C">
      <w:pPr>
        <w:jc w:val="both"/>
        <w:rPr>
          <w:rFonts w:cstheme="minorHAnsi"/>
          <w:lang w:val="en-US"/>
        </w:rPr>
      </w:pPr>
      <w:r w:rsidRPr="00155847">
        <w:rPr>
          <w:rFonts w:cstheme="minorHAnsi"/>
          <w:lang w:val="en-US"/>
        </w:rPr>
        <w:t xml:space="preserve">The second dataset includes all microbiology cultures of </w:t>
      </w:r>
      <w:r w:rsidR="00783B4C" w:rsidRPr="00155847">
        <w:rPr>
          <w:rFonts w:cstheme="minorHAnsi"/>
          <w:lang w:val="en-US"/>
        </w:rPr>
        <w:t xml:space="preserve">the nine </w:t>
      </w:r>
      <w:r w:rsidRPr="00155847">
        <w:rPr>
          <w:rFonts w:cstheme="minorHAnsi"/>
          <w:lang w:val="en-US"/>
        </w:rPr>
        <w:t>target organisms (</w:t>
      </w:r>
      <w:r w:rsidRPr="00155847">
        <w:rPr>
          <w:rFonts w:cstheme="minorHAnsi"/>
          <w:i/>
          <w:lang w:val="en-US"/>
        </w:rPr>
        <w:t>Staphylococcus aureus</w:t>
      </w:r>
      <w:r w:rsidRPr="00155847">
        <w:rPr>
          <w:rFonts w:cstheme="minorHAnsi"/>
          <w:lang w:val="en-US"/>
        </w:rPr>
        <w:t xml:space="preserve">, </w:t>
      </w:r>
      <w:r w:rsidRPr="00155847">
        <w:rPr>
          <w:rFonts w:cstheme="minorHAnsi"/>
          <w:i/>
          <w:lang w:val="en-US"/>
        </w:rPr>
        <w:t>Enterococcus faecalis</w:t>
      </w:r>
      <w:r w:rsidRPr="00155847">
        <w:rPr>
          <w:rFonts w:cstheme="minorHAnsi"/>
          <w:lang w:val="en-US"/>
        </w:rPr>
        <w:t xml:space="preserve">, </w:t>
      </w:r>
      <w:r w:rsidRPr="00155847">
        <w:rPr>
          <w:rFonts w:cstheme="minorHAnsi"/>
          <w:i/>
          <w:lang w:val="en-US"/>
        </w:rPr>
        <w:t>Enterococcus faecium</w:t>
      </w:r>
      <w:r w:rsidRPr="00155847">
        <w:rPr>
          <w:rFonts w:cstheme="minorHAnsi"/>
          <w:lang w:val="en-US"/>
        </w:rPr>
        <w:t xml:space="preserve">, </w:t>
      </w:r>
      <w:r w:rsidRPr="00155847">
        <w:rPr>
          <w:rFonts w:cstheme="minorHAnsi"/>
          <w:i/>
          <w:lang w:val="en-US"/>
        </w:rPr>
        <w:t>Escherichia coli</w:t>
      </w:r>
      <w:r w:rsidRPr="00155847">
        <w:rPr>
          <w:rFonts w:cstheme="minorHAnsi"/>
          <w:lang w:val="en-US"/>
        </w:rPr>
        <w:t xml:space="preserve">, </w:t>
      </w:r>
      <w:r w:rsidRPr="00155847">
        <w:rPr>
          <w:rFonts w:cstheme="minorHAnsi"/>
          <w:i/>
          <w:lang w:val="en-US"/>
        </w:rPr>
        <w:t>Klebsiella pneumoniae</w:t>
      </w:r>
      <w:r w:rsidRPr="00155847">
        <w:rPr>
          <w:rFonts w:cstheme="minorHAnsi"/>
          <w:lang w:val="en-US"/>
        </w:rPr>
        <w:t xml:space="preserve">, </w:t>
      </w:r>
      <w:r w:rsidRPr="00155847">
        <w:rPr>
          <w:rFonts w:cstheme="minorHAnsi"/>
          <w:i/>
          <w:lang w:val="en-US"/>
        </w:rPr>
        <w:t>Enterobacter</w:t>
      </w:r>
      <w:r w:rsidRPr="00155847">
        <w:rPr>
          <w:rFonts w:cstheme="minorHAnsi"/>
          <w:lang w:val="en-US"/>
        </w:rPr>
        <w:t xml:space="preserve"> </w:t>
      </w:r>
      <w:r w:rsidRPr="00155847">
        <w:rPr>
          <w:rFonts w:cstheme="minorHAnsi"/>
          <w:i/>
          <w:lang w:val="en-US"/>
        </w:rPr>
        <w:t>cloacae</w:t>
      </w:r>
      <w:r w:rsidRPr="00155847">
        <w:rPr>
          <w:rFonts w:cstheme="minorHAnsi"/>
          <w:lang w:val="en-US"/>
        </w:rPr>
        <w:t xml:space="preserve">, </w:t>
      </w:r>
      <w:r w:rsidRPr="00155847">
        <w:rPr>
          <w:rFonts w:cstheme="minorHAnsi"/>
          <w:i/>
          <w:lang w:val="en-US"/>
        </w:rPr>
        <w:t>Serratia marcescens</w:t>
      </w:r>
      <w:r w:rsidRPr="00155847">
        <w:rPr>
          <w:rFonts w:cstheme="minorHAnsi"/>
          <w:lang w:val="en-US"/>
        </w:rPr>
        <w:t xml:space="preserve">, </w:t>
      </w:r>
      <w:r w:rsidRPr="00155847">
        <w:rPr>
          <w:rFonts w:cstheme="minorHAnsi"/>
          <w:i/>
          <w:lang w:val="en-US"/>
        </w:rPr>
        <w:t>Pseudomonas aeruginosa</w:t>
      </w:r>
      <w:r w:rsidRPr="00155847">
        <w:rPr>
          <w:rFonts w:cstheme="minorHAnsi"/>
          <w:lang w:val="en-US"/>
        </w:rPr>
        <w:t xml:space="preserve">, </w:t>
      </w:r>
      <w:r w:rsidRPr="00155847">
        <w:rPr>
          <w:rFonts w:cstheme="minorHAnsi"/>
          <w:i/>
          <w:lang w:val="en-US"/>
        </w:rPr>
        <w:t>Acinetobacter sp</w:t>
      </w:r>
      <w:r w:rsidRPr="00155847">
        <w:rPr>
          <w:rFonts w:cstheme="minorHAnsi"/>
          <w:lang w:val="en-US"/>
        </w:rPr>
        <w:t xml:space="preserve">.), and their </w:t>
      </w:r>
      <w:r w:rsidR="00783B4C" w:rsidRPr="00155847">
        <w:rPr>
          <w:rFonts w:cstheme="minorHAnsi"/>
          <w:lang w:val="en-US"/>
        </w:rPr>
        <w:t xml:space="preserve">antibiotic susceptibility </w:t>
      </w:r>
      <w:r w:rsidRPr="00155847">
        <w:rPr>
          <w:rFonts w:cstheme="minorHAnsi"/>
          <w:lang w:val="en-US"/>
        </w:rPr>
        <w:t xml:space="preserve">patterns. </w:t>
      </w:r>
      <w:r w:rsidR="00BA43C1">
        <w:rPr>
          <w:rFonts w:cstheme="minorHAnsi"/>
          <w:lang w:val="en-US"/>
        </w:rPr>
        <w:t xml:space="preserve">For our analysis, we </w:t>
      </w:r>
      <w:r w:rsidR="00BA43C1" w:rsidRPr="00BA43C1">
        <w:rPr>
          <w:rFonts w:cstheme="minorHAnsi"/>
          <w:lang w:val="en-US"/>
        </w:rPr>
        <w:t>consider</w:t>
      </w:r>
      <w:r w:rsidR="00BA43C1">
        <w:rPr>
          <w:rFonts w:cstheme="minorHAnsi"/>
          <w:lang w:val="en-US"/>
        </w:rPr>
        <w:t>ed</w:t>
      </w:r>
      <w:r w:rsidR="00BA43C1" w:rsidRPr="00BA43C1">
        <w:rPr>
          <w:rFonts w:cstheme="minorHAnsi"/>
          <w:lang w:val="en-US"/>
        </w:rPr>
        <w:t xml:space="preserve"> </w:t>
      </w:r>
      <w:r w:rsidR="00BA43C1">
        <w:rPr>
          <w:rFonts w:cstheme="minorHAnsi"/>
          <w:lang w:val="en-US"/>
        </w:rPr>
        <w:t>only</w:t>
      </w:r>
      <w:r w:rsidR="00BA43C1" w:rsidRPr="00BA43C1">
        <w:rPr>
          <w:rFonts w:cstheme="minorHAnsi"/>
          <w:lang w:val="en-US"/>
        </w:rPr>
        <w:t xml:space="preserve"> positive clinical cultures and removed any surveillance cultures. These clinical cultures were obtained only when infection is suspected in symptomatic individuals. </w:t>
      </w:r>
      <w:r w:rsidRPr="00155847">
        <w:rPr>
          <w:rFonts w:cstheme="minorHAnsi"/>
          <w:lang w:val="en-US"/>
        </w:rPr>
        <w:t>The systemic antibiotics were broken out by specific antibiotics</w:t>
      </w:r>
      <w:r w:rsidR="005F2931" w:rsidRPr="00155847">
        <w:rPr>
          <w:rFonts w:cstheme="minorHAnsi"/>
          <w:lang w:val="en-US"/>
        </w:rPr>
        <w:t xml:space="preserve"> (</w:t>
      </w:r>
      <w:r w:rsidR="00155847">
        <w:rPr>
          <w:rFonts w:cstheme="minorHAnsi"/>
          <w:lang w:val="en-US"/>
        </w:rPr>
        <w:fldChar w:fldCharType="begin"/>
      </w:r>
      <w:r w:rsidR="00155847">
        <w:rPr>
          <w:rFonts w:cstheme="minorHAnsi"/>
          <w:lang w:val="en-US"/>
        </w:rPr>
        <w:instrText xml:space="preserve"> REF _Ref156379648 \h </w:instrText>
      </w:r>
      <w:r w:rsidR="00155847">
        <w:rPr>
          <w:rFonts w:cstheme="minorHAnsi"/>
          <w:lang w:val="en-US"/>
        </w:rPr>
      </w:r>
      <w:r w:rsidR="00155847">
        <w:rPr>
          <w:rFonts w:cstheme="minorHAnsi"/>
          <w:lang w:val="en-US"/>
        </w:rPr>
        <w:fldChar w:fldCharType="separate"/>
      </w:r>
      <w:r w:rsidR="001F36C9">
        <w:t>Table S</w:t>
      </w:r>
      <w:r w:rsidR="001F36C9">
        <w:rPr>
          <w:noProof/>
        </w:rPr>
        <w:t>1</w:t>
      </w:r>
      <w:r w:rsidR="00155847">
        <w:rPr>
          <w:rFonts w:cstheme="minorHAnsi"/>
          <w:lang w:val="en-US"/>
        </w:rPr>
        <w:fldChar w:fldCharType="end"/>
      </w:r>
      <w:r w:rsidR="005F2931" w:rsidRPr="00155847">
        <w:rPr>
          <w:rFonts w:cstheme="minorHAnsi"/>
          <w:lang w:val="en-US"/>
        </w:rPr>
        <w:t>)</w:t>
      </w:r>
      <w:r w:rsidR="00A723C2">
        <w:rPr>
          <w:rFonts w:cstheme="minorHAnsi"/>
          <w:lang w:val="en-US"/>
        </w:rPr>
        <w:t xml:space="preserve"> and </w:t>
      </w:r>
      <w:r w:rsidR="00783B4C" w:rsidRPr="00155847">
        <w:rPr>
          <w:rFonts w:cstheme="minorHAnsi"/>
          <w:lang w:val="en-US"/>
        </w:rPr>
        <w:t xml:space="preserve">antibiotic </w:t>
      </w:r>
      <w:r w:rsidR="00533DFB" w:rsidRPr="00155847">
        <w:rPr>
          <w:rFonts w:cstheme="minorHAnsi"/>
          <w:lang w:val="en-US"/>
        </w:rPr>
        <w:t>(sub)</w:t>
      </w:r>
      <w:r w:rsidR="00783B4C" w:rsidRPr="00155847">
        <w:rPr>
          <w:rFonts w:cstheme="minorHAnsi"/>
          <w:lang w:val="en-US"/>
        </w:rPr>
        <w:t xml:space="preserve">class, and </w:t>
      </w:r>
      <w:r w:rsidRPr="00155847">
        <w:rPr>
          <w:rFonts w:cstheme="minorHAnsi"/>
          <w:lang w:val="en-US"/>
        </w:rPr>
        <w:t xml:space="preserve">by </w:t>
      </w:r>
      <w:r w:rsidR="00045B7C">
        <w:rPr>
          <w:rFonts w:cstheme="minorHAnsi"/>
          <w:lang w:val="en-US"/>
        </w:rPr>
        <w:t>St</w:t>
      </w:r>
      <w:r w:rsidR="00A723C2">
        <w:rPr>
          <w:rFonts w:cstheme="minorHAnsi"/>
          <w:lang w:val="en-US"/>
        </w:rPr>
        <w:t>a</w:t>
      </w:r>
      <w:r w:rsidR="00045B7C">
        <w:rPr>
          <w:rFonts w:cstheme="minorHAnsi"/>
          <w:lang w:val="en-US"/>
        </w:rPr>
        <w:t>ndardized Antimicrobial Administration Ratio (</w:t>
      </w:r>
      <w:r w:rsidRPr="00155847">
        <w:rPr>
          <w:rFonts w:cstheme="minorHAnsi"/>
          <w:lang w:val="en-US"/>
        </w:rPr>
        <w:t>SAAR</w:t>
      </w:r>
      <w:r w:rsidR="00045B7C">
        <w:rPr>
          <w:rFonts w:cstheme="minorHAnsi"/>
          <w:lang w:val="en-US"/>
        </w:rPr>
        <w:t>)</w:t>
      </w:r>
      <w:r w:rsidRPr="00155847">
        <w:rPr>
          <w:rFonts w:cstheme="minorHAnsi"/>
          <w:lang w:val="en-US"/>
        </w:rPr>
        <w:t xml:space="preserve"> antimicrobial categor</w:t>
      </w:r>
      <w:r w:rsidR="00783B4C" w:rsidRPr="00155847">
        <w:rPr>
          <w:rFonts w:cstheme="minorHAnsi"/>
          <w:lang w:val="en-US"/>
        </w:rPr>
        <w:t>y</w:t>
      </w:r>
      <w:r w:rsidRPr="00155847">
        <w:rPr>
          <w:rFonts w:cstheme="minorHAnsi"/>
          <w:lang w:val="en-US"/>
        </w:rPr>
        <w:t>.</w:t>
      </w:r>
      <w:sdt>
        <w:sdtPr>
          <w:rPr>
            <w:rFonts w:cstheme="minorHAnsi"/>
            <w:color w:val="000000"/>
            <w:vertAlign w:val="superscript"/>
            <w:lang w:val="en-US"/>
          </w:rPr>
          <w:tag w:val="MENDELEY_CITATION_v3_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"/>
          <w:id w:val="-846871809"/>
          <w:placeholder>
            <w:docPart w:val="DefaultPlaceholder_-1854013440"/>
          </w:placeholder>
        </w:sdtPr>
        <w:sdtContent>
          <w:r w:rsidR="00D83908" w:rsidRPr="00D83908">
            <w:rPr>
              <w:rFonts w:cstheme="minorHAnsi"/>
              <w:color w:val="000000"/>
              <w:vertAlign w:val="superscript"/>
              <w:lang w:val="en-US"/>
            </w:rPr>
            <w:t>4</w:t>
          </w:r>
        </w:sdtContent>
      </w:sdt>
      <w:r w:rsidR="00045B7C">
        <w:rPr>
          <w:rFonts w:cstheme="minorHAnsi"/>
          <w:lang w:val="en-US"/>
        </w:rPr>
        <w:t xml:space="preserve"> </w:t>
      </w:r>
      <w:r w:rsidR="005F2931" w:rsidRPr="00155847">
        <w:rPr>
          <w:rFonts w:cstheme="minorHAnsi"/>
          <w:lang w:val="en-US"/>
        </w:rPr>
        <w:t>The antibiotic susceptibility test</w:t>
      </w:r>
      <w:r w:rsidR="006C0883">
        <w:rPr>
          <w:rFonts w:cstheme="minorHAnsi"/>
          <w:lang w:val="en-US"/>
        </w:rPr>
        <w:t xml:space="preserve"> (AST)</w:t>
      </w:r>
      <w:r w:rsidR="005F2931" w:rsidRPr="00155847">
        <w:rPr>
          <w:rFonts w:cstheme="minorHAnsi"/>
          <w:lang w:val="en-US"/>
        </w:rPr>
        <w:t xml:space="preserve"> results for the key antibiotics/antibiotic classes (methicillin, fluoroquinolone, 3</w:t>
      </w:r>
      <w:r w:rsidR="005F2931" w:rsidRPr="00155847">
        <w:rPr>
          <w:rFonts w:cstheme="minorHAnsi"/>
          <w:vertAlign w:val="superscript"/>
          <w:lang w:val="en-US"/>
        </w:rPr>
        <w:t>rd</w:t>
      </w:r>
      <w:r w:rsidR="005F2931" w:rsidRPr="00155847">
        <w:rPr>
          <w:rFonts w:cstheme="minorHAnsi"/>
          <w:lang w:val="en-US"/>
        </w:rPr>
        <w:t xml:space="preserve"> generation cephalosporins, carbapenem, vancomycin) were determined by </w:t>
      </w:r>
      <w:r w:rsidR="005F2931" w:rsidRPr="00E113A2">
        <w:rPr>
          <w:lang w:val="en-US"/>
        </w:rPr>
        <w:t>reported minimum inhibitory concentrations</w:t>
      </w:r>
      <w:r w:rsidR="005F2931" w:rsidRPr="00155847">
        <w:rPr>
          <w:rFonts w:cstheme="minorHAnsi"/>
          <w:lang w:val="en-US"/>
        </w:rPr>
        <w:t xml:space="preserve"> (MIC) for specific antibiotics or by tests of specific genetic determinants (</w:t>
      </w:r>
      <w:r w:rsidR="00155847">
        <w:rPr>
          <w:rFonts w:cstheme="minorHAnsi"/>
          <w:lang w:val="en-US"/>
        </w:rPr>
        <w:fldChar w:fldCharType="begin"/>
      </w:r>
      <w:r w:rsidR="00155847">
        <w:rPr>
          <w:rFonts w:cstheme="minorHAnsi"/>
          <w:lang w:val="en-US"/>
        </w:rPr>
        <w:instrText xml:space="preserve"> REF _Ref156379648 \h </w:instrText>
      </w:r>
      <w:r w:rsidR="00155847">
        <w:rPr>
          <w:rFonts w:cstheme="minorHAnsi"/>
          <w:lang w:val="en-US"/>
        </w:rPr>
      </w:r>
      <w:r w:rsidR="00155847">
        <w:rPr>
          <w:rFonts w:cstheme="minorHAnsi"/>
          <w:lang w:val="en-US"/>
        </w:rPr>
        <w:fldChar w:fldCharType="separate"/>
      </w:r>
      <w:r w:rsidR="001F36C9">
        <w:t>Table S</w:t>
      </w:r>
      <w:r w:rsidR="001F36C9">
        <w:rPr>
          <w:noProof/>
        </w:rPr>
        <w:t>1</w:t>
      </w:r>
      <w:r w:rsidR="00155847">
        <w:rPr>
          <w:rFonts w:cstheme="minorHAnsi"/>
          <w:lang w:val="en-US"/>
        </w:rPr>
        <w:fldChar w:fldCharType="end"/>
      </w:r>
      <w:r w:rsidR="005F2931" w:rsidRPr="00155847">
        <w:rPr>
          <w:rFonts w:cstheme="minorHAnsi"/>
          <w:lang w:val="en-US"/>
        </w:rPr>
        <w:t xml:space="preserve">). </w:t>
      </w:r>
      <w:r w:rsidR="006C0883">
        <w:rPr>
          <w:rFonts w:cstheme="minorHAnsi"/>
          <w:lang w:val="en-US"/>
        </w:rPr>
        <w:t>Interpretation of AST results adhered to breakpoint revisions by the Clinical and Laboratory Standards Institute.</w:t>
      </w:r>
    </w:p>
    <w:p w14:paraId="2E60B0A6" w14:textId="77777777" w:rsidR="00E113A2" w:rsidRPr="00155847" w:rsidRDefault="00E113A2" w:rsidP="00783B4C">
      <w:pPr>
        <w:jc w:val="both"/>
        <w:rPr>
          <w:rFonts w:cstheme="minorHAnsi"/>
          <w:lang w:val="en-US"/>
        </w:rPr>
      </w:pPr>
    </w:p>
    <w:p w14:paraId="5C13DCDD" w14:textId="011C334B" w:rsidR="006C0883" w:rsidRDefault="005B4600" w:rsidP="00783B4C">
      <w:pPr>
        <w:jc w:val="both"/>
        <w:rPr>
          <w:lang w:val="en-US"/>
        </w:rPr>
      </w:pPr>
      <w:r w:rsidRPr="00155847">
        <w:rPr>
          <w:rFonts w:cstheme="minorHAnsi"/>
          <w:lang w:val="en-US"/>
        </w:rPr>
        <w:t xml:space="preserve">The microbiology-level dataset contains identification for clinical cultures that are classified as </w:t>
      </w:r>
      <w:r w:rsidR="00783B4C" w:rsidRPr="00155847">
        <w:rPr>
          <w:rFonts w:cstheme="minorHAnsi"/>
          <w:lang w:val="en-US"/>
        </w:rPr>
        <w:t xml:space="preserve">community-onset (within 72 hours after admission), </w:t>
      </w:r>
      <w:r w:rsidRPr="00155847">
        <w:rPr>
          <w:rFonts w:cstheme="minorHAnsi"/>
          <w:lang w:val="en-US"/>
        </w:rPr>
        <w:t>hospital</w:t>
      </w:r>
      <w:r w:rsidR="00783B4C" w:rsidRPr="00155847">
        <w:rPr>
          <w:rFonts w:cstheme="minorHAnsi"/>
          <w:lang w:val="en-US"/>
        </w:rPr>
        <w:t>-</w:t>
      </w:r>
      <w:r w:rsidRPr="00155847">
        <w:rPr>
          <w:rFonts w:cstheme="minorHAnsi"/>
          <w:lang w:val="en-US"/>
        </w:rPr>
        <w:t>onset</w:t>
      </w:r>
      <w:r w:rsidR="00783B4C" w:rsidRPr="00155847">
        <w:rPr>
          <w:rFonts w:cstheme="minorHAnsi"/>
          <w:lang w:val="en-US"/>
        </w:rPr>
        <w:t xml:space="preserve"> (after 72 hours post hospital admission), </w:t>
      </w:r>
      <w:r w:rsidRPr="00155847">
        <w:rPr>
          <w:rFonts w:cstheme="minorHAnsi"/>
          <w:lang w:val="en-US"/>
        </w:rPr>
        <w:t>or 30-day post discharge onset.</w:t>
      </w:r>
      <w:r w:rsidR="00783B4C" w:rsidRPr="00155847">
        <w:rPr>
          <w:rFonts w:cstheme="minorHAnsi"/>
          <w:lang w:val="en-US"/>
        </w:rPr>
        <w:t xml:space="preserve"> In our analysis</w:t>
      </w:r>
      <w:r w:rsidR="00155847">
        <w:rPr>
          <w:rFonts w:cstheme="minorHAnsi"/>
          <w:lang w:val="en-US"/>
        </w:rPr>
        <w:t>,</w:t>
      </w:r>
      <w:r w:rsidR="00783B4C" w:rsidRPr="00155847">
        <w:rPr>
          <w:rFonts w:cstheme="minorHAnsi"/>
          <w:lang w:val="en-US"/>
        </w:rPr>
        <w:t xml:space="preserve"> we considered clinical cultures that were classified as hospital-onset or post-discharge as hospital-associated.</w:t>
      </w:r>
      <w:r w:rsidR="00BA43C1">
        <w:rPr>
          <w:rFonts w:cstheme="minorHAnsi"/>
          <w:lang w:val="en-US"/>
        </w:rPr>
        <w:t xml:space="preserve"> </w:t>
      </w:r>
      <w:r w:rsidR="007E554A">
        <w:rPr>
          <w:rFonts w:cstheme="minorHAnsi"/>
          <w:lang w:val="en-US"/>
        </w:rPr>
        <w:t xml:space="preserve">Under the assumption that clinical cultures taken at least 30 days apart belong to different clinical infections, </w:t>
      </w:r>
      <w:r w:rsidR="007E554A">
        <w:rPr>
          <w:lang w:val="en-US"/>
        </w:rPr>
        <w:t>w</w:t>
      </w:r>
      <w:r w:rsidR="0036077F">
        <w:rPr>
          <w:lang w:val="en-US"/>
        </w:rPr>
        <w:t xml:space="preserve">e defined a (30-day) incident isolate as </w:t>
      </w:r>
      <w:r w:rsidR="005C5A6E">
        <w:rPr>
          <w:lang w:val="en-US"/>
        </w:rPr>
        <w:t>a clinical culture</w:t>
      </w:r>
      <w:r w:rsidR="0036077F">
        <w:rPr>
          <w:lang w:val="en-US"/>
        </w:rPr>
        <w:t xml:space="preserve"> where no other </w:t>
      </w:r>
      <w:r w:rsidR="005C5A6E">
        <w:rPr>
          <w:lang w:val="en-US"/>
        </w:rPr>
        <w:t>clinical culture</w:t>
      </w:r>
      <w:r w:rsidR="0036077F">
        <w:rPr>
          <w:lang w:val="en-US"/>
        </w:rPr>
        <w:t xml:space="preserve"> of the same species was identified in the prior 30 days and used it as a proxy measure for clinical infection incidence. We defined b</w:t>
      </w:r>
      <w:r w:rsidR="0036077F" w:rsidRPr="00664DB3">
        <w:rPr>
          <w:lang w:val="en-US"/>
        </w:rPr>
        <w:t xml:space="preserve">loodstream infections as </w:t>
      </w:r>
      <w:r w:rsidR="001F36C9">
        <w:rPr>
          <w:lang w:val="en-US"/>
        </w:rPr>
        <w:t xml:space="preserve">positive </w:t>
      </w:r>
      <w:r w:rsidR="0036077F">
        <w:rPr>
          <w:lang w:val="en-US"/>
        </w:rPr>
        <w:t xml:space="preserve">cultures </w:t>
      </w:r>
      <w:r w:rsidR="001F36C9">
        <w:rPr>
          <w:lang w:val="en-US"/>
        </w:rPr>
        <w:t xml:space="preserve">for a target organism </w:t>
      </w:r>
      <w:r w:rsidR="0036077F" w:rsidRPr="00664DB3">
        <w:rPr>
          <w:lang w:val="en-US"/>
        </w:rPr>
        <w:t xml:space="preserve">from blood samples. Nonblood infections were defined as isolation from any other sample type, excluding those obtained for surveillance purposes and those obtained within 14 days </w:t>
      </w:r>
      <w:r w:rsidR="0036077F">
        <w:rPr>
          <w:lang w:val="en-US"/>
        </w:rPr>
        <w:t xml:space="preserve">following </w:t>
      </w:r>
      <w:r w:rsidR="0036077F" w:rsidRPr="00664DB3">
        <w:rPr>
          <w:lang w:val="en-US"/>
        </w:rPr>
        <w:t xml:space="preserve">a positive blood culture. </w:t>
      </w:r>
      <w:r w:rsidR="006C0883" w:rsidRPr="006C0883">
        <w:rPr>
          <w:lang w:val="en-US"/>
        </w:rPr>
        <w:t xml:space="preserve">When multiple species were recovered from </w:t>
      </w:r>
      <w:r w:rsidR="006C0883" w:rsidRPr="006C0883">
        <w:rPr>
          <w:lang w:val="en-US"/>
        </w:rPr>
        <w:lastRenderedPageBreak/>
        <w:t xml:space="preserve">the same sample or from different samples collected during the same hospitalization, each incident isolate was </w:t>
      </w:r>
      <w:r w:rsidR="006C0883">
        <w:rPr>
          <w:lang w:val="en-US"/>
        </w:rPr>
        <w:t xml:space="preserve">separately </w:t>
      </w:r>
      <w:r w:rsidR="006C0883" w:rsidRPr="006C0883">
        <w:rPr>
          <w:lang w:val="en-US"/>
        </w:rPr>
        <w:t>counted in the analysis of a given species.</w:t>
      </w:r>
    </w:p>
    <w:p w14:paraId="1AC5D690" w14:textId="77777777" w:rsidR="002461C4" w:rsidRDefault="002461C4" w:rsidP="00783B4C">
      <w:pPr>
        <w:jc w:val="both"/>
        <w:rPr>
          <w:lang w:val="en-US"/>
        </w:rPr>
      </w:pPr>
    </w:p>
    <w:p w14:paraId="43D6D860" w14:textId="48C4C760" w:rsidR="00155847" w:rsidRPr="008D7F3B" w:rsidRDefault="00155847" w:rsidP="0065657A">
      <w:pPr>
        <w:rPr>
          <w:bCs/>
          <w:szCs w:val="18"/>
        </w:rPr>
      </w:pPr>
      <w:bookmarkStart w:id="22" w:name="_Ref156379648"/>
      <w:r w:rsidRPr="0065657A">
        <w:rPr>
          <w:b/>
          <w:bCs/>
          <w:sz w:val="18"/>
          <w:szCs w:val="18"/>
        </w:rPr>
        <w:t>Table S</w:t>
      </w:r>
      <w:r w:rsidRPr="0065657A">
        <w:rPr>
          <w:b/>
          <w:bCs/>
          <w:sz w:val="18"/>
          <w:szCs w:val="18"/>
        </w:rPr>
        <w:fldChar w:fldCharType="begin"/>
      </w:r>
      <w:r w:rsidRPr="0065657A">
        <w:rPr>
          <w:b/>
          <w:bCs/>
          <w:sz w:val="18"/>
          <w:szCs w:val="18"/>
        </w:rPr>
        <w:instrText xml:space="preserve"> SEQ Table_S \* ARABIC </w:instrText>
      </w:r>
      <w:r w:rsidRPr="0065657A">
        <w:rPr>
          <w:b/>
          <w:bCs/>
          <w:sz w:val="18"/>
          <w:szCs w:val="18"/>
        </w:rPr>
        <w:fldChar w:fldCharType="separate"/>
      </w:r>
      <w:r w:rsidR="00EC4F6F">
        <w:rPr>
          <w:b/>
          <w:bCs/>
          <w:noProof/>
          <w:sz w:val="18"/>
          <w:szCs w:val="18"/>
        </w:rPr>
        <w:t>1</w:t>
      </w:r>
      <w:r w:rsidRPr="0065657A">
        <w:rPr>
          <w:b/>
          <w:bCs/>
          <w:noProof/>
          <w:sz w:val="18"/>
          <w:szCs w:val="18"/>
        </w:rPr>
        <w:fldChar w:fldCharType="end"/>
      </w:r>
      <w:bookmarkEnd w:id="22"/>
      <w:r w:rsidRPr="0065657A">
        <w:rPr>
          <w:b/>
          <w:bCs/>
          <w:sz w:val="18"/>
          <w:szCs w:val="18"/>
        </w:rPr>
        <w:t xml:space="preserve">. </w:t>
      </w:r>
      <w:r w:rsidRPr="0065657A">
        <w:rPr>
          <w:b/>
          <w:bCs/>
          <w:sz w:val="18"/>
          <w:szCs w:val="18"/>
          <w:lang w:val="en-US"/>
        </w:rPr>
        <w:t>Overview of specific antibiotics and other genetic determinants to determine antibiotic susceptibility test results in key antibiotic classes.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573"/>
        <w:gridCol w:w="2338"/>
        <w:gridCol w:w="2528"/>
        <w:gridCol w:w="2528"/>
      </w:tblGrid>
      <w:tr w:rsidR="002A653C" w:rsidRPr="00E113A2" w14:paraId="2E32DC48" w14:textId="77777777" w:rsidTr="008206AE">
        <w:trPr>
          <w:trHeight w:val="597"/>
        </w:trPr>
        <w:tc>
          <w:tcPr>
            <w:tcW w:w="1573" w:type="dxa"/>
            <w:shd w:val="clear" w:color="auto" w:fill="D0CECE" w:themeFill="background2" w:themeFillShade="E6"/>
          </w:tcPr>
          <w:p w14:paraId="2E65F284" w14:textId="77777777" w:rsidR="002A653C" w:rsidRPr="00155847" w:rsidRDefault="002A653C" w:rsidP="007E0EE4">
            <w:pPr>
              <w:jc w:val="both"/>
              <w:rPr>
                <w:b/>
                <w:bCs/>
                <w:sz w:val="20"/>
                <w:szCs w:val="20"/>
                <w:lang w:val="en-US"/>
              </w:rPr>
            </w:pPr>
            <w:r w:rsidRPr="00155847">
              <w:rPr>
                <w:b/>
                <w:bCs/>
                <w:sz w:val="20"/>
                <w:szCs w:val="20"/>
                <w:lang w:val="en-US"/>
              </w:rPr>
              <w:t>Methicillin</w:t>
            </w:r>
          </w:p>
        </w:tc>
        <w:tc>
          <w:tcPr>
            <w:tcW w:w="2338" w:type="dxa"/>
            <w:shd w:val="clear" w:color="auto" w:fill="D0CECE" w:themeFill="background2" w:themeFillShade="E6"/>
          </w:tcPr>
          <w:p w14:paraId="18157936" w14:textId="77777777" w:rsidR="002A653C" w:rsidRPr="00155847" w:rsidRDefault="002A653C" w:rsidP="007E0EE4">
            <w:pPr>
              <w:jc w:val="both"/>
              <w:rPr>
                <w:b/>
                <w:bCs/>
                <w:sz w:val="20"/>
                <w:szCs w:val="20"/>
                <w:lang w:val="en-US"/>
              </w:rPr>
            </w:pPr>
            <w:r w:rsidRPr="00155847">
              <w:rPr>
                <w:b/>
                <w:bCs/>
                <w:sz w:val="20"/>
                <w:szCs w:val="20"/>
                <w:lang w:val="en-US"/>
              </w:rPr>
              <w:t>Fluoroquinolones</w:t>
            </w:r>
          </w:p>
        </w:tc>
        <w:tc>
          <w:tcPr>
            <w:tcW w:w="2528" w:type="dxa"/>
            <w:shd w:val="clear" w:color="auto" w:fill="D0CECE" w:themeFill="background2" w:themeFillShade="E6"/>
          </w:tcPr>
          <w:p w14:paraId="0AD7DC7F" w14:textId="77777777" w:rsidR="002A653C" w:rsidRPr="00155847" w:rsidRDefault="002A653C" w:rsidP="007E0EE4">
            <w:pPr>
              <w:rPr>
                <w:b/>
                <w:bCs/>
                <w:sz w:val="20"/>
                <w:szCs w:val="20"/>
                <w:lang w:val="en-US"/>
              </w:rPr>
            </w:pPr>
            <w:r w:rsidRPr="00155847">
              <w:rPr>
                <w:b/>
                <w:bCs/>
                <w:sz w:val="20"/>
                <w:szCs w:val="20"/>
                <w:lang w:val="en-US"/>
              </w:rPr>
              <w:t>3</w:t>
            </w:r>
            <w:r w:rsidRPr="00155847">
              <w:rPr>
                <w:b/>
                <w:bCs/>
                <w:sz w:val="20"/>
                <w:szCs w:val="20"/>
                <w:vertAlign w:val="superscript"/>
                <w:lang w:val="en-US"/>
              </w:rPr>
              <w:t>rd</w:t>
            </w:r>
            <w:r w:rsidRPr="00155847">
              <w:rPr>
                <w:b/>
                <w:bCs/>
                <w:sz w:val="20"/>
                <w:szCs w:val="20"/>
                <w:lang w:val="en-US"/>
              </w:rPr>
              <w:t xml:space="preserve"> generation cephalosporins</w:t>
            </w:r>
          </w:p>
        </w:tc>
        <w:tc>
          <w:tcPr>
            <w:tcW w:w="2528" w:type="dxa"/>
            <w:shd w:val="clear" w:color="auto" w:fill="D0CECE" w:themeFill="background2" w:themeFillShade="E6"/>
          </w:tcPr>
          <w:p w14:paraId="16329961" w14:textId="77777777" w:rsidR="002A653C" w:rsidRPr="00155847" w:rsidRDefault="002A653C" w:rsidP="007E0EE4">
            <w:pPr>
              <w:jc w:val="both"/>
              <w:rPr>
                <w:b/>
                <w:bCs/>
                <w:sz w:val="20"/>
                <w:szCs w:val="20"/>
                <w:lang w:val="en-US"/>
              </w:rPr>
            </w:pPr>
            <w:r w:rsidRPr="00155847">
              <w:rPr>
                <w:b/>
                <w:bCs/>
                <w:sz w:val="20"/>
                <w:szCs w:val="20"/>
                <w:lang w:val="en-US"/>
              </w:rPr>
              <w:t>Carbapenems</w:t>
            </w:r>
          </w:p>
        </w:tc>
      </w:tr>
      <w:tr w:rsidR="002A653C" w:rsidRPr="00E113A2" w14:paraId="32AC2D03" w14:textId="77777777" w:rsidTr="007E0EE4">
        <w:trPr>
          <w:trHeight w:val="265"/>
        </w:trPr>
        <w:tc>
          <w:tcPr>
            <w:tcW w:w="1573" w:type="dxa"/>
            <w:tcBorders>
              <w:top w:val="single" w:sz="4" w:space="0" w:color="auto"/>
              <w:bottom w:val="single" w:sz="4" w:space="0" w:color="auto"/>
              <w:right w:val="single" w:sz="4" w:space="0" w:color="auto"/>
            </w:tcBorders>
          </w:tcPr>
          <w:p w14:paraId="703978EA" w14:textId="77777777" w:rsidR="002A653C" w:rsidRPr="00155847" w:rsidRDefault="002A653C" w:rsidP="007E0EE4">
            <w:pPr>
              <w:rPr>
                <w:rFonts w:ascii="Calibri" w:eastAsia="Times New Roman" w:hAnsi="Calibri" w:cs="Calibri"/>
                <w:color w:val="000000"/>
                <w:sz w:val="20"/>
                <w:szCs w:val="20"/>
                <w:lang w:val="en-US" w:eastAsia="en-GB"/>
              </w:rPr>
            </w:pPr>
            <w:r w:rsidRPr="00155847">
              <w:rPr>
                <w:rFonts w:ascii="Calibri" w:eastAsia="Times New Roman" w:hAnsi="Calibri" w:cs="Calibri"/>
                <w:color w:val="000000"/>
                <w:sz w:val="20"/>
                <w:szCs w:val="20"/>
                <w:lang w:val="en-US" w:eastAsia="en-GB"/>
              </w:rPr>
              <w:t>Cefazolin</w:t>
            </w:r>
          </w:p>
        </w:tc>
        <w:tc>
          <w:tcPr>
            <w:tcW w:w="2338" w:type="dxa"/>
            <w:tcBorders>
              <w:top w:val="single" w:sz="4" w:space="0" w:color="auto"/>
              <w:left w:val="single" w:sz="4" w:space="0" w:color="auto"/>
              <w:bottom w:val="single" w:sz="4" w:space="0" w:color="auto"/>
              <w:right w:val="single" w:sz="4" w:space="0" w:color="auto"/>
            </w:tcBorders>
            <w:shd w:val="clear" w:color="auto" w:fill="auto"/>
            <w:vAlign w:val="bottom"/>
          </w:tcPr>
          <w:p w14:paraId="67E0A324"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Ciprofloxacin</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bottom"/>
          </w:tcPr>
          <w:p w14:paraId="2FDF78EA" w14:textId="77777777" w:rsidR="002A653C" w:rsidRPr="00155847" w:rsidRDefault="002A653C" w:rsidP="007E0EE4">
            <w:pPr>
              <w:rPr>
                <w:rFonts w:ascii="Calibri" w:hAnsi="Calibri" w:cs="Calibri"/>
                <w:color w:val="000000"/>
                <w:sz w:val="20"/>
                <w:szCs w:val="20"/>
                <w:lang w:val="en-US"/>
              </w:rPr>
            </w:pPr>
            <w:proofErr w:type="spellStart"/>
            <w:r w:rsidRPr="00155847">
              <w:rPr>
                <w:rFonts w:ascii="Calibri" w:hAnsi="Calibri" w:cs="Calibri"/>
                <w:color w:val="000000"/>
                <w:sz w:val="20"/>
                <w:szCs w:val="20"/>
                <w:lang w:val="en-US"/>
              </w:rPr>
              <w:t>Cefoperazone</w:t>
            </w:r>
            <w:proofErr w:type="spellEnd"/>
          </w:p>
        </w:tc>
        <w:tc>
          <w:tcPr>
            <w:tcW w:w="2528" w:type="dxa"/>
            <w:tcBorders>
              <w:top w:val="single" w:sz="4" w:space="0" w:color="auto"/>
              <w:left w:val="single" w:sz="4" w:space="0" w:color="auto"/>
              <w:bottom w:val="single" w:sz="4" w:space="0" w:color="auto"/>
              <w:right w:val="nil"/>
            </w:tcBorders>
            <w:shd w:val="clear" w:color="auto" w:fill="auto"/>
            <w:vAlign w:val="bottom"/>
          </w:tcPr>
          <w:p w14:paraId="2B2E84DF" w14:textId="77777777" w:rsidR="002A653C" w:rsidRPr="00155847" w:rsidRDefault="002A653C" w:rsidP="007E0EE4">
            <w:pPr>
              <w:rPr>
                <w:rFonts w:ascii="Calibri" w:hAnsi="Calibri" w:cs="Calibri"/>
                <w:color w:val="000000" w:themeColor="text1"/>
                <w:sz w:val="20"/>
                <w:szCs w:val="20"/>
                <w:lang w:val="en-US"/>
              </w:rPr>
            </w:pPr>
            <w:proofErr w:type="spellStart"/>
            <w:proofErr w:type="gramStart"/>
            <w:r w:rsidRPr="00155847">
              <w:rPr>
                <w:rFonts w:ascii="Calibri" w:hAnsi="Calibri" w:cs="Calibri"/>
                <w:color w:val="000000" w:themeColor="text1"/>
                <w:sz w:val="20"/>
                <w:szCs w:val="20"/>
                <w:lang w:val="en-US"/>
              </w:rPr>
              <w:t>bla</w:t>
            </w:r>
            <w:proofErr w:type="spellEnd"/>
            <w:r w:rsidRPr="00155847">
              <w:rPr>
                <w:rFonts w:ascii="Calibri" w:hAnsi="Calibri" w:cs="Calibri"/>
                <w:color w:val="000000" w:themeColor="text1"/>
                <w:sz w:val="20"/>
                <w:szCs w:val="20"/>
                <w:lang w:val="en-US"/>
              </w:rPr>
              <w:t>(</w:t>
            </w:r>
            <w:proofErr w:type="gramEnd"/>
            <w:r w:rsidRPr="00155847">
              <w:rPr>
                <w:rFonts w:ascii="Calibri" w:hAnsi="Calibri" w:cs="Calibri"/>
                <w:color w:val="000000" w:themeColor="text1"/>
                <w:sz w:val="20"/>
                <w:szCs w:val="20"/>
                <w:lang w:val="en-US"/>
              </w:rPr>
              <w:t>KPC) gene (test for presence using molecular method)</w:t>
            </w:r>
          </w:p>
        </w:tc>
      </w:tr>
      <w:tr w:rsidR="002A653C" w:rsidRPr="00E113A2" w14:paraId="0F9B639C" w14:textId="77777777" w:rsidTr="007E0EE4">
        <w:trPr>
          <w:trHeight w:val="265"/>
        </w:trPr>
        <w:tc>
          <w:tcPr>
            <w:tcW w:w="1573" w:type="dxa"/>
            <w:tcBorders>
              <w:top w:val="single" w:sz="4" w:space="0" w:color="auto"/>
              <w:bottom w:val="single" w:sz="4" w:space="0" w:color="auto"/>
              <w:right w:val="single" w:sz="4" w:space="0" w:color="auto"/>
            </w:tcBorders>
          </w:tcPr>
          <w:p w14:paraId="1247A94E" w14:textId="77777777" w:rsidR="002A653C" w:rsidRPr="00155847" w:rsidRDefault="002A653C" w:rsidP="007E0EE4">
            <w:pPr>
              <w:rPr>
                <w:rFonts w:ascii="Calibri" w:eastAsia="Times New Roman" w:hAnsi="Calibri" w:cs="Calibri"/>
                <w:color w:val="000000"/>
                <w:sz w:val="20"/>
                <w:szCs w:val="20"/>
                <w:lang w:val="en-US" w:eastAsia="en-GB"/>
              </w:rPr>
            </w:pPr>
            <w:r w:rsidRPr="00155847">
              <w:rPr>
                <w:rFonts w:ascii="Calibri" w:eastAsia="Times New Roman" w:hAnsi="Calibri" w:cs="Calibri"/>
                <w:color w:val="000000"/>
                <w:sz w:val="20"/>
                <w:szCs w:val="20"/>
                <w:lang w:val="en-US" w:eastAsia="en-GB"/>
              </w:rPr>
              <w:t>Cefoxitin</w:t>
            </w:r>
          </w:p>
        </w:tc>
        <w:tc>
          <w:tcPr>
            <w:tcW w:w="2338" w:type="dxa"/>
            <w:tcBorders>
              <w:top w:val="single" w:sz="4" w:space="0" w:color="auto"/>
              <w:left w:val="single" w:sz="4" w:space="0" w:color="auto"/>
              <w:bottom w:val="single" w:sz="4" w:space="0" w:color="auto"/>
              <w:right w:val="single" w:sz="4" w:space="0" w:color="auto"/>
            </w:tcBorders>
            <w:shd w:val="clear" w:color="auto" w:fill="auto"/>
            <w:vAlign w:val="bottom"/>
          </w:tcPr>
          <w:p w14:paraId="6236C750" w14:textId="77777777" w:rsidR="002A653C" w:rsidRPr="00155847" w:rsidRDefault="002A653C" w:rsidP="007E0EE4">
            <w:pPr>
              <w:rPr>
                <w:rFonts w:ascii="Calibri" w:hAnsi="Calibri" w:cs="Calibri"/>
                <w:color w:val="000000"/>
                <w:sz w:val="20"/>
                <w:szCs w:val="20"/>
                <w:lang w:val="en-US"/>
              </w:rPr>
            </w:pPr>
            <w:proofErr w:type="spellStart"/>
            <w:r w:rsidRPr="00155847">
              <w:rPr>
                <w:rFonts w:ascii="Calibri" w:hAnsi="Calibri" w:cs="Calibri"/>
                <w:color w:val="000000"/>
                <w:sz w:val="20"/>
                <w:szCs w:val="20"/>
                <w:lang w:val="en-US"/>
              </w:rPr>
              <w:t>Gatifloxacin</w:t>
            </w:r>
            <w:proofErr w:type="spellEnd"/>
          </w:p>
        </w:tc>
        <w:tc>
          <w:tcPr>
            <w:tcW w:w="2528" w:type="dxa"/>
            <w:tcBorders>
              <w:top w:val="single" w:sz="4" w:space="0" w:color="auto"/>
              <w:left w:val="single" w:sz="4" w:space="0" w:color="auto"/>
              <w:bottom w:val="single" w:sz="4" w:space="0" w:color="auto"/>
              <w:right w:val="single" w:sz="4" w:space="0" w:color="auto"/>
            </w:tcBorders>
            <w:shd w:val="clear" w:color="auto" w:fill="auto"/>
            <w:vAlign w:val="bottom"/>
          </w:tcPr>
          <w:p w14:paraId="6A8927D2"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Cefotaxime</w:t>
            </w:r>
          </w:p>
        </w:tc>
        <w:tc>
          <w:tcPr>
            <w:tcW w:w="2528" w:type="dxa"/>
            <w:tcBorders>
              <w:top w:val="single" w:sz="4" w:space="0" w:color="auto"/>
              <w:left w:val="single" w:sz="4" w:space="0" w:color="auto"/>
              <w:bottom w:val="single" w:sz="4" w:space="0" w:color="auto"/>
              <w:right w:val="nil"/>
            </w:tcBorders>
            <w:shd w:val="clear" w:color="auto" w:fill="auto"/>
            <w:vAlign w:val="bottom"/>
          </w:tcPr>
          <w:p w14:paraId="2AC98260" w14:textId="77777777" w:rsidR="002A653C" w:rsidRPr="00155847" w:rsidRDefault="002A653C" w:rsidP="007E0EE4">
            <w:pPr>
              <w:rPr>
                <w:rFonts w:ascii="Calibri" w:hAnsi="Calibri" w:cs="Calibri"/>
                <w:color w:val="000000" w:themeColor="text1"/>
                <w:sz w:val="20"/>
                <w:szCs w:val="20"/>
                <w:lang w:val="en-US"/>
              </w:rPr>
            </w:pPr>
            <w:proofErr w:type="spellStart"/>
            <w:r w:rsidRPr="00155847">
              <w:rPr>
                <w:rFonts w:ascii="Calibri" w:hAnsi="Calibri" w:cs="Calibri"/>
                <w:color w:val="000000" w:themeColor="text1"/>
                <w:sz w:val="20"/>
                <w:szCs w:val="20"/>
                <w:lang w:val="en-US"/>
              </w:rPr>
              <w:t>Carbapenemase</w:t>
            </w:r>
            <w:proofErr w:type="spellEnd"/>
            <w:r w:rsidRPr="00155847">
              <w:rPr>
                <w:rFonts w:ascii="Calibri" w:hAnsi="Calibri" w:cs="Calibri"/>
                <w:color w:val="000000" w:themeColor="text1"/>
                <w:sz w:val="20"/>
                <w:szCs w:val="20"/>
                <w:lang w:val="en-US"/>
              </w:rPr>
              <w:t xml:space="preserve"> gene (by nucleic acid amplification with probe detection)</w:t>
            </w:r>
          </w:p>
        </w:tc>
      </w:tr>
      <w:tr w:rsidR="002A653C" w:rsidRPr="00E113A2" w14:paraId="04FC9B49" w14:textId="77777777" w:rsidTr="007E0EE4">
        <w:trPr>
          <w:trHeight w:val="265"/>
        </w:trPr>
        <w:tc>
          <w:tcPr>
            <w:tcW w:w="1573" w:type="dxa"/>
            <w:tcBorders>
              <w:top w:val="single" w:sz="4" w:space="0" w:color="auto"/>
              <w:bottom w:val="single" w:sz="4" w:space="0" w:color="auto"/>
              <w:right w:val="single" w:sz="4" w:space="0" w:color="auto"/>
            </w:tcBorders>
          </w:tcPr>
          <w:p w14:paraId="57491D21" w14:textId="77777777" w:rsidR="002A653C" w:rsidRPr="00155847" w:rsidRDefault="002A653C" w:rsidP="007E0EE4">
            <w:pPr>
              <w:rPr>
                <w:rFonts w:ascii="Calibri" w:eastAsia="Times New Roman" w:hAnsi="Calibri" w:cs="Calibri"/>
                <w:color w:val="000000"/>
                <w:sz w:val="20"/>
                <w:szCs w:val="20"/>
                <w:lang w:val="en-US" w:eastAsia="en-GB"/>
              </w:rPr>
            </w:pPr>
            <w:proofErr w:type="spellStart"/>
            <w:r w:rsidRPr="00155847">
              <w:rPr>
                <w:rFonts w:ascii="Calibri" w:eastAsia="Times New Roman" w:hAnsi="Calibri" w:cs="Calibri"/>
                <w:color w:val="000000" w:themeColor="text1"/>
                <w:sz w:val="20"/>
                <w:szCs w:val="20"/>
                <w:lang w:val="en-US" w:eastAsia="en-GB"/>
              </w:rPr>
              <w:t>mecA</w:t>
            </w:r>
            <w:proofErr w:type="spellEnd"/>
            <w:r w:rsidRPr="00155847">
              <w:rPr>
                <w:rFonts w:ascii="Calibri" w:eastAsia="Times New Roman" w:hAnsi="Calibri" w:cs="Calibri"/>
                <w:color w:val="000000" w:themeColor="text1"/>
                <w:sz w:val="20"/>
                <w:szCs w:val="20"/>
                <w:lang w:val="en-US" w:eastAsia="en-GB"/>
              </w:rPr>
              <w:t xml:space="preserve"> gene</w:t>
            </w:r>
          </w:p>
        </w:tc>
        <w:tc>
          <w:tcPr>
            <w:tcW w:w="2338" w:type="dxa"/>
            <w:tcBorders>
              <w:top w:val="single" w:sz="4" w:space="0" w:color="auto"/>
              <w:left w:val="single" w:sz="4" w:space="0" w:color="auto"/>
              <w:bottom w:val="single" w:sz="4" w:space="0" w:color="auto"/>
              <w:right w:val="single" w:sz="4" w:space="0" w:color="auto"/>
            </w:tcBorders>
            <w:shd w:val="clear" w:color="auto" w:fill="auto"/>
            <w:vAlign w:val="bottom"/>
          </w:tcPr>
          <w:p w14:paraId="2AEF6371"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Gemifloxacin</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bottom"/>
          </w:tcPr>
          <w:p w14:paraId="3CC6A178"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Cefpodoxime</w:t>
            </w:r>
          </w:p>
        </w:tc>
        <w:tc>
          <w:tcPr>
            <w:tcW w:w="2528" w:type="dxa"/>
            <w:tcBorders>
              <w:top w:val="single" w:sz="4" w:space="0" w:color="auto"/>
              <w:left w:val="single" w:sz="4" w:space="0" w:color="auto"/>
              <w:bottom w:val="single" w:sz="4" w:space="0" w:color="auto"/>
              <w:right w:val="nil"/>
            </w:tcBorders>
            <w:shd w:val="clear" w:color="auto" w:fill="auto"/>
            <w:vAlign w:val="bottom"/>
          </w:tcPr>
          <w:p w14:paraId="2B2D5402" w14:textId="77777777" w:rsidR="002A653C" w:rsidRPr="00155847" w:rsidRDefault="002A653C" w:rsidP="007E0EE4">
            <w:pPr>
              <w:rPr>
                <w:rFonts w:ascii="Calibri" w:hAnsi="Calibri" w:cs="Calibri"/>
                <w:color w:val="000000" w:themeColor="text1"/>
                <w:sz w:val="20"/>
                <w:szCs w:val="20"/>
                <w:lang w:val="en-US"/>
              </w:rPr>
            </w:pPr>
            <w:r w:rsidRPr="00155847">
              <w:rPr>
                <w:rFonts w:ascii="Calibri" w:hAnsi="Calibri" w:cs="Calibri"/>
                <w:color w:val="000000" w:themeColor="text1"/>
                <w:sz w:val="20"/>
                <w:szCs w:val="20"/>
                <w:lang w:val="en-US"/>
              </w:rPr>
              <w:t>Hodge test</w:t>
            </w:r>
          </w:p>
        </w:tc>
      </w:tr>
      <w:tr w:rsidR="002A653C" w:rsidRPr="00E113A2" w14:paraId="169913D5" w14:textId="77777777" w:rsidTr="007E0EE4">
        <w:trPr>
          <w:trHeight w:val="282"/>
        </w:trPr>
        <w:tc>
          <w:tcPr>
            <w:tcW w:w="1573" w:type="dxa"/>
            <w:tcBorders>
              <w:top w:val="single" w:sz="4" w:space="0" w:color="auto"/>
              <w:bottom w:val="single" w:sz="4" w:space="0" w:color="auto"/>
              <w:right w:val="single" w:sz="4" w:space="0" w:color="auto"/>
            </w:tcBorders>
          </w:tcPr>
          <w:p w14:paraId="69DDE8BA" w14:textId="77777777" w:rsidR="002A653C" w:rsidRPr="00155847" w:rsidRDefault="002A653C" w:rsidP="007E0EE4">
            <w:pPr>
              <w:rPr>
                <w:rFonts w:ascii="Calibri" w:eastAsia="Times New Roman" w:hAnsi="Calibri" w:cs="Calibri"/>
                <w:color w:val="000000"/>
                <w:sz w:val="20"/>
                <w:szCs w:val="20"/>
                <w:lang w:val="en-US" w:eastAsia="en-GB"/>
              </w:rPr>
            </w:pPr>
            <w:r w:rsidRPr="00155847">
              <w:rPr>
                <w:rFonts w:ascii="Calibri" w:eastAsia="Times New Roman" w:hAnsi="Calibri" w:cs="Calibri"/>
                <w:color w:val="000000"/>
                <w:sz w:val="20"/>
                <w:szCs w:val="20"/>
                <w:lang w:val="en-US" w:eastAsia="en-GB"/>
              </w:rPr>
              <w:t>Methicillin</w:t>
            </w:r>
          </w:p>
        </w:tc>
        <w:tc>
          <w:tcPr>
            <w:tcW w:w="2338" w:type="dxa"/>
            <w:tcBorders>
              <w:top w:val="single" w:sz="4" w:space="0" w:color="auto"/>
              <w:left w:val="single" w:sz="4" w:space="0" w:color="auto"/>
              <w:bottom w:val="single" w:sz="4" w:space="0" w:color="auto"/>
              <w:right w:val="single" w:sz="4" w:space="0" w:color="auto"/>
            </w:tcBorders>
            <w:shd w:val="clear" w:color="auto" w:fill="auto"/>
            <w:vAlign w:val="bottom"/>
          </w:tcPr>
          <w:p w14:paraId="01362408"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Levofloxacin</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bottom"/>
          </w:tcPr>
          <w:p w14:paraId="1510EF12"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Ceftazidime</w:t>
            </w:r>
          </w:p>
        </w:tc>
        <w:tc>
          <w:tcPr>
            <w:tcW w:w="2528" w:type="dxa"/>
            <w:tcBorders>
              <w:top w:val="single" w:sz="4" w:space="0" w:color="auto"/>
              <w:left w:val="single" w:sz="4" w:space="0" w:color="auto"/>
              <w:bottom w:val="single" w:sz="4" w:space="0" w:color="auto"/>
              <w:right w:val="nil"/>
            </w:tcBorders>
            <w:shd w:val="clear" w:color="auto" w:fill="auto"/>
            <w:vAlign w:val="bottom"/>
          </w:tcPr>
          <w:p w14:paraId="45B046CE"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Imipenem</w:t>
            </w:r>
          </w:p>
        </w:tc>
      </w:tr>
      <w:tr w:rsidR="002A653C" w:rsidRPr="00E113A2" w14:paraId="545AA882" w14:textId="77777777" w:rsidTr="007E0EE4">
        <w:trPr>
          <w:trHeight w:val="265"/>
        </w:trPr>
        <w:tc>
          <w:tcPr>
            <w:tcW w:w="1573" w:type="dxa"/>
            <w:tcBorders>
              <w:top w:val="single" w:sz="4" w:space="0" w:color="auto"/>
              <w:bottom w:val="single" w:sz="4" w:space="0" w:color="auto"/>
              <w:right w:val="single" w:sz="4" w:space="0" w:color="auto"/>
            </w:tcBorders>
          </w:tcPr>
          <w:p w14:paraId="099A9D03" w14:textId="77777777" w:rsidR="002A653C" w:rsidRPr="00155847" w:rsidRDefault="002A653C" w:rsidP="007E0EE4">
            <w:pPr>
              <w:rPr>
                <w:rFonts w:ascii="Calibri" w:eastAsia="Times New Roman" w:hAnsi="Calibri" w:cs="Calibri"/>
                <w:color w:val="000000"/>
                <w:sz w:val="20"/>
                <w:szCs w:val="20"/>
                <w:lang w:val="en-US" w:eastAsia="en-GB"/>
              </w:rPr>
            </w:pPr>
            <w:r w:rsidRPr="00155847">
              <w:rPr>
                <w:rFonts w:ascii="Calibri" w:eastAsia="Times New Roman" w:hAnsi="Calibri" w:cs="Calibri"/>
                <w:color w:val="000000"/>
                <w:sz w:val="20"/>
                <w:szCs w:val="20"/>
                <w:lang w:val="en-US" w:eastAsia="en-GB"/>
              </w:rPr>
              <w:t>Nafcillin</w:t>
            </w:r>
          </w:p>
        </w:tc>
        <w:tc>
          <w:tcPr>
            <w:tcW w:w="2338" w:type="dxa"/>
            <w:tcBorders>
              <w:top w:val="single" w:sz="4" w:space="0" w:color="auto"/>
              <w:left w:val="single" w:sz="4" w:space="0" w:color="auto"/>
              <w:bottom w:val="single" w:sz="4" w:space="0" w:color="auto"/>
              <w:right w:val="single" w:sz="4" w:space="0" w:color="auto"/>
            </w:tcBorders>
            <w:shd w:val="clear" w:color="auto" w:fill="auto"/>
            <w:vAlign w:val="bottom"/>
          </w:tcPr>
          <w:p w14:paraId="0B862C46"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Lomefloxacin</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bottom"/>
          </w:tcPr>
          <w:p w14:paraId="355D250A"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Ceftizoxime</w:t>
            </w:r>
          </w:p>
        </w:tc>
        <w:tc>
          <w:tcPr>
            <w:tcW w:w="2528" w:type="dxa"/>
            <w:tcBorders>
              <w:top w:val="single" w:sz="4" w:space="0" w:color="auto"/>
              <w:left w:val="single" w:sz="4" w:space="0" w:color="auto"/>
              <w:bottom w:val="single" w:sz="4" w:space="0" w:color="auto"/>
              <w:right w:val="nil"/>
            </w:tcBorders>
            <w:shd w:val="clear" w:color="auto" w:fill="auto"/>
            <w:vAlign w:val="bottom"/>
          </w:tcPr>
          <w:p w14:paraId="5162BF88"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Meropenem</w:t>
            </w:r>
          </w:p>
        </w:tc>
      </w:tr>
      <w:tr w:rsidR="002A653C" w:rsidRPr="00E113A2" w14:paraId="4E028783" w14:textId="77777777" w:rsidTr="007E0EE4">
        <w:trPr>
          <w:trHeight w:val="265"/>
        </w:trPr>
        <w:tc>
          <w:tcPr>
            <w:tcW w:w="1573" w:type="dxa"/>
            <w:tcBorders>
              <w:top w:val="single" w:sz="4" w:space="0" w:color="auto"/>
              <w:bottom w:val="single" w:sz="4" w:space="0" w:color="auto"/>
              <w:right w:val="single" w:sz="4" w:space="0" w:color="auto"/>
            </w:tcBorders>
          </w:tcPr>
          <w:p w14:paraId="34FF76D8" w14:textId="77777777" w:rsidR="002A653C" w:rsidRPr="00155847" w:rsidRDefault="002A653C" w:rsidP="007E0EE4">
            <w:pPr>
              <w:rPr>
                <w:rFonts w:ascii="Calibri" w:eastAsia="Times New Roman" w:hAnsi="Calibri" w:cs="Calibri"/>
                <w:color w:val="000000"/>
                <w:sz w:val="20"/>
                <w:szCs w:val="20"/>
                <w:lang w:val="en-US" w:eastAsia="en-GB"/>
              </w:rPr>
            </w:pPr>
            <w:r w:rsidRPr="00155847">
              <w:rPr>
                <w:rFonts w:ascii="Calibri" w:eastAsia="Times New Roman" w:hAnsi="Calibri" w:cs="Calibri"/>
                <w:color w:val="000000"/>
                <w:sz w:val="20"/>
                <w:szCs w:val="20"/>
                <w:lang w:val="en-US" w:eastAsia="en-GB"/>
              </w:rPr>
              <w:t>Oxacillin</w:t>
            </w:r>
          </w:p>
        </w:tc>
        <w:tc>
          <w:tcPr>
            <w:tcW w:w="2338" w:type="dxa"/>
            <w:tcBorders>
              <w:top w:val="single" w:sz="4" w:space="0" w:color="auto"/>
              <w:left w:val="single" w:sz="4" w:space="0" w:color="auto"/>
              <w:bottom w:val="single" w:sz="4" w:space="0" w:color="auto"/>
              <w:right w:val="single" w:sz="4" w:space="0" w:color="auto"/>
            </w:tcBorders>
            <w:shd w:val="clear" w:color="auto" w:fill="auto"/>
            <w:vAlign w:val="bottom"/>
          </w:tcPr>
          <w:p w14:paraId="477EFA5C"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Moxifloxacin</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bottom"/>
          </w:tcPr>
          <w:p w14:paraId="6D57769B"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Ceftriaxone</w:t>
            </w:r>
          </w:p>
        </w:tc>
        <w:tc>
          <w:tcPr>
            <w:tcW w:w="2528" w:type="dxa"/>
            <w:tcBorders>
              <w:top w:val="single" w:sz="4" w:space="0" w:color="auto"/>
              <w:left w:val="single" w:sz="4" w:space="0" w:color="auto"/>
              <w:bottom w:val="single" w:sz="4" w:space="0" w:color="auto"/>
              <w:right w:val="nil"/>
            </w:tcBorders>
            <w:shd w:val="clear" w:color="auto" w:fill="auto"/>
            <w:vAlign w:val="bottom"/>
          </w:tcPr>
          <w:p w14:paraId="4F6E1AAF" w14:textId="77777777" w:rsidR="002A653C" w:rsidRPr="00155847" w:rsidRDefault="002A653C" w:rsidP="007E0EE4">
            <w:pPr>
              <w:rPr>
                <w:rFonts w:ascii="Calibri" w:hAnsi="Calibri" w:cs="Calibri"/>
                <w:color w:val="000000"/>
                <w:sz w:val="20"/>
                <w:szCs w:val="20"/>
                <w:lang w:val="en-US"/>
              </w:rPr>
            </w:pPr>
            <w:proofErr w:type="spellStart"/>
            <w:r w:rsidRPr="00155847">
              <w:rPr>
                <w:rFonts w:ascii="Calibri" w:hAnsi="Calibri" w:cs="Calibri"/>
                <w:color w:val="000000"/>
                <w:sz w:val="20"/>
                <w:szCs w:val="20"/>
                <w:lang w:val="en-US"/>
              </w:rPr>
              <w:t>Doripenem</w:t>
            </w:r>
            <w:proofErr w:type="spellEnd"/>
          </w:p>
        </w:tc>
      </w:tr>
      <w:tr w:rsidR="002A653C" w:rsidRPr="00E113A2" w14:paraId="72E6A184" w14:textId="77777777" w:rsidTr="007E0EE4">
        <w:trPr>
          <w:trHeight w:val="265"/>
        </w:trPr>
        <w:tc>
          <w:tcPr>
            <w:tcW w:w="1573" w:type="dxa"/>
            <w:tcBorders>
              <w:top w:val="single" w:sz="4" w:space="0" w:color="auto"/>
              <w:bottom w:val="single" w:sz="4" w:space="0" w:color="auto"/>
              <w:right w:val="single" w:sz="4" w:space="0" w:color="auto"/>
            </w:tcBorders>
            <w:vAlign w:val="bottom"/>
          </w:tcPr>
          <w:p w14:paraId="5215818F" w14:textId="77777777" w:rsidR="002A653C" w:rsidRPr="00155847" w:rsidRDefault="002A653C" w:rsidP="007E0EE4">
            <w:pPr>
              <w:rPr>
                <w:rFonts w:ascii="Calibri" w:hAnsi="Calibri" w:cs="Calibri"/>
                <w:color w:val="000000"/>
                <w:sz w:val="20"/>
                <w:szCs w:val="20"/>
                <w:lang w:val="en-US"/>
              </w:rPr>
            </w:pPr>
          </w:p>
        </w:tc>
        <w:tc>
          <w:tcPr>
            <w:tcW w:w="2338" w:type="dxa"/>
            <w:tcBorders>
              <w:top w:val="single" w:sz="4" w:space="0" w:color="auto"/>
              <w:left w:val="single" w:sz="4" w:space="0" w:color="auto"/>
              <w:bottom w:val="single" w:sz="4" w:space="0" w:color="auto"/>
              <w:right w:val="single" w:sz="4" w:space="0" w:color="auto"/>
            </w:tcBorders>
            <w:shd w:val="clear" w:color="auto" w:fill="auto"/>
            <w:vAlign w:val="bottom"/>
          </w:tcPr>
          <w:p w14:paraId="1E18240B"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Norfloxacin</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bottom"/>
          </w:tcPr>
          <w:p w14:paraId="1F2B6C5A"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Moxalactam</w:t>
            </w:r>
          </w:p>
        </w:tc>
        <w:tc>
          <w:tcPr>
            <w:tcW w:w="2528" w:type="dxa"/>
            <w:tcBorders>
              <w:top w:val="single" w:sz="4" w:space="0" w:color="auto"/>
              <w:left w:val="single" w:sz="4" w:space="0" w:color="auto"/>
              <w:bottom w:val="single" w:sz="4" w:space="0" w:color="auto"/>
              <w:right w:val="nil"/>
            </w:tcBorders>
            <w:shd w:val="clear" w:color="auto" w:fill="auto"/>
            <w:vAlign w:val="bottom"/>
          </w:tcPr>
          <w:p w14:paraId="5FE86E91"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Ertapenem</w:t>
            </w:r>
          </w:p>
        </w:tc>
      </w:tr>
      <w:tr w:rsidR="002A653C" w:rsidRPr="00E113A2" w14:paraId="0A29ADB1" w14:textId="77777777" w:rsidTr="007E0EE4">
        <w:trPr>
          <w:trHeight w:val="282"/>
        </w:trPr>
        <w:tc>
          <w:tcPr>
            <w:tcW w:w="1573" w:type="dxa"/>
            <w:tcBorders>
              <w:top w:val="single" w:sz="4" w:space="0" w:color="auto"/>
              <w:bottom w:val="single" w:sz="4" w:space="0" w:color="auto"/>
              <w:right w:val="single" w:sz="4" w:space="0" w:color="auto"/>
            </w:tcBorders>
            <w:vAlign w:val="bottom"/>
          </w:tcPr>
          <w:p w14:paraId="14CF33ED" w14:textId="77777777" w:rsidR="002A653C" w:rsidRPr="00155847" w:rsidRDefault="002A653C" w:rsidP="007E0EE4">
            <w:pPr>
              <w:rPr>
                <w:rFonts w:ascii="Calibri" w:hAnsi="Calibri" w:cs="Calibri"/>
                <w:color w:val="000000"/>
                <w:sz w:val="20"/>
                <w:szCs w:val="20"/>
                <w:lang w:val="en-US"/>
              </w:rPr>
            </w:pPr>
          </w:p>
        </w:tc>
        <w:tc>
          <w:tcPr>
            <w:tcW w:w="2338" w:type="dxa"/>
            <w:tcBorders>
              <w:top w:val="single" w:sz="4" w:space="0" w:color="auto"/>
              <w:left w:val="single" w:sz="4" w:space="0" w:color="auto"/>
              <w:bottom w:val="single" w:sz="4" w:space="0" w:color="auto"/>
              <w:right w:val="single" w:sz="4" w:space="0" w:color="auto"/>
            </w:tcBorders>
            <w:shd w:val="clear" w:color="auto" w:fill="auto"/>
            <w:vAlign w:val="bottom"/>
          </w:tcPr>
          <w:p w14:paraId="6C07BF05" w14:textId="77777777" w:rsidR="002A653C" w:rsidRPr="00155847" w:rsidRDefault="002A653C" w:rsidP="007E0EE4">
            <w:pPr>
              <w:rPr>
                <w:rFonts w:ascii="Calibri" w:hAnsi="Calibri" w:cs="Calibri"/>
                <w:color w:val="000000"/>
                <w:sz w:val="20"/>
                <w:szCs w:val="20"/>
                <w:lang w:val="en-US"/>
              </w:rPr>
            </w:pPr>
            <w:r w:rsidRPr="00155847">
              <w:rPr>
                <w:rFonts w:ascii="Calibri" w:hAnsi="Calibri" w:cs="Calibri"/>
                <w:color w:val="000000"/>
                <w:sz w:val="20"/>
                <w:szCs w:val="20"/>
                <w:lang w:val="en-US"/>
              </w:rPr>
              <w:t>Ofloxacin</w:t>
            </w:r>
          </w:p>
        </w:tc>
        <w:tc>
          <w:tcPr>
            <w:tcW w:w="2528" w:type="dxa"/>
            <w:tcBorders>
              <w:top w:val="single" w:sz="4" w:space="0" w:color="auto"/>
              <w:left w:val="single" w:sz="4" w:space="0" w:color="auto"/>
              <w:bottom w:val="single" w:sz="4" w:space="0" w:color="auto"/>
              <w:right w:val="single" w:sz="4" w:space="0" w:color="auto"/>
            </w:tcBorders>
            <w:shd w:val="clear" w:color="auto" w:fill="auto"/>
            <w:vAlign w:val="bottom"/>
          </w:tcPr>
          <w:p w14:paraId="00381E4D" w14:textId="77777777" w:rsidR="002A653C" w:rsidRPr="00155847" w:rsidRDefault="002A653C" w:rsidP="007E0EE4">
            <w:pPr>
              <w:rPr>
                <w:rFonts w:ascii="Calibri" w:hAnsi="Calibri" w:cs="Calibri"/>
                <w:color w:val="000000"/>
                <w:sz w:val="20"/>
                <w:szCs w:val="20"/>
                <w:lang w:val="en-US"/>
              </w:rPr>
            </w:pPr>
          </w:p>
        </w:tc>
        <w:tc>
          <w:tcPr>
            <w:tcW w:w="2528" w:type="dxa"/>
            <w:tcBorders>
              <w:top w:val="single" w:sz="4" w:space="0" w:color="auto"/>
              <w:left w:val="single" w:sz="4" w:space="0" w:color="auto"/>
              <w:bottom w:val="single" w:sz="4" w:space="0" w:color="auto"/>
              <w:right w:val="nil"/>
            </w:tcBorders>
            <w:shd w:val="clear" w:color="auto" w:fill="auto"/>
            <w:vAlign w:val="bottom"/>
          </w:tcPr>
          <w:p w14:paraId="03EF30A4" w14:textId="77777777" w:rsidR="002A653C" w:rsidRPr="00155847" w:rsidRDefault="002A653C" w:rsidP="00155847">
            <w:pPr>
              <w:keepNext/>
              <w:rPr>
                <w:rFonts w:ascii="Calibri" w:hAnsi="Calibri" w:cs="Calibri"/>
                <w:color w:val="000000"/>
                <w:sz w:val="20"/>
                <w:szCs w:val="20"/>
                <w:lang w:val="en-US"/>
              </w:rPr>
            </w:pPr>
          </w:p>
        </w:tc>
      </w:tr>
    </w:tbl>
    <w:p w14:paraId="173D0F1C" w14:textId="77777777" w:rsidR="00DC5D72" w:rsidRPr="00155847" w:rsidRDefault="00DC5D72">
      <w:pPr>
        <w:rPr>
          <w:rFonts w:cstheme="minorHAnsi"/>
          <w:u w:val="single"/>
          <w:lang w:val="en-US"/>
        </w:rPr>
      </w:pPr>
      <w:r w:rsidRPr="00155847">
        <w:rPr>
          <w:rFonts w:cstheme="minorHAnsi"/>
          <w:u w:val="single"/>
          <w:lang w:val="en-US"/>
        </w:rPr>
        <w:br w:type="page"/>
      </w:r>
    </w:p>
    <w:p w14:paraId="7AE0FE82" w14:textId="2F5AFF8B" w:rsidR="0010344C" w:rsidRPr="00155847" w:rsidRDefault="00DC5D72" w:rsidP="00DC5D72">
      <w:pPr>
        <w:pStyle w:val="Heading2"/>
        <w:rPr>
          <w:lang w:val="en-US"/>
        </w:rPr>
      </w:pPr>
      <w:bookmarkStart w:id="23" w:name="_Toc169512168"/>
      <w:r w:rsidRPr="00155847">
        <w:rPr>
          <w:lang w:val="en-US"/>
        </w:rPr>
        <w:lastRenderedPageBreak/>
        <w:t xml:space="preserve">S1.2 </w:t>
      </w:r>
      <w:r w:rsidR="0010344C" w:rsidRPr="00155847">
        <w:rPr>
          <w:lang w:val="en-US"/>
        </w:rPr>
        <w:t>VA facility complexity model</w:t>
      </w:r>
      <w:bookmarkEnd w:id="23"/>
    </w:p>
    <w:p w14:paraId="3C25BA2D" w14:textId="5D6EFD09" w:rsidR="002A653C" w:rsidRPr="00155847" w:rsidRDefault="009D5379" w:rsidP="002A653C">
      <w:pPr>
        <w:jc w:val="both"/>
        <w:rPr>
          <w:rFonts w:cstheme="minorHAnsi"/>
          <w:lang w:val="en-US"/>
        </w:rPr>
      </w:pPr>
      <w:r w:rsidRPr="00155847">
        <w:rPr>
          <w:rFonts w:cstheme="minorHAnsi"/>
          <w:lang w:val="en-US"/>
        </w:rPr>
        <w:t>Each VAMC facilit</w:t>
      </w:r>
      <w:r w:rsidR="00046FA6" w:rsidRPr="00155847">
        <w:rPr>
          <w:rFonts w:cstheme="minorHAnsi"/>
          <w:lang w:val="en-US"/>
        </w:rPr>
        <w:t>y</w:t>
      </w:r>
      <w:r w:rsidRPr="00155847">
        <w:rPr>
          <w:rFonts w:cstheme="minorHAnsi"/>
          <w:lang w:val="en-US"/>
        </w:rPr>
        <w:t xml:space="preserve"> is characterized by </w:t>
      </w:r>
      <w:r w:rsidR="00046FA6" w:rsidRPr="00155847">
        <w:rPr>
          <w:rFonts w:cstheme="minorHAnsi"/>
          <w:lang w:val="en-US"/>
        </w:rPr>
        <w:t>various</w:t>
      </w:r>
      <w:r w:rsidRPr="00155847">
        <w:rPr>
          <w:rFonts w:cstheme="minorHAnsi"/>
          <w:lang w:val="en-US"/>
        </w:rPr>
        <w:t xml:space="preserve"> variables</w:t>
      </w:r>
      <w:r w:rsidR="00CC49AE" w:rsidRPr="00155847">
        <w:rPr>
          <w:rFonts w:cstheme="minorHAnsi"/>
          <w:lang w:val="en-US"/>
        </w:rPr>
        <w:t xml:space="preserve"> </w:t>
      </w:r>
      <w:r w:rsidR="00046FA6" w:rsidRPr="00155847">
        <w:rPr>
          <w:rFonts w:cstheme="minorHAnsi"/>
          <w:lang w:val="en-US"/>
        </w:rPr>
        <w:t>that may be influential in the context of analytical modeling.</w:t>
      </w:r>
      <w:r w:rsidR="00CC49AE" w:rsidRPr="00155847">
        <w:rPr>
          <w:rFonts w:cstheme="minorHAnsi"/>
          <w:lang w:val="en-US"/>
        </w:rPr>
        <w:t xml:space="preserve"> </w:t>
      </w:r>
      <w:r w:rsidRPr="00155847">
        <w:rPr>
          <w:rFonts w:cstheme="minorHAnsi"/>
          <w:lang w:val="en-US"/>
        </w:rPr>
        <w:t>The Facility Complexity Model is a VHA method</w:t>
      </w:r>
      <w:r w:rsidR="00CC49AE" w:rsidRPr="00155847">
        <w:rPr>
          <w:rFonts w:cstheme="minorHAnsi"/>
          <w:lang w:val="en-US"/>
        </w:rPr>
        <w:t xml:space="preserve"> </w:t>
      </w:r>
      <w:r w:rsidRPr="00155847">
        <w:rPr>
          <w:rFonts w:cstheme="minorHAnsi"/>
          <w:lang w:val="en-US"/>
        </w:rPr>
        <w:t>to define clinical complexity at each medical center.</w:t>
      </w:r>
      <w:sdt>
        <w:sdtPr>
          <w:rPr>
            <w:rFonts w:cstheme="minorHAnsi"/>
            <w:color w:val="000000"/>
            <w:vertAlign w:val="superscript"/>
            <w:lang w:val="en-US"/>
          </w:rPr>
          <w:tag w:val="MENDELEY_CITATION_v3_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"/>
          <w:id w:val="-630939133"/>
          <w:placeholder>
            <w:docPart w:val="DefaultPlaceholder_-1854013440"/>
          </w:placeholder>
        </w:sdtPr>
        <w:sdtContent>
          <w:r w:rsidR="00D83908" w:rsidRPr="00D83908">
            <w:rPr>
              <w:rFonts w:cstheme="minorHAnsi"/>
              <w:color w:val="000000"/>
              <w:vertAlign w:val="superscript"/>
              <w:lang w:val="en-US"/>
            </w:rPr>
            <w:t>1,2</w:t>
          </w:r>
        </w:sdtContent>
      </w:sdt>
      <w:r w:rsidRPr="00155847">
        <w:rPr>
          <w:rFonts w:cstheme="minorHAnsi"/>
          <w:lang w:val="en-US"/>
        </w:rPr>
        <w:t xml:space="preserve"> </w:t>
      </w:r>
      <w:r w:rsidR="00690857" w:rsidRPr="00155847">
        <w:rPr>
          <w:rFonts w:cstheme="minorHAnsi"/>
          <w:lang w:val="en-US"/>
        </w:rPr>
        <w:t>It</w:t>
      </w:r>
      <w:r w:rsidR="00981C44" w:rsidRPr="00155847">
        <w:rPr>
          <w:rFonts w:cstheme="minorHAnsi"/>
          <w:lang w:val="en-US"/>
        </w:rPr>
        <w:t xml:space="preserve"> designates VHA facilities into </w:t>
      </w:r>
      <w:r w:rsidR="00D45716" w:rsidRPr="00155847">
        <w:rPr>
          <w:rFonts w:cstheme="minorHAnsi"/>
          <w:lang w:val="en-US"/>
        </w:rPr>
        <w:t xml:space="preserve">three </w:t>
      </w:r>
      <w:r w:rsidR="00981C44" w:rsidRPr="00155847">
        <w:rPr>
          <w:rFonts w:cstheme="minorHAnsi"/>
          <w:lang w:val="en-US"/>
        </w:rPr>
        <w:t>categories</w:t>
      </w:r>
      <w:r w:rsidR="00D45716" w:rsidRPr="00155847">
        <w:rPr>
          <w:rFonts w:cstheme="minorHAnsi"/>
          <w:lang w:val="en-US"/>
        </w:rPr>
        <w:t xml:space="preserve">. </w:t>
      </w:r>
      <w:r w:rsidR="002A653C" w:rsidRPr="00155847">
        <w:rPr>
          <w:rFonts w:cstheme="minorHAnsi"/>
          <w:lang w:val="en-US"/>
        </w:rPr>
        <w:t>These designations are based on a score involving the number of patients seen, patient risk, number of physician specialists, teaching status, research dollars, and intensive care unit capability (</w:t>
      </w:r>
      <w:r w:rsidR="00045B7C">
        <w:rPr>
          <w:rFonts w:cstheme="minorHAnsi"/>
          <w:lang w:val="en-US"/>
        </w:rPr>
        <w:fldChar w:fldCharType="begin"/>
      </w:r>
      <w:r w:rsidR="00045B7C">
        <w:rPr>
          <w:rFonts w:cstheme="minorHAnsi"/>
          <w:lang w:val="en-US"/>
        </w:rPr>
        <w:instrText xml:space="preserve"> REF _Ref156396476 \h </w:instrText>
      </w:r>
      <w:r w:rsidR="00045B7C">
        <w:rPr>
          <w:rFonts w:cstheme="minorHAnsi"/>
          <w:lang w:val="en-US"/>
        </w:rPr>
      </w:r>
      <w:r w:rsidR="00045B7C">
        <w:rPr>
          <w:rFonts w:cstheme="minorHAnsi"/>
          <w:lang w:val="en-US"/>
        </w:rPr>
        <w:fldChar w:fldCharType="separate"/>
      </w:r>
      <w:r w:rsidR="001F36C9">
        <w:t>Table S</w:t>
      </w:r>
      <w:r w:rsidR="001F36C9">
        <w:rPr>
          <w:noProof/>
        </w:rPr>
        <w:t>2</w:t>
      </w:r>
      <w:r w:rsidR="00045B7C">
        <w:rPr>
          <w:rFonts w:cstheme="minorHAnsi"/>
          <w:lang w:val="en-US"/>
        </w:rPr>
        <w:fldChar w:fldCharType="end"/>
      </w:r>
      <w:r w:rsidR="002A653C" w:rsidRPr="00155847">
        <w:rPr>
          <w:rFonts w:cstheme="minorHAnsi"/>
          <w:lang w:val="en-US"/>
        </w:rPr>
        <w:t>). The model is reviewed and updated every three years across the VA on behalf of the VHA National Leadership Council.</w:t>
      </w:r>
      <w:sdt>
        <w:sdtPr>
          <w:rPr>
            <w:rFonts w:cstheme="minorHAnsi"/>
            <w:color w:val="000000"/>
            <w:vertAlign w:val="superscript"/>
            <w:lang w:val="en-US"/>
          </w:rPr>
          <w:tag w:val="MENDELEY_CITATION_v3_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"/>
          <w:id w:val="665902449"/>
          <w:placeholder>
            <w:docPart w:val="DefaultPlaceholder_-1854013440"/>
          </w:placeholder>
        </w:sdtPr>
        <w:sdtContent>
          <w:r w:rsidR="00D83908" w:rsidRPr="00D83908">
            <w:rPr>
              <w:rFonts w:cstheme="minorHAnsi"/>
              <w:color w:val="000000"/>
              <w:vertAlign w:val="superscript"/>
              <w:lang w:val="en-US"/>
            </w:rPr>
            <w:t>1</w:t>
          </w:r>
        </w:sdtContent>
      </w:sdt>
      <w:r w:rsidR="002A653C" w:rsidRPr="00155847">
        <w:rPr>
          <w:rFonts w:cstheme="minorHAnsi"/>
          <w:lang w:val="en-US"/>
        </w:rPr>
        <w:t xml:space="preserve"> </w:t>
      </w:r>
    </w:p>
    <w:p w14:paraId="212C61BC" w14:textId="77777777" w:rsidR="00D45716" w:rsidRPr="00155847" w:rsidRDefault="00D45716" w:rsidP="00783B4C">
      <w:pPr>
        <w:jc w:val="both"/>
        <w:rPr>
          <w:rFonts w:cstheme="minorHAnsi"/>
          <w:lang w:val="en-US"/>
        </w:rPr>
      </w:pPr>
    </w:p>
    <w:p w14:paraId="20CDE568" w14:textId="46571A3B" w:rsidR="00155847" w:rsidRDefault="00155847" w:rsidP="000344B1">
      <w:pPr>
        <w:pStyle w:val="Caption"/>
      </w:pPr>
      <w:bookmarkStart w:id="24" w:name="_Ref156396476"/>
      <w:r>
        <w:t>Table S</w:t>
      </w:r>
      <w:r>
        <w:fldChar w:fldCharType="begin"/>
      </w:r>
      <w:r>
        <w:instrText xml:space="preserve"> SEQ Table_S \* ARABIC </w:instrText>
      </w:r>
      <w:r>
        <w:fldChar w:fldCharType="separate"/>
      </w:r>
      <w:r w:rsidR="00EC4F6F">
        <w:rPr>
          <w:noProof/>
        </w:rPr>
        <w:t>2</w:t>
      </w:r>
      <w:r>
        <w:rPr>
          <w:noProof/>
        </w:rPr>
        <w:fldChar w:fldCharType="end"/>
      </w:r>
      <w:bookmarkEnd w:id="24"/>
      <w:r>
        <w:t xml:space="preserve">. </w:t>
      </w:r>
      <w:r w:rsidRPr="00155847">
        <w:rPr>
          <w:lang w:val="en-US"/>
        </w:rPr>
        <w:t xml:space="preserve">Facility Complexity definitions based on </w:t>
      </w:r>
      <w:proofErr w:type="spellStart"/>
      <w:r w:rsidRPr="00155847">
        <w:rPr>
          <w:lang w:val="en-US"/>
        </w:rPr>
        <w:t>Broskey</w:t>
      </w:r>
      <w:proofErr w:type="spellEnd"/>
      <w:r w:rsidRPr="00155847">
        <w:rPr>
          <w:lang w:val="en-US"/>
        </w:rPr>
        <w:t xml:space="preserve"> (2018)</w:t>
      </w:r>
      <w:sdt>
        <w:sdtPr>
          <w:rPr>
            <w:color w:val="000000"/>
            <w:vertAlign w:val="superscript"/>
            <w:lang w:val="en-US"/>
          </w:rPr>
          <w:tag w:val="MENDELEY_CITATION_v3_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"/>
          <w:id w:val="2039925186"/>
          <w:placeholder>
            <w:docPart w:val="C92868A717C1A8419C4E1D8AD9C67A60"/>
          </w:placeholder>
        </w:sdtPr>
        <w:sdtContent>
          <w:r w:rsidR="00D83908" w:rsidRPr="00D83908">
            <w:rPr>
              <w:color w:val="000000"/>
              <w:vertAlign w:val="superscript"/>
              <w:lang w:val="en-US"/>
            </w:rPr>
            <w:t>1</w:t>
          </w:r>
        </w:sdtContent>
      </w:sdt>
      <w:r w:rsidRPr="00155847">
        <w:rPr>
          <w:color w:val="000000"/>
          <w:lang w:val="en-US"/>
        </w:rPr>
        <w: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830"/>
        <w:gridCol w:w="6186"/>
      </w:tblGrid>
      <w:tr w:rsidR="00D45716" w:rsidRPr="00E113A2" w14:paraId="0151DF2A" w14:textId="77777777" w:rsidTr="002A653C">
        <w:tc>
          <w:tcPr>
            <w:tcW w:w="2830" w:type="dxa"/>
            <w:shd w:val="clear" w:color="auto" w:fill="D0CECE" w:themeFill="background2" w:themeFillShade="E6"/>
          </w:tcPr>
          <w:p w14:paraId="761DED00" w14:textId="72D26863" w:rsidR="00D45716" w:rsidRPr="00155847" w:rsidRDefault="00D45716" w:rsidP="00783B4C">
            <w:pPr>
              <w:jc w:val="both"/>
              <w:rPr>
                <w:rFonts w:cstheme="minorHAnsi"/>
                <w:b/>
                <w:bCs/>
                <w:sz w:val="21"/>
                <w:szCs w:val="21"/>
                <w:lang w:val="en-US"/>
              </w:rPr>
            </w:pPr>
            <w:r w:rsidRPr="00155847">
              <w:rPr>
                <w:rFonts w:cstheme="minorHAnsi"/>
                <w:b/>
                <w:bCs/>
                <w:sz w:val="21"/>
                <w:szCs w:val="21"/>
                <w:lang w:val="en-US"/>
              </w:rPr>
              <w:t>Complexity level</w:t>
            </w:r>
          </w:p>
        </w:tc>
        <w:tc>
          <w:tcPr>
            <w:tcW w:w="6186" w:type="dxa"/>
            <w:shd w:val="clear" w:color="auto" w:fill="D0CECE" w:themeFill="background2" w:themeFillShade="E6"/>
          </w:tcPr>
          <w:p w14:paraId="7519FED3" w14:textId="07F70002" w:rsidR="00D45716" w:rsidRPr="00155847" w:rsidRDefault="00D45716" w:rsidP="00783B4C">
            <w:pPr>
              <w:jc w:val="both"/>
              <w:rPr>
                <w:rFonts w:cstheme="minorHAnsi"/>
                <w:b/>
                <w:bCs/>
                <w:sz w:val="21"/>
                <w:szCs w:val="21"/>
                <w:lang w:val="en-US"/>
              </w:rPr>
            </w:pPr>
            <w:r w:rsidRPr="00155847">
              <w:rPr>
                <w:rFonts w:cstheme="minorHAnsi"/>
                <w:b/>
                <w:bCs/>
                <w:sz w:val="21"/>
                <w:szCs w:val="21"/>
                <w:lang w:val="en-US"/>
              </w:rPr>
              <w:t>Facility description</w:t>
            </w:r>
          </w:p>
        </w:tc>
      </w:tr>
      <w:tr w:rsidR="00D45716" w:rsidRPr="00E113A2" w14:paraId="2FB171D3" w14:textId="77777777" w:rsidTr="002A653C">
        <w:tc>
          <w:tcPr>
            <w:tcW w:w="2830" w:type="dxa"/>
          </w:tcPr>
          <w:p w14:paraId="3CEB0122" w14:textId="34DD50F8" w:rsidR="00D45716" w:rsidRPr="00155847" w:rsidRDefault="00D45716" w:rsidP="00D45716">
            <w:pPr>
              <w:rPr>
                <w:rFonts w:cstheme="minorHAnsi"/>
                <w:sz w:val="21"/>
                <w:szCs w:val="21"/>
                <w:lang w:val="en-US"/>
              </w:rPr>
            </w:pPr>
            <w:r w:rsidRPr="00155847">
              <w:rPr>
                <w:rFonts w:cstheme="minorHAnsi"/>
                <w:sz w:val="21"/>
                <w:szCs w:val="21"/>
                <w:lang w:val="en-US"/>
              </w:rPr>
              <w:t>1a (highest complexity)</w:t>
            </w:r>
          </w:p>
        </w:tc>
        <w:tc>
          <w:tcPr>
            <w:tcW w:w="6186" w:type="dxa"/>
          </w:tcPr>
          <w:p w14:paraId="1E975C02" w14:textId="213B152F" w:rsidR="00D45716" w:rsidRPr="00155847" w:rsidRDefault="00D45716" w:rsidP="00783B4C">
            <w:pPr>
              <w:jc w:val="both"/>
              <w:rPr>
                <w:rFonts w:cstheme="minorHAnsi"/>
                <w:sz w:val="21"/>
                <w:szCs w:val="21"/>
                <w:lang w:val="en-US"/>
              </w:rPr>
            </w:pPr>
            <w:r w:rsidRPr="00155847">
              <w:rPr>
                <w:rFonts w:cstheme="minorHAnsi"/>
                <w:sz w:val="21"/>
                <w:szCs w:val="21"/>
                <w:lang w:val="en-US"/>
              </w:rPr>
              <w:t>Facility with high volume, high-risk patients, most complex clinical programs, and large research and teaching programs</w:t>
            </w:r>
          </w:p>
        </w:tc>
      </w:tr>
      <w:tr w:rsidR="00D45716" w:rsidRPr="00E113A2" w14:paraId="776477D2" w14:textId="77777777" w:rsidTr="002A653C">
        <w:tc>
          <w:tcPr>
            <w:tcW w:w="2830" w:type="dxa"/>
          </w:tcPr>
          <w:p w14:paraId="45686EDD" w14:textId="11A3BF29" w:rsidR="00D45716" w:rsidRPr="00155847" w:rsidRDefault="00D45716" w:rsidP="00D45716">
            <w:pPr>
              <w:rPr>
                <w:rFonts w:cstheme="minorHAnsi"/>
                <w:sz w:val="21"/>
                <w:szCs w:val="21"/>
                <w:lang w:val="en-US"/>
              </w:rPr>
            </w:pPr>
            <w:r w:rsidRPr="00155847">
              <w:rPr>
                <w:rFonts w:cstheme="minorHAnsi"/>
                <w:sz w:val="21"/>
                <w:szCs w:val="21"/>
                <w:lang w:val="en-US"/>
              </w:rPr>
              <w:t>1b (highest complexity)</w:t>
            </w:r>
          </w:p>
        </w:tc>
        <w:tc>
          <w:tcPr>
            <w:tcW w:w="6186" w:type="dxa"/>
          </w:tcPr>
          <w:p w14:paraId="5271EB80" w14:textId="5591B59E" w:rsidR="00D45716" w:rsidRPr="00155847" w:rsidRDefault="00D45716" w:rsidP="00783B4C">
            <w:pPr>
              <w:jc w:val="both"/>
              <w:rPr>
                <w:rFonts w:cstheme="minorHAnsi"/>
                <w:sz w:val="21"/>
                <w:szCs w:val="21"/>
                <w:lang w:val="en-US"/>
              </w:rPr>
            </w:pPr>
            <w:r w:rsidRPr="00155847">
              <w:rPr>
                <w:rFonts w:cstheme="minorHAnsi"/>
                <w:sz w:val="21"/>
                <w:szCs w:val="21"/>
                <w:lang w:val="en-US"/>
              </w:rPr>
              <w:t>Facilities with medium-high volume, high-risk patients, many complex clinical programs, and medium-large research and teaching programs</w:t>
            </w:r>
          </w:p>
        </w:tc>
      </w:tr>
      <w:tr w:rsidR="00D45716" w:rsidRPr="00E113A2" w14:paraId="322EE4A7" w14:textId="77777777" w:rsidTr="002A653C">
        <w:tc>
          <w:tcPr>
            <w:tcW w:w="2830" w:type="dxa"/>
          </w:tcPr>
          <w:p w14:paraId="6455A9D3" w14:textId="174958BC" w:rsidR="00D45716" w:rsidRPr="00155847" w:rsidRDefault="00D45716" w:rsidP="00D45716">
            <w:pPr>
              <w:rPr>
                <w:rFonts w:cstheme="minorHAnsi"/>
                <w:sz w:val="21"/>
                <w:szCs w:val="21"/>
                <w:lang w:val="en-US"/>
              </w:rPr>
            </w:pPr>
            <w:r w:rsidRPr="00155847">
              <w:rPr>
                <w:rFonts w:cstheme="minorHAnsi"/>
                <w:sz w:val="21"/>
                <w:szCs w:val="21"/>
                <w:lang w:val="en-US"/>
              </w:rPr>
              <w:t>1c (mid-high complexity)</w:t>
            </w:r>
          </w:p>
        </w:tc>
        <w:tc>
          <w:tcPr>
            <w:tcW w:w="6186" w:type="dxa"/>
          </w:tcPr>
          <w:p w14:paraId="4560EB47" w14:textId="54A6CE35" w:rsidR="00D45716" w:rsidRPr="00155847" w:rsidRDefault="00D45716" w:rsidP="00783B4C">
            <w:pPr>
              <w:jc w:val="both"/>
              <w:rPr>
                <w:rFonts w:cstheme="minorHAnsi"/>
                <w:sz w:val="21"/>
                <w:szCs w:val="21"/>
                <w:lang w:val="en-US"/>
              </w:rPr>
            </w:pPr>
            <w:r w:rsidRPr="00155847">
              <w:rPr>
                <w:rFonts w:cstheme="minorHAnsi"/>
                <w:sz w:val="21"/>
                <w:szCs w:val="21"/>
                <w:lang w:val="en-US"/>
              </w:rPr>
              <w:t>Facilities with medium-high volume, medium-risk patients, some complex clinical programs, and medium sized research and teaching programs</w:t>
            </w:r>
          </w:p>
        </w:tc>
      </w:tr>
      <w:tr w:rsidR="00D45716" w:rsidRPr="00E113A2" w14:paraId="3FE1A076" w14:textId="77777777" w:rsidTr="002A653C">
        <w:tc>
          <w:tcPr>
            <w:tcW w:w="2830" w:type="dxa"/>
          </w:tcPr>
          <w:p w14:paraId="4C0696AF" w14:textId="07D72B88" w:rsidR="00D45716" w:rsidRPr="00155847" w:rsidRDefault="00D45716" w:rsidP="00D45716">
            <w:pPr>
              <w:rPr>
                <w:rFonts w:cstheme="minorHAnsi"/>
                <w:sz w:val="21"/>
                <w:szCs w:val="21"/>
                <w:lang w:val="en-US"/>
              </w:rPr>
            </w:pPr>
            <w:r w:rsidRPr="00155847">
              <w:rPr>
                <w:rFonts w:cstheme="minorHAnsi"/>
                <w:sz w:val="21"/>
                <w:szCs w:val="21"/>
                <w:lang w:val="en-US"/>
              </w:rPr>
              <w:t>2 (medium complexity)</w:t>
            </w:r>
          </w:p>
        </w:tc>
        <w:tc>
          <w:tcPr>
            <w:tcW w:w="6186" w:type="dxa"/>
          </w:tcPr>
          <w:p w14:paraId="33CFA45F" w14:textId="44BD1AF5" w:rsidR="00D45716" w:rsidRPr="00155847" w:rsidRDefault="00D45716" w:rsidP="00783B4C">
            <w:pPr>
              <w:jc w:val="both"/>
              <w:rPr>
                <w:rFonts w:cstheme="minorHAnsi"/>
                <w:sz w:val="21"/>
                <w:szCs w:val="21"/>
                <w:lang w:val="en-US"/>
              </w:rPr>
            </w:pPr>
            <w:r w:rsidRPr="00155847">
              <w:rPr>
                <w:rFonts w:cstheme="minorHAnsi"/>
                <w:sz w:val="21"/>
                <w:szCs w:val="21"/>
                <w:lang w:val="en-US"/>
              </w:rPr>
              <w:t>Facilities with medium volume, low-risk patients, few complex clinical programs, and small or no research and teaching programs</w:t>
            </w:r>
          </w:p>
        </w:tc>
      </w:tr>
      <w:tr w:rsidR="00D45716" w:rsidRPr="00E113A2" w14:paraId="4F808498" w14:textId="77777777" w:rsidTr="002A653C">
        <w:tc>
          <w:tcPr>
            <w:tcW w:w="2830" w:type="dxa"/>
          </w:tcPr>
          <w:p w14:paraId="4DD5A170" w14:textId="306BAC98" w:rsidR="00D45716" w:rsidRPr="00155847" w:rsidRDefault="00D45716" w:rsidP="00D45716">
            <w:pPr>
              <w:rPr>
                <w:rFonts w:cstheme="minorHAnsi"/>
                <w:sz w:val="21"/>
                <w:szCs w:val="21"/>
                <w:lang w:val="en-US"/>
              </w:rPr>
            </w:pPr>
            <w:r w:rsidRPr="00155847">
              <w:rPr>
                <w:rFonts w:cstheme="minorHAnsi"/>
                <w:sz w:val="21"/>
                <w:szCs w:val="21"/>
                <w:lang w:val="en-US"/>
              </w:rPr>
              <w:t>3 (low complexity)</w:t>
            </w:r>
          </w:p>
        </w:tc>
        <w:tc>
          <w:tcPr>
            <w:tcW w:w="6186" w:type="dxa"/>
          </w:tcPr>
          <w:p w14:paraId="179F25F9" w14:textId="2F4DAAC4" w:rsidR="00D45716" w:rsidRPr="00155847" w:rsidRDefault="00D45716" w:rsidP="00783B4C">
            <w:pPr>
              <w:jc w:val="both"/>
              <w:rPr>
                <w:rFonts w:cstheme="minorHAnsi"/>
                <w:sz w:val="21"/>
                <w:szCs w:val="21"/>
                <w:lang w:val="en-US"/>
              </w:rPr>
            </w:pPr>
            <w:r w:rsidRPr="00155847">
              <w:rPr>
                <w:rFonts w:cstheme="minorHAnsi"/>
                <w:sz w:val="21"/>
                <w:szCs w:val="21"/>
                <w:lang w:val="en-US"/>
              </w:rPr>
              <w:t>Facilities with low volume, low-risk patients, few or no complex clinical programs, and small or no research and teaching programs</w:t>
            </w:r>
          </w:p>
        </w:tc>
      </w:tr>
    </w:tbl>
    <w:p w14:paraId="3E2ADA71" w14:textId="77777777" w:rsidR="00D45716" w:rsidRPr="00155847" w:rsidRDefault="00D45716" w:rsidP="00783B4C">
      <w:pPr>
        <w:jc w:val="both"/>
        <w:rPr>
          <w:rFonts w:cstheme="minorHAnsi"/>
          <w:lang w:val="en-US"/>
        </w:rPr>
      </w:pPr>
    </w:p>
    <w:p w14:paraId="65C73E55" w14:textId="323060E0" w:rsidR="00EA3710" w:rsidRPr="00155847" w:rsidRDefault="0010344C" w:rsidP="00783B4C">
      <w:pPr>
        <w:jc w:val="both"/>
        <w:rPr>
          <w:rFonts w:cstheme="minorHAnsi"/>
          <w:lang w:val="en-US"/>
        </w:rPr>
      </w:pPr>
      <w:r w:rsidRPr="00155847">
        <w:rPr>
          <w:rFonts w:cstheme="minorHAnsi"/>
          <w:lang w:val="en-US"/>
        </w:rPr>
        <w:t>Most 30-day incident isolates in our study (86%,</w:t>
      </w:r>
      <w:r w:rsidR="00155847">
        <w:rPr>
          <w:rFonts w:cstheme="minorHAnsi"/>
          <w:lang w:val="en-US"/>
        </w:rPr>
        <w:t xml:space="preserve"> </w:t>
      </w:r>
      <w:r w:rsidR="00155847">
        <w:rPr>
          <w:rFonts w:cstheme="minorHAnsi"/>
          <w:lang w:val="en-US"/>
        </w:rPr>
        <w:fldChar w:fldCharType="begin"/>
      </w:r>
      <w:r w:rsidR="00155847">
        <w:rPr>
          <w:rFonts w:cstheme="minorHAnsi"/>
          <w:lang w:val="en-US"/>
        </w:rPr>
        <w:instrText xml:space="preserve"> REF _Ref156380172 \h </w:instrText>
      </w:r>
      <w:r w:rsidR="00155847">
        <w:rPr>
          <w:rFonts w:cstheme="minorHAnsi"/>
          <w:lang w:val="en-US"/>
        </w:rPr>
      </w:r>
      <w:r w:rsidR="00155847">
        <w:rPr>
          <w:rFonts w:cstheme="minorHAnsi"/>
          <w:lang w:val="en-US"/>
        </w:rPr>
        <w:fldChar w:fldCharType="separate"/>
      </w:r>
      <w:r w:rsidR="001F36C9">
        <w:t>Figure S</w:t>
      </w:r>
      <w:r w:rsidR="001F36C9">
        <w:rPr>
          <w:noProof/>
        </w:rPr>
        <w:t>1</w:t>
      </w:r>
      <w:r w:rsidR="00155847">
        <w:rPr>
          <w:rFonts w:cstheme="minorHAnsi"/>
          <w:lang w:val="en-US"/>
        </w:rPr>
        <w:fldChar w:fldCharType="end"/>
      </w:r>
      <w:r w:rsidRPr="00155847">
        <w:rPr>
          <w:rFonts w:cstheme="minorHAnsi"/>
          <w:lang w:val="en-US"/>
        </w:rPr>
        <w:t xml:space="preserve">) were collected at facilities designated with the highest complexity (1a-1c). </w:t>
      </w:r>
    </w:p>
    <w:p w14:paraId="0B668188" w14:textId="77777777" w:rsidR="00155847" w:rsidRDefault="002A653C" w:rsidP="00155847">
      <w:pPr>
        <w:keepNext/>
        <w:jc w:val="both"/>
      </w:pPr>
      <w:r w:rsidRPr="00155847">
        <w:rPr>
          <w:rFonts w:cstheme="minorHAnsi"/>
          <w:noProof/>
          <w:lang w:val="en-US"/>
        </w:rPr>
        <w:drawing>
          <wp:inline distT="0" distB="0" distL="0" distR="0" wp14:anchorId="265EFBCA" wp14:editId="24E6B310">
            <wp:extent cx="5731510" cy="3223895"/>
            <wp:effectExtent l="0" t="0" r="0" b="1905"/>
            <wp:docPr id="4" name="Picture 3">
              <a:extLst xmlns:a="http://schemas.openxmlformats.org/drawingml/2006/main">
                <a:ext uri="{FF2B5EF4-FFF2-40B4-BE49-F238E27FC236}">
                  <a16:creationId xmlns:a16="http://schemas.microsoft.com/office/drawing/2014/main" id="{124E37D5-C39F-1BD4-B0F6-72C13FB154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4E37D5-C39F-1BD4-B0F6-72C13FB154D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A43591" w14:textId="78524737" w:rsidR="0010344C" w:rsidRPr="00155847" w:rsidRDefault="00155847" w:rsidP="000344B1">
      <w:pPr>
        <w:pStyle w:val="Caption"/>
        <w:rPr>
          <w:lang w:val="en-US"/>
        </w:rPr>
      </w:pPr>
      <w:bookmarkStart w:id="25" w:name="_Ref156380172"/>
      <w:r>
        <w:t>Figure S</w:t>
      </w:r>
      <w:r>
        <w:fldChar w:fldCharType="begin"/>
      </w:r>
      <w:r>
        <w:instrText xml:space="preserve"> SEQ Figure_S \* ARABIC </w:instrText>
      </w:r>
      <w:r>
        <w:fldChar w:fldCharType="separate"/>
      </w:r>
      <w:r w:rsidR="00546FF0">
        <w:rPr>
          <w:noProof/>
        </w:rPr>
        <w:t>1</w:t>
      </w:r>
      <w:r>
        <w:rPr>
          <w:noProof/>
        </w:rPr>
        <w:fldChar w:fldCharType="end"/>
      </w:r>
      <w:bookmarkEnd w:id="25"/>
      <w:r>
        <w:t>.</w:t>
      </w:r>
      <w:r w:rsidRPr="00155847">
        <w:rPr>
          <w:lang w:val="en-US"/>
        </w:rPr>
        <w:t xml:space="preserve"> Proportion of 30-day incident isolates across facilities with different complexity levels. </w:t>
      </w:r>
      <w:r w:rsidRPr="00155847">
        <w:rPr>
          <w:bCs/>
          <w:lang w:val="en-US"/>
        </w:rPr>
        <w:t xml:space="preserve">The facility complexity level was </w:t>
      </w:r>
      <w:r>
        <w:rPr>
          <w:bCs/>
          <w:lang w:val="en-US"/>
        </w:rPr>
        <w:t xml:space="preserve">based </w:t>
      </w:r>
      <w:r w:rsidRPr="00155847">
        <w:rPr>
          <w:bCs/>
          <w:lang w:val="en-US"/>
        </w:rPr>
        <w:t>on the VHA complexity model.</w:t>
      </w:r>
      <w:sdt>
        <w:sdtPr>
          <w:rPr>
            <w:bCs/>
            <w:color w:val="000000"/>
            <w:vertAlign w:val="superscript"/>
            <w:lang w:val="en-US"/>
          </w:rPr>
          <w:tag w:val="MENDELEY_CITATION_v3_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"/>
          <w:id w:val="758647776"/>
          <w:placeholder>
            <w:docPart w:val="DBEAF16909D54642A7A89D013DA8F03B"/>
          </w:placeholder>
        </w:sdtPr>
        <w:sdtContent>
          <w:r w:rsidR="00D83908" w:rsidRPr="00D83908">
            <w:rPr>
              <w:bCs/>
              <w:color w:val="000000"/>
              <w:vertAlign w:val="superscript"/>
              <w:lang w:val="en-US"/>
            </w:rPr>
            <w:t>1</w:t>
          </w:r>
        </w:sdtContent>
      </w:sdt>
      <w:r w:rsidRPr="00155847">
        <w:rPr>
          <w:lang w:val="en-US"/>
        </w:rPr>
        <w:t xml:space="preserve">  </w:t>
      </w:r>
    </w:p>
    <w:p w14:paraId="0657C298" w14:textId="66DEF465" w:rsidR="00046FA6" w:rsidRPr="00155847" w:rsidRDefault="00DC5D72" w:rsidP="00DC5D72">
      <w:pPr>
        <w:pStyle w:val="Heading2"/>
        <w:rPr>
          <w:lang w:val="en-US"/>
        </w:rPr>
      </w:pPr>
      <w:bookmarkStart w:id="26" w:name="_Toc169512169"/>
      <w:r w:rsidRPr="00155847">
        <w:rPr>
          <w:lang w:val="en-US"/>
        </w:rPr>
        <w:t xml:space="preserve">S1.3 </w:t>
      </w:r>
      <w:r w:rsidR="00046FA6" w:rsidRPr="00155847">
        <w:rPr>
          <w:lang w:val="en-US"/>
        </w:rPr>
        <w:t>Data on geography</w:t>
      </w:r>
      <w:bookmarkEnd w:id="26"/>
      <w:r w:rsidR="00046FA6" w:rsidRPr="00155847">
        <w:rPr>
          <w:lang w:val="en-US"/>
        </w:rPr>
        <w:t xml:space="preserve"> </w:t>
      </w:r>
    </w:p>
    <w:p w14:paraId="178766FA" w14:textId="7991A393" w:rsidR="00CC49AE" w:rsidRPr="00155847" w:rsidRDefault="00100FF4" w:rsidP="00783B4C">
      <w:pPr>
        <w:jc w:val="both"/>
        <w:rPr>
          <w:lang w:val="en-US"/>
        </w:rPr>
      </w:pPr>
      <w:r w:rsidRPr="00155847">
        <w:rPr>
          <w:lang w:val="en-US"/>
        </w:rPr>
        <w:t xml:space="preserve">In addition to the beforementioned facility information, </w:t>
      </w:r>
      <w:r w:rsidR="007B0BBC" w:rsidRPr="00155847">
        <w:rPr>
          <w:lang w:val="en-US"/>
        </w:rPr>
        <w:t>our database comprises</w:t>
      </w:r>
      <w:r w:rsidR="008206AE" w:rsidRPr="00155847">
        <w:rPr>
          <w:lang w:val="en-US"/>
        </w:rPr>
        <w:t xml:space="preserve"> geographic information for each facility, including the US state, census division and census region.</w:t>
      </w:r>
    </w:p>
    <w:p w14:paraId="397BEECC" w14:textId="77777777" w:rsidR="00C93204" w:rsidRDefault="00FD1F4C" w:rsidP="0087562B">
      <w:pPr>
        <w:pStyle w:val="Heading2"/>
        <w:rPr>
          <w:lang w:val="en-US"/>
        </w:rPr>
      </w:pPr>
      <w:r w:rsidRPr="00155847">
        <w:rPr>
          <w:lang w:val="en-US"/>
        </w:rPr>
        <w:br w:type="page"/>
      </w:r>
      <w:bookmarkStart w:id="27" w:name="_Toc169512170"/>
      <w:r w:rsidR="00C93204">
        <w:rPr>
          <w:lang w:val="en-US"/>
        </w:rPr>
        <w:lastRenderedPageBreak/>
        <w:t>S1.4 Data on patient demographics</w:t>
      </w:r>
      <w:bookmarkEnd w:id="27"/>
    </w:p>
    <w:p w14:paraId="6F64AA3F" w14:textId="2DE9D6CC" w:rsidR="00C93204" w:rsidRPr="00496CCC" w:rsidRDefault="0005121D" w:rsidP="004F0F74">
      <w:pPr>
        <w:jc w:val="both"/>
        <w:rPr>
          <w:lang w:val="en-US"/>
        </w:rPr>
      </w:pPr>
      <w:r w:rsidRPr="00496CCC">
        <w:rPr>
          <w:lang w:val="en-US"/>
        </w:rPr>
        <w:t xml:space="preserve">Information on patient demographics (age, race, ethnicity) were available in the hospital-level data set. The patient age was determined from the patient’s date of birth. Biological sex of patients was determined from their birth certificates. Race and ethnicity were collected by self-report. An overview of patient demographics (race and ethnicity) can be found in </w:t>
      </w:r>
      <w:r w:rsidR="004F0F74">
        <w:rPr>
          <w:lang w:val="en-US"/>
        </w:rPr>
        <w:fldChar w:fldCharType="begin"/>
      </w:r>
      <w:r w:rsidR="004F0F74">
        <w:rPr>
          <w:lang w:val="en-US"/>
        </w:rPr>
        <w:instrText xml:space="preserve"> REF _Ref169512252 \h  \* MERGEFORMAT </w:instrText>
      </w:r>
      <w:r w:rsidR="004F0F74">
        <w:rPr>
          <w:lang w:val="en-US"/>
        </w:rPr>
      </w:r>
      <w:r w:rsidR="004F0F74">
        <w:rPr>
          <w:lang w:val="en-US"/>
        </w:rPr>
        <w:fldChar w:fldCharType="separate"/>
      </w:r>
      <w:r w:rsidR="004F0F74">
        <w:t>Table S</w:t>
      </w:r>
      <w:r w:rsidR="004F0F74">
        <w:rPr>
          <w:noProof/>
        </w:rPr>
        <w:t>3</w:t>
      </w:r>
      <w:r w:rsidR="004F0F74">
        <w:rPr>
          <w:lang w:val="en-US"/>
        </w:rPr>
        <w:fldChar w:fldCharType="end"/>
      </w:r>
      <w:r w:rsidR="004F0F74">
        <w:rPr>
          <w:lang w:val="en-US"/>
        </w:rPr>
        <w:t xml:space="preserve"> and </w:t>
      </w:r>
      <w:r w:rsidR="004F0F74">
        <w:rPr>
          <w:lang w:val="en-US"/>
        </w:rPr>
        <w:fldChar w:fldCharType="begin"/>
      </w:r>
      <w:r w:rsidR="004F0F74">
        <w:rPr>
          <w:lang w:val="en-US"/>
        </w:rPr>
        <w:instrText xml:space="preserve"> REF _Ref169512255 \h  \* MERGEFORMAT </w:instrText>
      </w:r>
      <w:r w:rsidR="004F0F74">
        <w:rPr>
          <w:lang w:val="en-US"/>
        </w:rPr>
      </w:r>
      <w:r w:rsidR="004F0F74">
        <w:rPr>
          <w:lang w:val="en-US"/>
        </w:rPr>
        <w:fldChar w:fldCharType="separate"/>
      </w:r>
      <w:r w:rsidR="004F0F74">
        <w:t>Table S</w:t>
      </w:r>
      <w:r w:rsidR="004F0F74">
        <w:rPr>
          <w:noProof/>
        </w:rPr>
        <w:t>4</w:t>
      </w:r>
      <w:r w:rsidR="004F0F74">
        <w:rPr>
          <w:lang w:val="en-US"/>
        </w:rPr>
        <w:fldChar w:fldCharType="end"/>
      </w:r>
      <w:r w:rsidR="004F0F74">
        <w:rPr>
          <w:lang w:val="en-US"/>
        </w:rPr>
        <w:t>.</w:t>
      </w:r>
    </w:p>
    <w:p w14:paraId="370EBE12" w14:textId="77777777" w:rsidR="00952106" w:rsidRPr="00952106" w:rsidRDefault="00952106" w:rsidP="00952106">
      <w:pPr>
        <w:rPr>
          <w:lang w:val="en-US"/>
        </w:rPr>
      </w:pPr>
    </w:p>
    <w:p w14:paraId="5504EDE7" w14:textId="76B738A0" w:rsidR="00952106" w:rsidRDefault="00952106" w:rsidP="00952106">
      <w:pPr>
        <w:pStyle w:val="Caption"/>
      </w:pPr>
      <w:bookmarkStart w:id="28" w:name="_Ref169512252"/>
      <w:r>
        <w:t>Table S</w:t>
      </w:r>
      <w:r>
        <w:fldChar w:fldCharType="begin"/>
      </w:r>
      <w:r>
        <w:instrText xml:space="preserve"> SEQ Table_S \* ARABIC </w:instrText>
      </w:r>
      <w:r>
        <w:fldChar w:fldCharType="separate"/>
      </w:r>
      <w:r w:rsidR="00EC4F6F">
        <w:rPr>
          <w:noProof/>
        </w:rPr>
        <w:t>3</w:t>
      </w:r>
      <w:r>
        <w:fldChar w:fldCharType="end"/>
      </w:r>
      <w:bookmarkEnd w:id="28"/>
      <w:r>
        <w:t>. Summary statistics of race information of patients associated with</w:t>
      </w:r>
      <w:r w:rsidR="00596F08">
        <w:t xml:space="preserve"> 30-day incident isolates per organism. </w:t>
      </w:r>
      <w:r w:rsidR="00596F08" w:rsidRPr="00596F08">
        <w:rPr>
          <w:b w:val="0"/>
          <w:bCs/>
        </w:rPr>
        <w:t>The total number and percentages (per organism) are reported. Race information</w:t>
      </w:r>
      <w:r w:rsidR="00EC4F6F">
        <w:rPr>
          <w:b w:val="0"/>
          <w:bCs/>
        </w:rPr>
        <w:t xml:space="preserve"> of patients</w:t>
      </w:r>
      <w:r w:rsidR="00596F08" w:rsidRPr="00596F08">
        <w:rPr>
          <w:b w:val="0"/>
          <w:bCs/>
        </w:rPr>
        <w:t xml:space="preserve"> was collected by self-report.</w:t>
      </w:r>
      <w:r w:rsidR="00596F08">
        <w:t xml:space="preserve"> </w:t>
      </w:r>
    </w:p>
    <w:tbl>
      <w:tblPr>
        <w:tblW w:w="9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1277"/>
        <w:gridCol w:w="1181"/>
        <w:gridCol w:w="1022"/>
        <w:gridCol w:w="1022"/>
        <w:gridCol w:w="1022"/>
        <w:gridCol w:w="1022"/>
        <w:gridCol w:w="1022"/>
      </w:tblGrid>
      <w:tr w:rsidR="00952106" w:rsidRPr="00952106" w14:paraId="33E4479F" w14:textId="77777777" w:rsidTr="00952106">
        <w:trPr>
          <w:divId w:val="1783917386"/>
          <w:trHeight w:val="297"/>
        </w:trPr>
        <w:tc>
          <w:tcPr>
            <w:tcW w:w="1970" w:type="dxa"/>
            <w:shd w:val="clear" w:color="auto" w:fill="D0CECE" w:themeFill="background2" w:themeFillShade="E6"/>
            <w:noWrap/>
            <w:tcMar>
              <w:top w:w="15" w:type="dxa"/>
              <w:left w:w="15" w:type="dxa"/>
              <w:bottom w:w="0" w:type="dxa"/>
              <w:right w:w="15" w:type="dxa"/>
            </w:tcMar>
            <w:vAlign w:val="center"/>
            <w:hideMark/>
          </w:tcPr>
          <w:p w14:paraId="03C019E0" w14:textId="3F730417" w:rsidR="00952106" w:rsidRPr="00952106" w:rsidRDefault="00952106" w:rsidP="00952106">
            <w:pPr>
              <w:jc w:val="center"/>
              <w:rPr>
                <w:rFonts w:ascii="Aptos Narrow" w:eastAsia="Times New Roman" w:hAnsi="Aptos Narrow" w:cs="Times New Roman"/>
                <w:b/>
                <w:bCs/>
                <w:color w:val="000000"/>
                <w:sz w:val="18"/>
                <w:szCs w:val="18"/>
                <w:lang w:eastAsia="en-GB"/>
              </w:rPr>
            </w:pPr>
            <w:r w:rsidRPr="00952106">
              <w:rPr>
                <w:rFonts w:ascii="Aptos Narrow" w:eastAsia="Times New Roman" w:hAnsi="Aptos Narrow" w:cs="Times New Roman"/>
                <w:b/>
                <w:bCs/>
                <w:color w:val="000000"/>
                <w:sz w:val="18"/>
                <w:szCs w:val="18"/>
                <w:lang w:eastAsia="en-GB"/>
              </w:rPr>
              <w:t>Organism</w:t>
            </w:r>
          </w:p>
        </w:tc>
        <w:tc>
          <w:tcPr>
            <w:tcW w:w="1277" w:type="dxa"/>
            <w:shd w:val="clear" w:color="auto" w:fill="D0CECE" w:themeFill="background2" w:themeFillShade="E6"/>
            <w:noWrap/>
            <w:tcMar>
              <w:top w:w="15" w:type="dxa"/>
              <w:left w:w="15" w:type="dxa"/>
              <w:bottom w:w="0" w:type="dxa"/>
              <w:right w:w="15" w:type="dxa"/>
            </w:tcMar>
            <w:vAlign w:val="center"/>
            <w:hideMark/>
          </w:tcPr>
          <w:p w14:paraId="7BAD6696" w14:textId="685F3EC0" w:rsidR="00952106" w:rsidRPr="00952106" w:rsidRDefault="00952106" w:rsidP="00952106">
            <w:pPr>
              <w:jc w:val="center"/>
              <w:rPr>
                <w:rFonts w:ascii="Aptos Narrow" w:eastAsia="Times New Roman" w:hAnsi="Aptos Narrow" w:cs="Times New Roman"/>
                <w:b/>
                <w:bCs/>
                <w:color w:val="000000"/>
                <w:sz w:val="18"/>
                <w:szCs w:val="18"/>
                <w:lang w:eastAsia="en-GB"/>
              </w:rPr>
            </w:pPr>
            <w:r w:rsidRPr="00952106">
              <w:rPr>
                <w:rFonts w:ascii="Aptos Narrow" w:eastAsia="Times New Roman" w:hAnsi="Aptos Narrow" w:cs="Times New Roman"/>
                <w:b/>
                <w:bCs/>
                <w:color w:val="000000"/>
                <w:sz w:val="18"/>
                <w:szCs w:val="18"/>
                <w:lang w:eastAsia="en-GB"/>
              </w:rPr>
              <w:t>White</w:t>
            </w:r>
          </w:p>
        </w:tc>
        <w:tc>
          <w:tcPr>
            <w:tcW w:w="1181" w:type="dxa"/>
            <w:shd w:val="clear" w:color="auto" w:fill="D0CECE" w:themeFill="background2" w:themeFillShade="E6"/>
            <w:noWrap/>
            <w:tcMar>
              <w:top w:w="15" w:type="dxa"/>
              <w:left w:w="15" w:type="dxa"/>
              <w:bottom w:w="0" w:type="dxa"/>
              <w:right w:w="15" w:type="dxa"/>
            </w:tcMar>
            <w:vAlign w:val="center"/>
            <w:hideMark/>
          </w:tcPr>
          <w:p w14:paraId="46457BE2" w14:textId="258BB341" w:rsidR="00952106" w:rsidRPr="00952106" w:rsidRDefault="00952106" w:rsidP="00952106">
            <w:pPr>
              <w:jc w:val="center"/>
              <w:rPr>
                <w:rFonts w:ascii="Aptos Narrow" w:eastAsia="Times New Roman" w:hAnsi="Aptos Narrow" w:cs="Times New Roman"/>
                <w:b/>
                <w:bCs/>
                <w:color w:val="000000"/>
                <w:sz w:val="18"/>
                <w:szCs w:val="18"/>
                <w:lang w:eastAsia="en-GB"/>
              </w:rPr>
            </w:pPr>
            <w:r w:rsidRPr="00952106">
              <w:rPr>
                <w:rFonts w:ascii="Aptos Narrow" w:eastAsia="Times New Roman" w:hAnsi="Aptos Narrow" w:cs="Times New Roman"/>
                <w:b/>
                <w:bCs/>
                <w:color w:val="000000"/>
                <w:sz w:val="18"/>
                <w:szCs w:val="18"/>
                <w:lang w:eastAsia="en-GB"/>
              </w:rPr>
              <w:t>Black or African American</w:t>
            </w:r>
          </w:p>
        </w:tc>
        <w:tc>
          <w:tcPr>
            <w:tcW w:w="1022" w:type="dxa"/>
            <w:shd w:val="clear" w:color="auto" w:fill="D0CECE" w:themeFill="background2" w:themeFillShade="E6"/>
            <w:noWrap/>
            <w:tcMar>
              <w:top w:w="15" w:type="dxa"/>
              <w:left w:w="15" w:type="dxa"/>
              <w:bottom w:w="0" w:type="dxa"/>
              <w:right w:w="15" w:type="dxa"/>
            </w:tcMar>
            <w:vAlign w:val="center"/>
            <w:hideMark/>
          </w:tcPr>
          <w:p w14:paraId="72AE5C73" w14:textId="503E15F3" w:rsidR="00952106" w:rsidRPr="00952106" w:rsidRDefault="00952106" w:rsidP="00952106">
            <w:pPr>
              <w:jc w:val="center"/>
              <w:rPr>
                <w:rFonts w:ascii="Aptos Narrow" w:eastAsia="Times New Roman" w:hAnsi="Aptos Narrow" w:cs="Times New Roman"/>
                <w:b/>
                <w:bCs/>
                <w:color w:val="000000"/>
                <w:sz w:val="18"/>
                <w:szCs w:val="18"/>
                <w:lang w:eastAsia="en-GB"/>
              </w:rPr>
            </w:pPr>
            <w:r w:rsidRPr="00952106">
              <w:rPr>
                <w:rFonts w:ascii="Aptos Narrow" w:eastAsia="Times New Roman" w:hAnsi="Aptos Narrow" w:cs="Times New Roman"/>
                <w:b/>
                <w:bCs/>
                <w:color w:val="000000"/>
                <w:sz w:val="18"/>
                <w:szCs w:val="18"/>
                <w:lang w:eastAsia="en-GB"/>
              </w:rPr>
              <w:t>American Indian or Alaska native</w:t>
            </w:r>
          </w:p>
        </w:tc>
        <w:tc>
          <w:tcPr>
            <w:tcW w:w="1022" w:type="dxa"/>
            <w:shd w:val="clear" w:color="auto" w:fill="D0CECE" w:themeFill="background2" w:themeFillShade="E6"/>
            <w:noWrap/>
            <w:tcMar>
              <w:top w:w="15" w:type="dxa"/>
              <w:left w:w="15" w:type="dxa"/>
              <w:bottom w:w="0" w:type="dxa"/>
              <w:right w:w="15" w:type="dxa"/>
            </w:tcMar>
            <w:vAlign w:val="center"/>
            <w:hideMark/>
          </w:tcPr>
          <w:p w14:paraId="261D8F55" w14:textId="14DB86E0" w:rsidR="00952106" w:rsidRPr="00952106" w:rsidRDefault="00952106" w:rsidP="00952106">
            <w:pPr>
              <w:jc w:val="center"/>
              <w:rPr>
                <w:rFonts w:ascii="Aptos Narrow" w:eastAsia="Times New Roman" w:hAnsi="Aptos Narrow" w:cs="Times New Roman"/>
                <w:b/>
                <w:bCs/>
                <w:color w:val="000000"/>
                <w:sz w:val="18"/>
                <w:szCs w:val="18"/>
                <w:lang w:eastAsia="en-GB"/>
              </w:rPr>
            </w:pPr>
            <w:r w:rsidRPr="00952106">
              <w:rPr>
                <w:rFonts w:ascii="Aptos Narrow" w:eastAsia="Times New Roman" w:hAnsi="Aptos Narrow" w:cs="Times New Roman"/>
                <w:b/>
                <w:bCs/>
                <w:color w:val="000000"/>
                <w:sz w:val="18"/>
                <w:szCs w:val="18"/>
                <w:lang w:eastAsia="en-GB"/>
              </w:rPr>
              <w:t>Asian</w:t>
            </w:r>
          </w:p>
        </w:tc>
        <w:tc>
          <w:tcPr>
            <w:tcW w:w="1022" w:type="dxa"/>
            <w:shd w:val="clear" w:color="auto" w:fill="D0CECE" w:themeFill="background2" w:themeFillShade="E6"/>
            <w:noWrap/>
            <w:tcMar>
              <w:top w:w="15" w:type="dxa"/>
              <w:left w:w="15" w:type="dxa"/>
              <w:bottom w:w="0" w:type="dxa"/>
              <w:right w:w="15" w:type="dxa"/>
            </w:tcMar>
            <w:vAlign w:val="center"/>
            <w:hideMark/>
          </w:tcPr>
          <w:p w14:paraId="5710648D" w14:textId="323D03A9" w:rsidR="00952106" w:rsidRPr="00952106" w:rsidRDefault="00952106" w:rsidP="00952106">
            <w:pPr>
              <w:jc w:val="center"/>
              <w:rPr>
                <w:rFonts w:ascii="Aptos Narrow" w:eastAsia="Times New Roman" w:hAnsi="Aptos Narrow" w:cs="Times New Roman"/>
                <w:b/>
                <w:bCs/>
                <w:color w:val="000000"/>
                <w:sz w:val="18"/>
                <w:szCs w:val="18"/>
                <w:lang w:eastAsia="en-GB"/>
              </w:rPr>
            </w:pPr>
            <w:r w:rsidRPr="00952106">
              <w:rPr>
                <w:rFonts w:ascii="Aptos Narrow" w:eastAsia="Times New Roman" w:hAnsi="Aptos Narrow" w:cs="Times New Roman"/>
                <w:b/>
                <w:bCs/>
                <w:color w:val="000000"/>
                <w:sz w:val="18"/>
                <w:szCs w:val="18"/>
                <w:lang w:eastAsia="en-GB"/>
              </w:rPr>
              <w:t xml:space="preserve">native Hawaiian or </w:t>
            </w:r>
            <w:proofErr w:type="gramStart"/>
            <w:r w:rsidRPr="00952106">
              <w:rPr>
                <w:rFonts w:ascii="Aptos Narrow" w:eastAsia="Times New Roman" w:hAnsi="Aptos Narrow" w:cs="Times New Roman"/>
                <w:b/>
                <w:bCs/>
                <w:color w:val="000000"/>
                <w:sz w:val="18"/>
                <w:szCs w:val="18"/>
                <w:lang w:eastAsia="en-GB"/>
              </w:rPr>
              <w:t>other</w:t>
            </w:r>
            <w:proofErr w:type="gramEnd"/>
            <w:r w:rsidRPr="00952106">
              <w:rPr>
                <w:rFonts w:ascii="Aptos Narrow" w:eastAsia="Times New Roman" w:hAnsi="Aptos Narrow" w:cs="Times New Roman"/>
                <w:b/>
                <w:bCs/>
                <w:color w:val="000000"/>
                <w:sz w:val="18"/>
                <w:szCs w:val="18"/>
                <w:lang w:eastAsia="en-GB"/>
              </w:rPr>
              <w:t xml:space="preserve"> </w:t>
            </w:r>
            <w:r w:rsidR="003A41F4">
              <w:rPr>
                <w:rFonts w:ascii="Aptos Narrow" w:eastAsia="Times New Roman" w:hAnsi="Aptos Narrow" w:cs="Times New Roman"/>
                <w:b/>
                <w:bCs/>
                <w:color w:val="000000"/>
                <w:sz w:val="18"/>
                <w:szCs w:val="18"/>
                <w:lang w:eastAsia="en-GB"/>
              </w:rPr>
              <w:t>P</w:t>
            </w:r>
            <w:r w:rsidRPr="00952106">
              <w:rPr>
                <w:rFonts w:ascii="Aptos Narrow" w:eastAsia="Times New Roman" w:hAnsi="Aptos Narrow" w:cs="Times New Roman"/>
                <w:b/>
                <w:bCs/>
                <w:color w:val="000000"/>
                <w:sz w:val="18"/>
                <w:szCs w:val="18"/>
                <w:lang w:eastAsia="en-GB"/>
              </w:rPr>
              <w:t>acific islander</w:t>
            </w:r>
          </w:p>
        </w:tc>
        <w:tc>
          <w:tcPr>
            <w:tcW w:w="1022" w:type="dxa"/>
            <w:shd w:val="clear" w:color="auto" w:fill="D0CECE" w:themeFill="background2" w:themeFillShade="E6"/>
            <w:noWrap/>
            <w:tcMar>
              <w:top w:w="15" w:type="dxa"/>
              <w:left w:w="15" w:type="dxa"/>
              <w:bottom w:w="0" w:type="dxa"/>
              <w:right w:w="15" w:type="dxa"/>
            </w:tcMar>
            <w:vAlign w:val="center"/>
            <w:hideMark/>
          </w:tcPr>
          <w:p w14:paraId="2AEE69AA" w14:textId="06C6DE38" w:rsidR="00952106" w:rsidRPr="00952106" w:rsidRDefault="00596F08" w:rsidP="00952106">
            <w:pPr>
              <w:jc w:val="center"/>
              <w:rPr>
                <w:rFonts w:ascii="Aptos Narrow" w:eastAsia="Times New Roman" w:hAnsi="Aptos Narrow" w:cs="Times New Roman"/>
                <w:b/>
                <w:bCs/>
                <w:color w:val="000000"/>
                <w:sz w:val="18"/>
                <w:szCs w:val="18"/>
                <w:lang w:eastAsia="en-GB"/>
              </w:rPr>
            </w:pPr>
            <w:r>
              <w:rPr>
                <w:rFonts w:ascii="Aptos Narrow" w:eastAsia="Times New Roman" w:hAnsi="Aptos Narrow" w:cs="Times New Roman"/>
                <w:b/>
                <w:bCs/>
                <w:color w:val="000000"/>
                <w:sz w:val="18"/>
                <w:szCs w:val="18"/>
                <w:lang w:eastAsia="en-GB"/>
              </w:rPr>
              <w:t>M</w:t>
            </w:r>
            <w:r w:rsidR="00952106" w:rsidRPr="00952106">
              <w:rPr>
                <w:rFonts w:ascii="Aptos Narrow" w:eastAsia="Times New Roman" w:hAnsi="Aptos Narrow" w:cs="Times New Roman"/>
                <w:b/>
                <w:bCs/>
                <w:color w:val="000000"/>
                <w:sz w:val="18"/>
                <w:szCs w:val="18"/>
                <w:lang w:eastAsia="en-GB"/>
              </w:rPr>
              <w:t>ixed</w:t>
            </w:r>
          </w:p>
        </w:tc>
        <w:tc>
          <w:tcPr>
            <w:tcW w:w="1022" w:type="dxa"/>
            <w:shd w:val="clear" w:color="auto" w:fill="D0CECE" w:themeFill="background2" w:themeFillShade="E6"/>
            <w:noWrap/>
            <w:tcMar>
              <w:top w:w="15" w:type="dxa"/>
              <w:left w:w="15" w:type="dxa"/>
              <w:bottom w:w="0" w:type="dxa"/>
              <w:right w:w="15" w:type="dxa"/>
            </w:tcMar>
            <w:vAlign w:val="center"/>
            <w:hideMark/>
          </w:tcPr>
          <w:p w14:paraId="17585C94" w14:textId="58CFC875" w:rsidR="00952106" w:rsidRPr="00952106" w:rsidRDefault="00596F08" w:rsidP="00952106">
            <w:pPr>
              <w:jc w:val="center"/>
              <w:rPr>
                <w:rFonts w:ascii="Aptos Narrow" w:eastAsia="Times New Roman" w:hAnsi="Aptos Narrow" w:cs="Times New Roman"/>
                <w:b/>
                <w:bCs/>
                <w:color w:val="000000"/>
                <w:sz w:val="18"/>
                <w:szCs w:val="18"/>
                <w:lang w:eastAsia="en-GB"/>
              </w:rPr>
            </w:pPr>
            <w:r>
              <w:rPr>
                <w:rFonts w:ascii="Aptos Narrow" w:eastAsia="Times New Roman" w:hAnsi="Aptos Narrow" w:cs="Times New Roman"/>
                <w:b/>
                <w:bCs/>
                <w:color w:val="000000"/>
                <w:sz w:val="18"/>
                <w:szCs w:val="18"/>
                <w:lang w:eastAsia="en-GB"/>
              </w:rPr>
              <w:t>M</w:t>
            </w:r>
            <w:r w:rsidR="00952106" w:rsidRPr="00952106">
              <w:rPr>
                <w:rFonts w:ascii="Aptos Narrow" w:eastAsia="Times New Roman" w:hAnsi="Aptos Narrow" w:cs="Times New Roman"/>
                <w:b/>
                <w:bCs/>
                <w:color w:val="000000"/>
                <w:sz w:val="18"/>
                <w:szCs w:val="18"/>
                <w:lang w:eastAsia="en-GB"/>
              </w:rPr>
              <w:t>issing</w:t>
            </w:r>
          </w:p>
        </w:tc>
      </w:tr>
      <w:tr w:rsidR="00952106" w:rsidRPr="00952106" w14:paraId="22864480" w14:textId="77777777" w:rsidTr="00952106">
        <w:trPr>
          <w:divId w:val="1783917386"/>
          <w:trHeight w:val="297"/>
        </w:trPr>
        <w:tc>
          <w:tcPr>
            <w:tcW w:w="0" w:type="auto"/>
            <w:shd w:val="clear" w:color="auto" w:fill="auto"/>
            <w:noWrap/>
            <w:tcMar>
              <w:top w:w="15" w:type="dxa"/>
              <w:left w:w="15" w:type="dxa"/>
              <w:bottom w:w="0" w:type="dxa"/>
              <w:right w:w="15" w:type="dxa"/>
            </w:tcMar>
            <w:vAlign w:val="bottom"/>
            <w:hideMark/>
          </w:tcPr>
          <w:p w14:paraId="579C7EE5" w14:textId="77777777" w:rsidR="00952106" w:rsidRPr="00952106" w:rsidRDefault="00952106" w:rsidP="00952106">
            <w:pP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Staphylococcus aureus</w:t>
            </w:r>
          </w:p>
        </w:tc>
        <w:tc>
          <w:tcPr>
            <w:tcW w:w="0" w:type="auto"/>
            <w:shd w:val="clear" w:color="auto" w:fill="auto"/>
            <w:noWrap/>
            <w:tcMar>
              <w:top w:w="15" w:type="dxa"/>
              <w:left w:w="15" w:type="dxa"/>
              <w:bottom w:w="0" w:type="dxa"/>
              <w:right w:w="15" w:type="dxa"/>
            </w:tcMar>
            <w:vAlign w:val="bottom"/>
            <w:hideMark/>
          </w:tcPr>
          <w:p w14:paraId="29BCF2C1"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188,964 (76.4%)</w:t>
            </w:r>
          </w:p>
        </w:tc>
        <w:tc>
          <w:tcPr>
            <w:tcW w:w="0" w:type="auto"/>
            <w:shd w:val="clear" w:color="auto" w:fill="auto"/>
            <w:noWrap/>
            <w:tcMar>
              <w:top w:w="15" w:type="dxa"/>
              <w:left w:w="15" w:type="dxa"/>
              <w:bottom w:w="0" w:type="dxa"/>
              <w:right w:w="15" w:type="dxa"/>
            </w:tcMar>
            <w:vAlign w:val="bottom"/>
            <w:hideMark/>
          </w:tcPr>
          <w:p w14:paraId="50B9AE9A"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42,986 (17.4%)</w:t>
            </w:r>
          </w:p>
        </w:tc>
        <w:tc>
          <w:tcPr>
            <w:tcW w:w="0" w:type="auto"/>
            <w:shd w:val="clear" w:color="auto" w:fill="auto"/>
            <w:noWrap/>
            <w:tcMar>
              <w:top w:w="15" w:type="dxa"/>
              <w:left w:w="15" w:type="dxa"/>
              <w:bottom w:w="0" w:type="dxa"/>
              <w:right w:w="15" w:type="dxa"/>
            </w:tcMar>
            <w:vAlign w:val="bottom"/>
            <w:hideMark/>
          </w:tcPr>
          <w:p w14:paraId="7E6C37A3"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1,861 (0.8%)</w:t>
            </w:r>
          </w:p>
        </w:tc>
        <w:tc>
          <w:tcPr>
            <w:tcW w:w="0" w:type="auto"/>
            <w:shd w:val="clear" w:color="auto" w:fill="auto"/>
            <w:noWrap/>
            <w:tcMar>
              <w:top w:w="15" w:type="dxa"/>
              <w:left w:w="15" w:type="dxa"/>
              <w:bottom w:w="0" w:type="dxa"/>
              <w:right w:w="15" w:type="dxa"/>
            </w:tcMar>
            <w:vAlign w:val="bottom"/>
            <w:hideMark/>
          </w:tcPr>
          <w:p w14:paraId="189F656C"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853 (0.3%)</w:t>
            </w:r>
          </w:p>
        </w:tc>
        <w:tc>
          <w:tcPr>
            <w:tcW w:w="0" w:type="auto"/>
            <w:shd w:val="clear" w:color="auto" w:fill="auto"/>
            <w:noWrap/>
            <w:tcMar>
              <w:top w:w="15" w:type="dxa"/>
              <w:left w:w="15" w:type="dxa"/>
              <w:bottom w:w="0" w:type="dxa"/>
              <w:right w:w="15" w:type="dxa"/>
            </w:tcMar>
            <w:vAlign w:val="bottom"/>
            <w:hideMark/>
          </w:tcPr>
          <w:p w14:paraId="3602A7CB"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1,605 (0.6%)</w:t>
            </w:r>
          </w:p>
        </w:tc>
        <w:tc>
          <w:tcPr>
            <w:tcW w:w="0" w:type="auto"/>
            <w:shd w:val="clear" w:color="auto" w:fill="auto"/>
            <w:noWrap/>
            <w:tcMar>
              <w:top w:w="15" w:type="dxa"/>
              <w:left w:w="15" w:type="dxa"/>
              <w:bottom w:w="0" w:type="dxa"/>
              <w:right w:w="15" w:type="dxa"/>
            </w:tcMar>
            <w:vAlign w:val="bottom"/>
            <w:hideMark/>
          </w:tcPr>
          <w:p w14:paraId="1EEBDC22"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1,978 (0.8%)</w:t>
            </w:r>
          </w:p>
        </w:tc>
        <w:tc>
          <w:tcPr>
            <w:tcW w:w="0" w:type="auto"/>
            <w:shd w:val="clear" w:color="auto" w:fill="auto"/>
            <w:noWrap/>
            <w:tcMar>
              <w:top w:w="15" w:type="dxa"/>
              <w:left w:w="15" w:type="dxa"/>
              <w:bottom w:w="0" w:type="dxa"/>
              <w:right w:w="15" w:type="dxa"/>
            </w:tcMar>
            <w:vAlign w:val="bottom"/>
            <w:hideMark/>
          </w:tcPr>
          <w:p w14:paraId="5968BF78"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9,082 (3.7%)</w:t>
            </w:r>
          </w:p>
        </w:tc>
      </w:tr>
      <w:tr w:rsidR="00952106" w:rsidRPr="00952106" w14:paraId="1BF73733" w14:textId="77777777" w:rsidTr="00952106">
        <w:trPr>
          <w:divId w:val="1783917386"/>
          <w:trHeight w:val="297"/>
        </w:trPr>
        <w:tc>
          <w:tcPr>
            <w:tcW w:w="0" w:type="auto"/>
            <w:shd w:val="clear" w:color="auto" w:fill="auto"/>
            <w:noWrap/>
            <w:tcMar>
              <w:top w:w="15" w:type="dxa"/>
              <w:left w:w="15" w:type="dxa"/>
              <w:bottom w:w="0" w:type="dxa"/>
              <w:right w:w="15" w:type="dxa"/>
            </w:tcMar>
            <w:vAlign w:val="bottom"/>
            <w:hideMark/>
          </w:tcPr>
          <w:p w14:paraId="13FE972D" w14:textId="77777777" w:rsidR="00952106" w:rsidRPr="00952106" w:rsidRDefault="00952106" w:rsidP="00952106">
            <w:pP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Enterococcus faecalis</w:t>
            </w:r>
          </w:p>
        </w:tc>
        <w:tc>
          <w:tcPr>
            <w:tcW w:w="0" w:type="auto"/>
            <w:shd w:val="clear" w:color="auto" w:fill="auto"/>
            <w:noWrap/>
            <w:tcMar>
              <w:top w:w="15" w:type="dxa"/>
              <w:left w:w="15" w:type="dxa"/>
              <w:bottom w:w="0" w:type="dxa"/>
              <w:right w:w="15" w:type="dxa"/>
            </w:tcMar>
            <w:vAlign w:val="bottom"/>
            <w:hideMark/>
          </w:tcPr>
          <w:p w14:paraId="28FA676D"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97,755 (72.9%)</w:t>
            </w:r>
          </w:p>
        </w:tc>
        <w:tc>
          <w:tcPr>
            <w:tcW w:w="0" w:type="auto"/>
            <w:shd w:val="clear" w:color="auto" w:fill="auto"/>
            <w:noWrap/>
            <w:tcMar>
              <w:top w:w="15" w:type="dxa"/>
              <w:left w:w="15" w:type="dxa"/>
              <w:bottom w:w="0" w:type="dxa"/>
              <w:right w:w="15" w:type="dxa"/>
            </w:tcMar>
            <w:vAlign w:val="bottom"/>
            <w:hideMark/>
          </w:tcPr>
          <w:p w14:paraId="295E7E6A"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27,999 (20.9%)</w:t>
            </w:r>
          </w:p>
        </w:tc>
        <w:tc>
          <w:tcPr>
            <w:tcW w:w="0" w:type="auto"/>
            <w:shd w:val="clear" w:color="auto" w:fill="auto"/>
            <w:noWrap/>
            <w:tcMar>
              <w:top w:w="15" w:type="dxa"/>
              <w:left w:w="15" w:type="dxa"/>
              <w:bottom w:w="0" w:type="dxa"/>
              <w:right w:w="15" w:type="dxa"/>
            </w:tcMar>
            <w:vAlign w:val="bottom"/>
            <w:hideMark/>
          </w:tcPr>
          <w:p w14:paraId="29247CBB"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835 (0.6%)</w:t>
            </w:r>
          </w:p>
        </w:tc>
        <w:tc>
          <w:tcPr>
            <w:tcW w:w="0" w:type="auto"/>
            <w:shd w:val="clear" w:color="auto" w:fill="auto"/>
            <w:noWrap/>
            <w:tcMar>
              <w:top w:w="15" w:type="dxa"/>
              <w:left w:w="15" w:type="dxa"/>
              <w:bottom w:w="0" w:type="dxa"/>
              <w:right w:w="15" w:type="dxa"/>
            </w:tcMar>
            <w:vAlign w:val="bottom"/>
            <w:hideMark/>
          </w:tcPr>
          <w:p w14:paraId="77D1CBB3"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438 (0.3%)</w:t>
            </w:r>
          </w:p>
        </w:tc>
        <w:tc>
          <w:tcPr>
            <w:tcW w:w="0" w:type="auto"/>
            <w:shd w:val="clear" w:color="auto" w:fill="auto"/>
            <w:noWrap/>
            <w:tcMar>
              <w:top w:w="15" w:type="dxa"/>
              <w:left w:w="15" w:type="dxa"/>
              <w:bottom w:w="0" w:type="dxa"/>
              <w:right w:w="15" w:type="dxa"/>
            </w:tcMar>
            <w:vAlign w:val="bottom"/>
            <w:hideMark/>
          </w:tcPr>
          <w:p w14:paraId="468093F4"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848 (0.6%)</w:t>
            </w:r>
          </w:p>
        </w:tc>
        <w:tc>
          <w:tcPr>
            <w:tcW w:w="0" w:type="auto"/>
            <w:shd w:val="clear" w:color="auto" w:fill="auto"/>
            <w:noWrap/>
            <w:tcMar>
              <w:top w:w="15" w:type="dxa"/>
              <w:left w:w="15" w:type="dxa"/>
              <w:bottom w:w="0" w:type="dxa"/>
              <w:right w:w="15" w:type="dxa"/>
            </w:tcMar>
            <w:vAlign w:val="bottom"/>
            <w:hideMark/>
          </w:tcPr>
          <w:p w14:paraId="4DB8D048"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1,094 (0.8%)</w:t>
            </w:r>
          </w:p>
        </w:tc>
        <w:tc>
          <w:tcPr>
            <w:tcW w:w="0" w:type="auto"/>
            <w:shd w:val="clear" w:color="auto" w:fill="auto"/>
            <w:noWrap/>
            <w:tcMar>
              <w:top w:w="15" w:type="dxa"/>
              <w:left w:w="15" w:type="dxa"/>
              <w:bottom w:w="0" w:type="dxa"/>
              <w:right w:w="15" w:type="dxa"/>
            </w:tcMar>
            <w:vAlign w:val="bottom"/>
            <w:hideMark/>
          </w:tcPr>
          <w:p w14:paraId="461B2F6D"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5,122 (3.8%)</w:t>
            </w:r>
          </w:p>
        </w:tc>
      </w:tr>
      <w:tr w:rsidR="00952106" w:rsidRPr="00952106" w14:paraId="7313E300" w14:textId="77777777" w:rsidTr="00952106">
        <w:trPr>
          <w:divId w:val="1783917386"/>
          <w:trHeight w:val="297"/>
        </w:trPr>
        <w:tc>
          <w:tcPr>
            <w:tcW w:w="0" w:type="auto"/>
            <w:shd w:val="clear" w:color="auto" w:fill="auto"/>
            <w:noWrap/>
            <w:tcMar>
              <w:top w:w="15" w:type="dxa"/>
              <w:left w:w="15" w:type="dxa"/>
              <w:bottom w:w="0" w:type="dxa"/>
              <w:right w:w="15" w:type="dxa"/>
            </w:tcMar>
            <w:vAlign w:val="bottom"/>
            <w:hideMark/>
          </w:tcPr>
          <w:p w14:paraId="760D67C1" w14:textId="77777777" w:rsidR="00952106" w:rsidRPr="00952106" w:rsidRDefault="00952106" w:rsidP="00952106">
            <w:pP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Enterococcus faecium</w:t>
            </w:r>
          </w:p>
        </w:tc>
        <w:tc>
          <w:tcPr>
            <w:tcW w:w="0" w:type="auto"/>
            <w:shd w:val="clear" w:color="auto" w:fill="auto"/>
            <w:noWrap/>
            <w:tcMar>
              <w:top w:w="15" w:type="dxa"/>
              <w:left w:w="15" w:type="dxa"/>
              <w:bottom w:w="0" w:type="dxa"/>
              <w:right w:w="15" w:type="dxa"/>
            </w:tcMar>
            <w:vAlign w:val="bottom"/>
            <w:hideMark/>
          </w:tcPr>
          <w:p w14:paraId="7B525B35"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27,310 (72%)</w:t>
            </w:r>
          </w:p>
        </w:tc>
        <w:tc>
          <w:tcPr>
            <w:tcW w:w="0" w:type="auto"/>
            <w:shd w:val="clear" w:color="auto" w:fill="auto"/>
            <w:noWrap/>
            <w:tcMar>
              <w:top w:w="15" w:type="dxa"/>
              <w:left w:w="15" w:type="dxa"/>
              <w:bottom w:w="0" w:type="dxa"/>
              <w:right w:w="15" w:type="dxa"/>
            </w:tcMar>
            <w:vAlign w:val="bottom"/>
            <w:hideMark/>
          </w:tcPr>
          <w:p w14:paraId="21820973"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8,109 (21.4%)</w:t>
            </w:r>
          </w:p>
        </w:tc>
        <w:tc>
          <w:tcPr>
            <w:tcW w:w="0" w:type="auto"/>
            <w:shd w:val="clear" w:color="auto" w:fill="auto"/>
            <w:noWrap/>
            <w:tcMar>
              <w:top w:w="15" w:type="dxa"/>
              <w:left w:w="15" w:type="dxa"/>
              <w:bottom w:w="0" w:type="dxa"/>
              <w:right w:w="15" w:type="dxa"/>
            </w:tcMar>
            <w:vAlign w:val="bottom"/>
            <w:hideMark/>
          </w:tcPr>
          <w:p w14:paraId="14B14ABC"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240 (0.6%)</w:t>
            </w:r>
          </w:p>
        </w:tc>
        <w:tc>
          <w:tcPr>
            <w:tcW w:w="0" w:type="auto"/>
            <w:shd w:val="clear" w:color="auto" w:fill="auto"/>
            <w:noWrap/>
            <w:tcMar>
              <w:top w:w="15" w:type="dxa"/>
              <w:left w:w="15" w:type="dxa"/>
              <w:bottom w:w="0" w:type="dxa"/>
              <w:right w:w="15" w:type="dxa"/>
            </w:tcMar>
            <w:vAlign w:val="bottom"/>
            <w:hideMark/>
          </w:tcPr>
          <w:p w14:paraId="708CCC7C"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154 (0.4%)</w:t>
            </w:r>
          </w:p>
        </w:tc>
        <w:tc>
          <w:tcPr>
            <w:tcW w:w="0" w:type="auto"/>
            <w:shd w:val="clear" w:color="auto" w:fill="auto"/>
            <w:noWrap/>
            <w:tcMar>
              <w:top w:w="15" w:type="dxa"/>
              <w:left w:w="15" w:type="dxa"/>
              <w:bottom w:w="0" w:type="dxa"/>
              <w:right w:w="15" w:type="dxa"/>
            </w:tcMar>
            <w:vAlign w:val="bottom"/>
            <w:hideMark/>
          </w:tcPr>
          <w:p w14:paraId="648DA81B"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199 (0.5%)</w:t>
            </w:r>
          </w:p>
        </w:tc>
        <w:tc>
          <w:tcPr>
            <w:tcW w:w="0" w:type="auto"/>
            <w:shd w:val="clear" w:color="auto" w:fill="auto"/>
            <w:noWrap/>
            <w:tcMar>
              <w:top w:w="15" w:type="dxa"/>
              <w:left w:w="15" w:type="dxa"/>
              <w:bottom w:w="0" w:type="dxa"/>
              <w:right w:w="15" w:type="dxa"/>
            </w:tcMar>
            <w:vAlign w:val="bottom"/>
            <w:hideMark/>
          </w:tcPr>
          <w:p w14:paraId="297705C7"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302 (0.8%)</w:t>
            </w:r>
          </w:p>
        </w:tc>
        <w:tc>
          <w:tcPr>
            <w:tcW w:w="0" w:type="auto"/>
            <w:shd w:val="clear" w:color="auto" w:fill="auto"/>
            <w:noWrap/>
            <w:tcMar>
              <w:top w:w="15" w:type="dxa"/>
              <w:left w:w="15" w:type="dxa"/>
              <w:bottom w:w="0" w:type="dxa"/>
              <w:right w:w="15" w:type="dxa"/>
            </w:tcMar>
            <w:vAlign w:val="bottom"/>
            <w:hideMark/>
          </w:tcPr>
          <w:p w14:paraId="56256155"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1,592 (4.2%)</w:t>
            </w:r>
          </w:p>
        </w:tc>
      </w:tr>
      <w:tr w:rsidR="00952106" w:rsidRPr="00952106" w14:paraId="28B0405A" w14:textId="77777777" w:rsidTr="00952106">
        <w:trPr>
          <w:divId w:val="1783917386"/>
          <w:trHeight w:val="297"/>
        </w:trPr>
        <w:tc>
          <w:tcPr>
            <w:tcW w:w="0" w:type="auto"/>
            <w:shd w:val="clear" w:color="auto" w:fill="auto"/>
            <w:noWrap/>
            <w:tcMar>
              <w:top w:w="15" w:type="dxa"/>
              <w:left w:w="15" w:type="dxa"/>
              <w:bottom w:w="0" w:type="dxa"/>
              <w:right w:w="15" w:type="dxa"/>
            </w:tcMar>
            <w:vAlign w:val="bottom"/>
            <w:hideMark/>
          </w:tcPr>
          <w:p w14:paraId="5CF87122" w14:textId="77777777" w:rsidR="00952106" w:rsidRPr="00952106" w:rsidRDefault="00952106" w:rsidP="00952106">
            <w:pP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Escherichia coli</w:t>
            </w:r>
          </w:p>
        </w:tc>
        <w:tc>
          <w:tcPr>
            <w:tcW w:w="0" w:type="auto"/>
            <w:shd w:val="clear" w:color="auto" w:fill="auto"/>
            <w:noWrap/>
            <w:tcMar>
              <w:top w:w="15" w:type="dxa"/>
              <w:left w:w="15" w:type="dxa"/>
              <w:bottom w:w="0" w:type="dxa"/>
              <w:right w:w="15" w:type="dxa"/>
            </w:tcMar>
            <w:vAlign w:val="bottom"/>
            <w:hideMark/>
          </w:tcPr>
          <w:p w14:paraId="42190230"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156,882 (70.6%)</w:t>
            </w:r>
          </w:p>
        </w:tc>
        <w:tc>
          <w:tcPr>
            <w:tcW w:w="0" w:type="auto"/>
            <w:shd w:val="clear" w:color="auto" w:fill="auto"/>
            <w:noWrap/>
            <w:tcMar>
              <w:top w:w="15" w:type="dxa"/>
              <w:left w:w="15" w:type="dxa"/>
              <w:bottom w:w="0" w:type="dxa"/>
              <w:right w:w="15" w:type="dxa"/>
            </w:tcMar>
            <w:vAlign w:val="bottom"/>
            <w:hideMark/>
          </w:tcPr>
          <w:p w14:paraId="5475C74C"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50,674 (22.8%)</w:t>
            </w:r>
          </w:p>
        </w:tc>
        <w:tc>
          <w:tcPr>
            <w:tcW w:w="0" w:type="auto"/>
            <w:shd w:val="clear" w:color="auto" w:fill="auto"/>
            <w:noWrap/>
            <w:tcMar>
              <w:top w:w="15" w:type="dxa"/>
              <w:left w:w="15" w:type="dxa"/>
              <w:bottom w:w="0" w:type="dxa"/>
              <w:right w:w="15" w:type="dxa"/>
            </w:tcMar>
            <w:vAlign w:val="bottom"/>
            <w:hideMark/>
          </w:tcPr>
          <w:p w14:paraId="456BA2F9"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1,530 (0.7%)</w:t>
            </w:r>
          </w:p>
        </w:tc>
        <w:tc>
          <w:tcPr>
            <w:tcW w:w="0" w:type="auto"/>
            <w:shd w:val="clear" w:color="auto" w:fill="auto"/>
            <w:noWrap/>
            <w:tcMar>
              <w:top w:w="15" w:type="dxa"/>
              <w:left w:w="15" w:type="dxa"/>
              <w:bottom w:w="0" w:type="dxa"/>
              <w:right w:w="15" w:type="dxa"/>
            </w:tcMar>
            <w:vAlign w:val="bottom"/>
            <w:hideMark/>
          </w:tcPr>
          <w:p w14:paraId="4D5807AB"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859 (0.4%)</w:t>
            </w:r>
          </w:p>
        </w:tc>
        <w:tc>
          <w:tcPr>
            <w:tcW w:w="0" w:type="auto"/>
            <w:shd w:val="clear" w:color="auto" w:fill="auto"/>
            <w:noWrap/>
            <w:tcMar>
              <w:top w:w="15" w:type="dxa"/>
              <w:left w:w="15" w:type="dxa"/>
              <w:bottom w:w="0" w:type="dxa"/>
              <w:right w:w="15" w:type="dxa"/>
            </w:tcMar>
            <w:vAlign w:val="bottom"/>
            <w:hideMark/>
          </w:tcPr>
          <w:p w14:paraId="452B0376"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1,543 (0.7%)</w:t>
            </w:r>
          </w:p>
        </w:tc>
        <w:tc>
          <w:tcPr>
            <w:tcW w:w="0" w:type="auto"/>
            <w:shd w:val="clear" w:color="auto" w:fill="auto"/>
            <w:noWrap/>
            <w:tcMar>
              <w:top w:w="15" w:type="dxa"/>
              <w:left w:w="15" w:type="dxa"/>
              <w:bottom w:w="0" w:type="dxa"/>
              <w:right w:w="15" w:type="dxa"/>
            </w:tcMar>
            <w:vAlign w:val="bottom"/>
            <w:hideMark/>
          </w:tcPr>
          <w:p w14:paraId="1E30A5A1"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1,851 (0.8%)</w:t>
            </w:r>
          </w:p>
        </w:tc>
        <w:tc>
          <w:tcPr>
            <w:tcW w:w="0" w:type="auto"/>
            <w:shd w:val="clear" w:color="auto" w:fill="auto"/>
            <w:noWrap/>
            <w:tcMar>
              <w:top w:w="15" w:type="dxa"/>
              <w:left w:w="15" w:type="dxa"/>
              <w:bottom w:w="0" w:type="dxa"/>
              <w:right w:w="15" w:type="dxa"/>
            </w:tcMar>
            <w:vAlign w:val="bottom"/>
            <w:hideMark/>
          </w:tcPr>
          <w:p w14:paraId="4B4ECA35"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8,759 (3.9%)</w:t>
            </w:r>
          </w:p>
        </w:tc>
      </w:tr>
      <w:tr w:rsidR="00952106" w:rsidRPr="00952106" w14:paraId="409ADF93" w14:textId="77777777" w:rsidTr="00952106">
        <w:trPr>
          <w:divId w:val="1783917386"/>
          <w:trHeight w:val="297"/>
        </w:trPr>
        <w:tc>
          <w:tcPr>
            <w:tcW w:w="0" w:type="auto"/>
            <w:shd w:val="clear" w:color="auto" w:fill="auto"/>
            <w:noWrap/>
            <w:tcMar>
              <w:top w:w="15" w:type="dxa"/>
              <w:left w:w="15" w:type="dxa"/>
              <w:bottom w:w="0" w:type="dxa"/>
              <w:right w:w="15" w:type="dxa"/>
            </w:tcMar>
            <w:vAlign w:val="bottom"/>
            <w:hideMark/>
          </w:tcPr>
          <w:p w14:paraId="0CA18228" w14:textId="77777777" w:rsidR="00952106" w:rsidRPr="00952106" w:rsidRDefault="00952106" w:rsidP="00952106">
            <w:pP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Klebsiella pneumoniae</w:t>
            </w:r>
          </w:p>
        </w:tc>
        <w:tc>
          <w:tcPr>
            <w:tcW w:w="0" w:type="auto"/>
            <w:shd w:val="clear" w:color="auto" w:fill="auto"/>
            <w:noWrap/>
            <w:tcMar>
              <w:top w:w="15" w:type="dxa"/>
              <w:left w:w="15" w:type="dxa"/>
              <w:bottom w:w="0" w:type="dxa"/>
              <w:right w:w="15" w:type="dxa"/>
            </w:tcMar>
            <w:vAlign w:val="bottom"/>
            <w:hideMark/>
          </w:tcPr>
          <w:p w14:paraId="2B0AFA9F"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96,760 (70.2%)</w:t>
            </w:r>
          </w:p>
        </w:tc>
        <w:tc>
          <w:tcPr>
            <w:tcW w:w="0" w:type="auto"/>
            <w:shd w:val="clear" w:color="auto" w:fill="auto"/>
            <w:noWrap/>
            <w:tcMar>
              <w:top w:w="15" w:type="dxa"/>
              <w:left w:w="15" w:type="dxa"/>
              <w:bottom w:w="0" w:type="dxa"/>
              <w:right w:w="15" w:type="dxa"/>
            </w:tcMar>
            <w:vAlign w:val="bottom"/>
            <w:hideMark/>
          </w:tcPr>
          <w:p w14:paraId="5F3D612E"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32,511 (23.6%)</w:t>
            </w:r>
          </w:p>
        </w:tc>
        <w:tc>
          <w:tcPr>
            <w:tcW w:w="0" w:type="auto"/>
            <w:shd w:val="clear" w:color="auto" w:fill="auto"/>
            <w:noWrap/>
            <w:tcMar>
              <w:top w:w="15" w:type="dxa"/>
              <w:left w:w="15" w:type="dxa"/>
              <w:bottom w:w="0" w:type="dxa"/>
              <w:right w:w="15" w:type="dxa"/>
            </w:tcMar>
            <w:vAlign w:val="bottom"/>
            <w:hideMark/>
          </w:tcPr>
          <w:p w14:paraId="50C5FD1F"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856 (0.6%)</w:t>
            </w:r>
          </w:p>
        </w:tc>
        <w:tc>
          <w:tcPr>
            <w:tcW w:w="0" w:type="auto"/>
            <w:shd w:val="clear" w:color="auto" w:fill="auto"/>
            <w:noWrap/>
            <w:tcMar>
              <w:top w:w="15" w:type="dxa"/>
              <w:left w:w="15" w:type="dxa"/>
              <w:bottom w:w="0" w:type="dxa"/>
              <w:right w:w="15" w:type="dxa"/>
            </w:tcMar>
            <w:vAlign w:val="bottom"/>
            <w:hideMark/>
          </w:tcPr>
          <w:p w14:paraId="568C7F2D"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553 (0.4%)</w:t>
            </w:r>
          </w:p>
        </w:tc>
        <w:tc>
          <w:tcPr>
            <w:tcW w:w="0" w:type="auto"/>
            <w:shd w:val="clear" w:color="auto" w:fill="auto"/>
            <w:noWrap/>
            <w:tcMar>
              <w:top w:w="15" w:type="dxa"/>
              <w:left w:w="15" w:type="dxa"/>
              <w:bottom w:w="0" w:type="dxa"/>
              <w:right w:w="15" w:type="dxa"/>
            </w:tcMar>
            <w:vAlign w:val="bottom"/>
            <w:hideMark/>
          </w:tcPr>
          <w:p w14:paraId="66F7D748"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878 (0.6%)</w:t>
            </w:r>
          </w:p>
        </w:tc>
        <w:tc>
          <w:tcPr>
            <w:tcW w:w="0" w:type="auto"/>
            <w:shd w:val="clear" w:color="auto" w:fill="auto"/>
            <w:noWrap/>
            <w:tcMar>
              <w:top w:w="15" w:type="dxa"/>
              <w:left w:w="15" w:type="dxa"/>
              <w:bottom w:w="0" w:type="dxa"/>
              <w:right w:w="15" w:type="dxa"/>
            </w:tcMar>
            <w:vAlign w:val="bottom"/>
            <w:hideMark/>
          </w:tcPr>
          <w:p w14:paraId="4D0AE19D"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1,129 (0.8%)</w:t>
            </w:r>
          </w:p>
        </w:tc>
        <w:tc>
          <w:tcPr>
            <w:tcW w:w="0" w:type="auto"/>
            <w:shd w:val="clear" w:color="auto" w:fill="auto"/>
            <w:noWrap/>
            <w:tcMar>
              <w:top w:w="15" w:type="dxa"/>
              <w:left w:w="15" w:type="dxa"/>
              <w:bottom w:w="0" w:type="dxa"/>
              <w:right w:w="15" w:type="dxa"/>
            </w:tcMar>
            <w:vAlign w:val="bottom"/>
            <w:hideMark/>
          </w:tcPr>
          <w:p w14:paraId="357E1290"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5,236 (3.8%)</w:t>
            </w:r>
          </w:p>
        </w:tc>
      </w:tr>
      <w:tr w:rsidR="00952106" w:rsidRPr="00952106" w14:paraId="48084C31" w14:textId="77777777" w:rsidTr="00952106">
        <w:trPr>
          <w:divId w:val="1783917386"/>
          <w:trHeight w:val="297"/>
        </w:trPr>
        <w:tc>
          <w:tcPr>
            <w:tcW w:w="0" w:type="auto"/>
            <w:shd w:val="clear" w:color="auto" w:fill="auto"/>
            <w:noWrap/>
            <w:tcMar>
              <w:top w:w="15" w:type="dxa"/>
              <w:left w:w="15" w:type="dxa"/>
              <w:bottom w:w="0" w:type="dxa"/>
              <w:right w:w="15" w:type="dxa"/>
            </w:tcMar>
            <w:vAlign w:val="bottom"/>
            <w:hideMark/>
          </w:tcPr>
          <w:p w14:paraId="107FEC43" w14:textId="77777777" w:rsidR="00952106" w:rsidRPr="00952106" w:rsidRDefault="00952106" w:rsidP="00952106">
            <w:pP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Enterobacter cloacae</w:t>
            </w:r>
          </w:p>
        </w:tc>
        <w:tc>
          <w:tcPr>
            <w:tcW w:w="0" w:type="auto"/>
            <w:shd w:val="clear" w:color="auto" w:fill="auto"/>
            <w:noWrap/>
            <w:tcMar>
              <w:top w:w="15" w:type="dxa"/>
              <w:left w:w="15" w:type="dxa"/>
              <w:bottom w:w="0" w:type="dxa"/>
              <w:right w:w="15" w:type="dxa"/>
            </w:tcMar>
            <w:vAlign w:val="bottom"/>
            <w:hideMark/>
          </w:tcPr>
          <w:p w14:paraId="1697825C"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31,635 (73.2%)</w:t>
            </w:r>
          </w:p>
        </w:tc>
        <w:tc>
          <w:tcPr>
            <w:tcW w:w="0" w:type="auto"/>
            <w:shd w:val="clear" w:color="auto" w:fill="auto"/>
            <w:noWrap/>
            <w:tcMar>
              <w:top w:w="15" w:type="dxa"/>
              <w:left w:w="15" w:type="dxa"/>
              <w:bottom w:w="0" w:type="dxa"/>
              <w:right w:w="15" w:type="dxa"/>
            </w:tcMar>
            <w:vAlign w:val="bottom"/>
            <w:hideMark/>
          </w:tcPr>
          <w:p w14:paraId="4D70C9DB"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9,094 (21%)</w:t>
            </w:r>
          </w:p>
        </w:tc>
        <w:tc>
          <w:tcPr>
            <w:tcW w:w="0" w:type="auto"/>
            <w:shd w:val="clear" w:color="auto" w:fill="auto"/>
            <w:noWrap/>
            <w:tcMar>
              <w:top w:w="15" w:type="dxa"/>
              <w:left w:w="15" w:type="dxa"/>
              <w:bottom w:w="0" w:type="dxa"/>
              <w:right w:w="15" w:type="dxa"/>
            </w:tcMar>
            <w:vAlign w:val="bottom"/>
            <w:hideMark/>
          </w:tcPr>
          <w:p w14:paraId="7AFCA681"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272 (0.6%)</w:t>
            </w:r>
          </w:p>
        </w:tc>
        <w:tc>
          <w:tcPr>
            <w:tcW w:w="0" w:type="auto"/>
            <w:shd w:val="clear" w:color="auto" w:fill="auto"/>
            <w:noWrap/>
            <w:tcMar>
              <w:top w:w="15" w:type="dxa"/>
              <w:left w:w="15" w:type="dxa"/>
              <w:bottom w:w="0" w:type="dxa"/>
              <w:right w:w="15" w:type="dxa"/>
            </w:tcMar>
            <w:vAlign w:val="bottom"/>
            <w:hideMark/>
          </w:tcPr>
          <w:p w14:paraId="498C9BCC"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135 (0.3%)</w:t>
            </w:r>
          </w:p>
        </w:tc>
        <w:tc>
          <w:tcPr>
            <w:tcW w:w="0" w:type="auto"/>
            <w:shd w:val="clear" w:color="auto" w:fill="auto"/>
            <w:noWrap/>
            <w:tcMar>
              <w:top w:w="15" w:type="dxa"/>
              <w:left w:w="15" w:type="dxa"/>
              <w:bottom w:w="0" w:type="dxa"/>
              <w:right w:w="15" w:type="dxa"/>
            </w:tcMar>
            <w:vAlign w:val="bottom"/>
            <w:hideMark/>
          </w:tcPr>
          <w:p w14:paraId="3241C18B"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252 (0.6%)</w:t>
            </w:r>
          </w:p>
        </w:tc>
        <w:tc>
          <w:tcPr>
            <w:tcW w:w="0" w:type="auto"/>
            <w:shd w:val="clear" w:color="auto" w:fill="auto"/>
            <w:noWrap/>
            <w:tcMar>
              <w:top w:w="15" w:type="dxa"/>
              <w:left w:w="15" w:type="dxa"/>
              <w:bottom w:w="0" w:type="dxa"/>
              <w:right w:w="15" w:type="dxa"/>
            </w:tcMar>
            <w:vAlign w:val="bottom"/>
            <w:hideMark/>
          </w:tcPr>
          <w:p w14:paraId="1FAAC292"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300 (0.7%)</w:t>
            </w:r>
          </w:p>
        </w:tc>
        <w:tc>
          <w:tcPr>
            <w:tcW w:w="0" w:type="auto"/>
            <w:shd w:val="clear" w:color="auto" w:fill="auto"/>
            <w:noWrap/>
            <w:tcMar>
              <w:top w:w="15" w:type="dxa"/>
              <w:left w:w="15" w:type="dxa"/>
              <w:bottom w:w="0" w:type="dxa"/>
              <w:right w:w="15" w:type="dxa"/>
            </w:tcMar>
            <w:vAlign w:val="bottom"/>
            <w:hideMark/>
          </w:tcPr>
          <w:p w14:paraId="74F7230B"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1,530 (3.5%)</w:t>
            </w:r>
          </w:p>
        </w:tc>
      </w:tr>
      <w:tr w:rsidR="00952106" w:rsidRPr="00952106" w14:paraId="0D32CB59" w14:textId="77777777" w:rsidTr="00952106">
        <w:trPr>
          <w:divId w:val="1783917386"/>
          <w:trHeight w:val="297"/>
        </w:trPr>
        <w:tc>
          <w:tcPr>
            <w:tcW w:w="0" w:type="auto"/>
            <w:shd w:val="clear" w:color="auto" w:fill="auto"/>
            <w:noWrap/>
            <w:tcMar>
              <w:top w:w="15" w:type="dxa"/>
              <w:left w:w="15" w:type="dxa"/>
              <w:bottom w:w="0" w:type="dxa"/>
              <w:right w:w="15" w:type="dxa"/>
            </w:tcMar>
            <w:vAlign w:val="bottom"/>
            <w:hideMark/>
          </w:tcPr>
          <w:p w14:paraId="015FBC8F" w14:textId="77777777" w:rsidR="00952106" w:rsidRPr="00952106" w:rsidRDefault="00952106" w:rsidP="00952106">
            <w:pP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Serratia marcescens</w:t>
            </w:r>
          </w:p>
        </w:tc>
        <w:tc>
          <w:tcPr>
            <w:tcW w:w="0" w:type="auto"/>
            <w:shd w:val="clear" w:color="auto" w:fill="auto"/>
            <w:noWrap/>
            <w:tcMar>
              <w:top w:w="15" w:type="dxa"/>
              <w:left w:w="15" w:type="dxa"/>
              <w:bottom w:w="0" w:type="dxa"/>
              <w:right w:w="15" w:type="dxa"/>
            </w:tcMar>
            <w:vAlign w:val="bottom"/>
            <w:hideMark/>
          </w:tcPr>
          <w:p w14:paraId="50D17BBC"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16,688 (73.9%)</w:t>
            </w:r>
          </w:p>
        </w:tc>
        <w:tc>
          <w:tcPr>
            <w:tcW w:w="0" w:type="auto"/>
            <w:shd w:val="clear" w:color="auto" w:fill="auto"/>
            <w:noWrap/>
            <w:tcMar>
              <w:top w:w="15" w:type="dxa"/>
              <w:left w:w="15" w:type="dxa"/>
              <w:bottom w:w="0" w:type="dxa"/>
              <w:right w:w="15" w:type="dxa"/>
            </w:tcMar>
            <w:vAlign w:val="bottom"/>
            <w:hideMark/>
          </w:tcPr>
          <w:p w14:paraId="0F84C793"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4,546 (20.1%)</w:t>
            </w:r>
          </w:p>
        </w:tc>
        <w:tc>
          <w:tcPr>
            <w:tcW w:w="0" w:type="auto"/>
            <w:shd w:val="clear" w:color="auto" w:fill="auto"/>
            <w:noWrap/>
            <w:tcMar>
              <w:top w:w="15" w:type="dxa"/>
              <w:left w:w="15" w:type="dxa"/>
              <w:bottom w:w="0" w:type="dxa"/>
              <w:right w:w="15" w:type="dxa"/>
            </w:tcMar>
            <w:vAlign w:val="bottom"/>
            <w:hideMark/>
          </w:tcPr>
          <w:p w14:paraId="73E8FD09"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138 (0.6%)</w:t>
            </w:r>
          </w:p>
        </w:tc>
        <w:tc>
          <w:tcPr>
            <w:tcW w:w="0" w:type="auto"/>
            <w:shd w:val="clear" w:color="auto" w:fill="auto"/>
            <w:noWrap/>
            <w:tcMar>
              <w:top w:w="15" w:type="dxa"/>
              <w:left w:w="15" w:type="dxa"/>
              <w:bottom w:w="0" w:type="dxa"/>
              <w:right w:w="15" w:type="dxa"/>
            </w:tcMar>
            <w:vAlign w:val="bottom"/>
            <w:hideMark/>
          </w:tcPr>
          <w:p w14:paraId="4C4029AC"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94 (0.4%)</w:t>
            </w:r>
          </w:p>
        </w:tc>
        <w:tc>
          <w:tcPr>
            <w:tcW w:w="0" w:type="auto"/>
            <w:shd w:val="clear" w:color="auto" w:fill="auto"/>
            <w:noWrap/>
            <w:tcMar>
              <w:top w:w="15" w:type="dxa"/>
              <w:left w:w="15" w:type="dxa"/>
              <w:bottom w:w="0" w:type="dxa"/>
              <w:right w:w="15" w:type="dxa"/>
            </w:tcMar>
            <w:vAlign w:val="bottom"/>
            <w:hideMark/>
          </w:tcPr>
          <w:p w14:paraId="548B786F"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136 (0.6%)</w:t>
            </w:r>
          </w:p>
        </w:tc>
        <w:tc>
          <w:tcPr>
            <w:tcW w:w="0" w:type="auto"/>
            <w:shd w:val="clear" w:color="auto" w:fill="auto"/>
            <w:noWrap/>
            <w:tcMar>
              <w:top w:w="15" w:type="dxa"/>
              <w:left w:w="15" w:type="dxa"/>
              <w:bottom w:w="0" w:type="dxa"/>
              <w:right w:w="15" w:type="dxa"/>
            </w:tcMar>
            <w:vAlign w:val="bottom"/>
            <w:hideMark/>
          </w:tcPr>
          <w:p w14:paraId="05982912"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171 (0.8%)</w:t>
            </w:r>
          </w:p>
        </w:tc>
        <w:tc>
          <w:tcPr>
            <w:tcW w:w="0" w:type="auto"/>
            <w:shd w:val="clear" w:color="auto" w:fill="auto"/>
            <w:noWrap/>
            <w:tcMar>
              <w:top w:w="15" w:type="dxa"/>
              <w:left w:w="15" w:type="dxa"/>
              <w:bottom w:w="0" w:type="dxa"/>
              <w:right w:w="15" w:type="dxa"/>
            </w:tcMar>
            <w:vAlign w:val="bottom"/>
            <w:hideMark/>
          </w:tcPr>
          <w:p w14:paraId="396C5CD9"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795 (3.5%)</w:t>
            </w:r>
          </w:p>
        </w:tc>
      </w:tr>
      <w:tr w:rsidR="00952106" w:rsidRPr="00952106" w14:paraId="10CDA9DC" w14:textId="77777777" w:rsidTr="00952106">
        <w:trPr>
          <w:divId w:val="1783917386"/>
          <w:trHeight w:val="297"/>
        </w:trPr>
        <w:tc>
          <w:tcPr>
            <w:tcW w:w="0" w:type="auto"/>
            <w:shd w:val="clear" w:color="auto" w:fill="auto"/>
            <w:noWrap/>
            <w:tcMar>
              <w:top w:w="15" w:type="dxa"/>
              <w:left w:w="15" w:type="dxa"/>
              <w:bottom w:w="0" w:type="dxa"/>
              <w:right w:w="15" w:type="dxa"/>
            </w:tcMar>
            <w:vAlign w:val="bottom"/>
            <w:hideMark/>
          </w:tcPr>
          <w:p w14:paraId="70AFD8FD" w14:textId="77777777" w:rsidR="00952106" w:rsidRPr="00952106" w:rsidRDefault="00952106" w:rsidP="00952106">
            <w:pP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Pseudomonas aeruginosa</w:t>
            </w:r>
          </w:p>
        </w:tc>
        <w:tc>
          <w:tcPr>
            <w:tcW w:w="0" w:type="auto"/>
            <w:shd w:val="clear" w:color="auto" w:fill="auto"/>
            <w:noWrap/>
            <w:tcMar>
              <w:top w:w="15" w:type="dxa"/>
              <w:left w:w="15" w:type="dxa"/>
              <w:bottom w:w="0" w:type="dxa"/>
              <w:right w:w="15" w:type="dxa"/>
            </w:tcMar>
            <w:vAlign w:val="bottom"/>
            <w:hideMark/>
          </w:tcPr>
          <w:p w14:paraId="252462F0"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95,636 (73.3%)</w:t>
            </w:r>
          </w:p>
        </w:tc>
        <w:tc>
          <w:tcPr>
            <w:tcW w:w="0" w:type="auto"/>
            <w:shd w:val="clear" w:color="auto" w:fill="auto"/>
            <w:noWrap/>
            <w:tcMar>
              <w:top w:w="15" w:type="dxa"/>
              <w:left w:w="15" w:type="dxa"/>
              <w:bottom w:w="0" w:type="dxa"/>
              <w:right w:w="15" w:type="dxa"/>
            </w:tcMar>
            <w:vAlign w:val="bottom"/>
            <w:hideMark/>
          </w:tcPr>
          <w:p w14:paraId="7FF462EE"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26,771 (20.5%)</w:t>
            </w:r>
          </w:p>
        </w:tc>
        <w:tc>
          <w:tcPr>
            <w:tcW w:w="0" w:type="auto"/>
            <w:shd w:val="clear" w:color="auto" w:fill="auto"/>
            <w:noWrap/>
            <w:tcMar>
              <w:top w:w="15" w:type="dxa"/>
              <w:left w:w="15" w:type="dxa"/>
              <w:bottom w:w="0" w:type="dxa"/>
              <w:right w:w="15" w:type="dxa"/>
            </w:tcMar>
            <w:vAlign w:val="bottom"/>
            <w:hideMark/>
          </w:tcPr>
          <w:p w14:paraId="5D844B2E"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796 (0.6%)</w:t>
            </w:r>
          </w:p>
        </w:tc>
        <w:tc>
          <w:tcPr>
            <w:tcW w:w="0" w:type="auto"/>
            <w:shd w:val="clear" w:color="auto" w:fill="auto"/>
            <w:noWrap/>
            <w:tcMar>
              <w:top w:w="15" w:type="dxa"/>
              <w:left w:w="15" w:type="dxa"/>
              <w:bottom w:w="0" w:type="dxa"/>
              <w:right w:w="15" w:type="dxa"/>
            </w:tcMar>
            <w:vAlign w:val="bottom"/>
            <w:hideMark/>
          </w:tcPr>
          <w:p w14:paraId="37451454"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448 (0.3%)</w:t>
            </w:r>
          </w:p>
        </w:tc>
        <w:tc>
          <w:tcPr>
            <w:tcW w:w="0" w:type="auto"/>
            <w:shd w:val="clear" w:color="auto" w:fill="auto"/>
            <w:noWrap/>
            <w:tcMar>
              <w:top w:w="15" w:type="dxa"/>
              <w:left w:w="15" w:type="dxa"/>
              <w:bottom w:w="0" w:type="dxa"/>
              <w:right w:w="15" w:type="dxa"/>
            </w:tcMar>
            <w:vAlign w:val="bottom"/>
            <w:hideMark/>
          </w:tcPr>
          <w:p w14:paraId="7029B494"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834 (0.6%)</w:t>
            </w:r>
          </w:p>
        </w:tc>
        <w:tc>
          <w:tcPr>
            <w:tcW w:w="0" w:type="auto"/>
            <w:shd w:val="clear" w:color="auto" w:fill="auto"/>
            <w:noWrap/>
            <w:tcMar>
              <w:top w:w="15" w:type="dxa"/>
              <w:left w:w="15" w:type="dxa"/>
              <w:bottom w:w="0" w:type="dxa"/>
              <w:right w:w="15" w:type="dxa"/>
            </w:tcMar>
            <w:vAlign w:val="bottom"/>
            <w:hideMark/>
          </w:tcPr>
          <w:p w14:paraId="0B017859"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982 (0.8%)</w:t>
            </w:r>
          </w:p>
        </w:tc>
        <w:tc>
          <w:tcPr>
            <w:tcW w:w="0" w:type="auto"/>
            <w:shd w:val="clear" w:color="auto" w:fill="auto"/>
            <w:noWrap/>
            <w:tcMar>
              <w:top w:w="15" w:type="dxa"/>
              <w:left w:w="15" w:type="dxa"/>
              <w:bottom w:w="0" w:type="dxa"/>
              <w:right w:w="15" w:type="dxa"/>
            </w:tcMar>
            <w:vAlign w:val="bottom"/>
            <w:hideMark/>
          </w:tcPr>
          <w:p w14:paraId="52729512"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5,029 (3.9%)</w:t>
            </w:r>
          </w:p>
        </w:tc>
      </w:tr>
      <w:tr w:rsidR="00952106" w:rsidRPr="00952106" w14:paraId="010E0AB3" w14:textId="77777777" w:rsidTr="00952106">
        <w:trPr>
          <w:divId w:val="1783917386"/>
          <w:trHeight w:val="297"/>
        </w:trPr>
        <w:tc>
          <w:tcPr>
            <w:tcW w:w="0" w:type="auto"/>
            <w:shd w:val="clear" w:color="auto" w:fill="auto"/>
            <w:noWrap/>
            <w:tcMar>
              <w:top w:w="15" w:type="dxa"/>
              <w:left w:w="15" w:type="dxa"/>
              <w:bottom w:w="0" w:type="dxa"/>
              <w:right w:w="15" w:type="dxa"/>
            </w:tcMar>
            <w:vAlign w:val="bottom"/>
            <w:hideMark/>
          </w:tcPr>
          <w:p w14:paraId="3CFA19FD" w14:textId="77777777" w:rsidR="00952106" w:rsidRPr="00952106" w:rsidRDefault="00952106" w:rsidP="00952106">
            <w:pP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Acinetobacter Sp.</w:t>
            </w:r>
          </w:p>
        </w:tc>
        <w:tc>
          <w:tcPr>
            <w:tcW w:w="0" w:type="auto"/>
            <w:shd w:val="clear" w:color="auto" w:fill="auto"/>
            <w:noWrap/>
            <w:tcMar>
              <w:top w:w="15" w:type="dxa"/>
              <w:left w:w="15" w:type="dxa"/>
              <w:bottom w:w="0" w:type="dxa"/>
              <w:right w:w="15" w:type="dxa"/>
            </w:tcMar>
            <w:vAlign w:val="bottom"/>
            <w:hideMark/>
          </w:tcPr>
          <w:p w14:paraId="61C3DA2C"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10,852 (68.3%)</w:t>
            </w:r>
          </w:p>
        </w:tc>
        <w:tc>
          <w:tcPr>
            <w:tcW w:w="0" w:type="auto"/>
            <w:shd w:val="clear" w:color="auto" w:fill="auto"/>
            <w:noWrap/>
            <w:tcMar>
              <w:top w:w="15" w:type="dxa"/>
              <w:left w:w="15" w:type="dxa"/>
              <w:bottom w:w="0" w:type="dxa"/>
              <w:right w:w="15" w:type="dxa"/>
            </w:tcMar>
            <w:vAlign w:val="bottom"/>
            <w:hideMark/>
          </w:tcPr>
          <w:p w14:paraId="3195ACF7"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4,146 (26.1%)</w:t>
            </w:r>
          </w:p>
        </w:tc>
        <w:tc>
          <w:tcPr>
            <w:tcW w:w="0" w:type="auto"/>
            <w:shd w:val="clear" w:color="auto" w:fill="auto"/>
            <w:noWrap/>
            <w:tcMar>
              <w:top w:w="15" w:type="dxa"/>
              <w:left w:w="15" w:type="dxa"/>
              <w:bottom w:w="0" w:type="dxa"/>
              <w:right w:w="15" w:type="dxa"/>
            </w:tcMar>
            <w:vAlign w:val="bottom"/>
            <w:hideMark/>
          </w:tcPr>
          <w:p w14:paraId="5619578C"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84 (0.5%)</w:t>
            </w:r>
          </w:p>
        </w:tc>
        <w:tc>
          <w:tcPr>
            <w:tcW w:w="0" w:type="auto"/>
            <w:shd w:val="clear" w:color="auto" w:fill="auto"/>
            <w:noWrap/>
            <w:tcMar>
              <w:top w:w="15" w:type="dxa"/>
              <w:left w:w="15" w:type="dxa"/>
              <w:bottom w:w="0" w:type="dxa"/>
              <w:right w:w="15" w:type="dxa"/>
            </w:tcMar>
            <w:vAlign w:val="bottom"/>
            <w:hideMark/>
          </w:tcPr>
          <w:p w14:paraId="25406B34"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48 (0.3%)</w:t>
            </w:r>
          </w:p>
        </w:tc>
        <w:tc>
          <w:tcPr>
            <w:tcW w:w="0" w:type="auto"/>
            <w:shd w:val="clear" w:color="auto" w:fill="auto"/>
            <w:noWrap/>
            <w:tcMar>
              <w:top w:w="15" w:type="dxa"/>
              <w:left w:w="15" w:type="dxa"/>
              <w:bottom w:w="0" w:type="dxa"/>
              <w:right w:w="15" w:type="dxa"/>
            </w:tcMar>
            <w:vAlign w:val="bottom"/>
            <w:hideMark/>
          </w:tcPr>
          <w:p w14:paraId="335D7F76"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98 (0.6%)</w:t>
            </w:r>
          </w:p>
        </w:tc>
        <w:tc>
          <w:tcPr>
            <w:tcW w:w="0" w:type="auto"/>
            <w:shd w:val="clear" w:color="auto" w:fill="auto"/>
            <w:noWrap/>
            <w:tcMar>
              <w:top w:w="15" w:type="dxa"/>
              <w:left w:w="15" w:type="dxa"/>
              <w:bottom w:w="0" w:type="dxa"/>
              <w:right w:w="15" w:type="dxa"/>
            </w:tcMar>
            <w:vAlign w:val="bottom"/>
            <w:hideMark/>
          </w:tcPr>
          <w:p w14:paraId="24EF95FB"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126 (0.8%)</w:t>
            </w:r>
          </w:p>
        </w:tc>
        <w:tc>
          <w:tcPr>
            <w:tcW w:w="0" w:type="auto"/>
            <w:shd w:val="clear" w:color="auto" w:fill="auto"/>
            <w:noWrap/>
            <w:tcMar>
              <w:top w:w="15" w:type="dxa"/>
              <w:left w:w="15" w:type="dxa"/>
              <w:bottom w:w="0" w:type="dxa"/>
              <w:right w:w="15" w:type="dxa"/>
            </w:tcMar>
            <w:vAlign w:val="bottom"/>
            <w:hideMark/>
          </w:tcPr>
          <w:p w14:paraId="165975EF" w14:textId="77777777" w:rsidR="00952106" w:rsidRPr="00952106" w:rsidRDefault="00952106" w:rsidP="00952106">
            <w:pPr>
              <w:jc w:val="center"/>
              <w:rPr>
                <w:rFonts w:ascii="Aptos Narrow" w:eastAsia="Times New Roman" w:hAnsi="Aptos Narrow" w:cs="Times New Roman"/>
                <w:color w:val="000000"/>
                <w:sz w:val="18"/>
                <w:szCs w:val="18"/>
                <w:lang w:eastAsia="en-GB"/>
              </w:rPr>
            </w:pPr>
            <w:r w:rsidRPr="00952106">
              <w:rPr>
                <w:rFonts w:ascii="Aptos Narrow" w:eastAsia="Times New Roman" w:hAnsi="Aptos Narrow" w:cs="Times New Roman"/>
                <w:color w:val="000000"/>
                <w:sz w:val="18"/>
                <w:szCs w:val="18"/>
                <w:lang w:eastAsia="en-GB"/>
              </w:rPr>
              <w:t>544 (3.4%)</w:t>
            </w:r>
          </w:p>
        </w:tc>
      </w:tr>
    </w:tbl>
    <w:p w14:paraId="28337F95" w14:textId="77777777" w:rsidR="00952106" w:rsidRDefault="00952106" w:rsidP="0005121D">
      <w:pPr>
        <w:pStyle w:val="Heading2"/>
        <w:rPr>
          <w:lang w:val="en-US"/>
        </w:rPr>
      </w:pPr>
    </w:p>
    <w:p w14:paraId="27A68139" w14:textId="71BFB6C7" w:rsidR="00EC4F6F" w:rsidRDefault="00EC4F6F" w:rsidP="00EC4F6F">
      <w:pPr>
        <w:pStyle w:val="Caption"/>
      </w:pPr>
      <w:bookmarkStart w:id="29" w:name="_Ref169512255"/>
      <w:r>
        <w:t>Table S</w:t>
      </w:r>
      <w:r>
        <w:fldChar w:fldCharType="begin"/>
      </w:r>
      <w:r>
        <w:instrText xml:space="preserve"> SEQ Table_S \* ARABIC </w:instrText>
      </w:r>
      <w:r>
        <w:fldChar w:fldCharType="separate"/>
      </w:r>
      <w:r>
        <w:rPr>
          <w:noProof/>
        </w:rPr>
        <w:t>4</w:t>
      </w:r>
      <w:r>
        <w:fldChar w:fldCharType="end"/>
      </w:r>
      <w:bookmarkEnd w:id="29"/>
      <w:r>
        <w:t xml:space="preserve">. Summary statistics of ethnicity information of patients associated with 30-day incident isolates per organism. </w:t>
      </w:r>
      <w:r w:rsidRPr="00596F08">
        <w:rPr>
          <w:b w:val="0"/>
          <w:bCs/>
        </w:rPr>
        <w:t xml:space="preserve">The total number and percentages (per organism) are reported. </w:t>
      </w:r>
      <w:r>
        <w:rPr>
          <w:b w:val="0"/>
          <w:bCs/>
        </w:rPr>
        <w:t>Ethnicity</w:t>
      </w:r>
      <w:r w:rsidRPr="00596F08">
        <w:rPr>
          <w:b w:val="0"/>
          <w:bCs/>
        </w:rPr>
        <w:t xml:space="preserve"> information</w:t>
      </w:r>
      <w:r>
        <w:rPr>
          <w:b w:val="0"/>
          <w:bCs/>
        </w:rPr>
        <w:t xml:space="preserve"> of patients</w:t>
      </w:r>
      <w:r w:rsidRPr="00596F08">
        <w:rPr>
          <w:b w:val="0"/>
          <w:bCs/>
        </w:rPr>
        <w:t xml:space="preserve"> was collected by self-report.</w:t>
      </w:r>
    </w:p>
    <w:tbl>
      <w:tblPr>
        <w:tblW w:w="8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79"/>
        <w:gridCol w:w="1919"/>
        <w:gridCol w:w="1620"/>
        <w:gridCol w:w="1620"/>
      </w:tblGrid>
      <w:tr w:rsidR="00EC4F6F" w:rsidRPr="00EC4F6F" w14:paraId="0195447F" w14:textId="77777777" w:rsidTr="00EC4F6F">
        <w:trPr>
          <w:divId w:val="1268004904"/>
          <w:trHeight w:val="322"/>
        </w:trPr>
        <w:tc>
          <w:tcPr>
            <w:tcW w:w="3079" w:type="dxa"/>
            <w:shd w:val="clear" w:color="auto" w:fill="D0CECE" w:themeFill="background2" w:themeFillShade="E6"/>
            <w:noWrap/>
            <w:tcMar>
              <w:top w:w="15" w:type="dxa"/>
              <w:left w:w="15" w:type="dxa"/>
              <w:bottom w:w="0" w:type="dxa"/>
              <w:right w:w="15" w:type="dxa"/>
            </w:tcMar>
            <w:vAlign w:val="bottom"/>
            <w:hideMark/>
          </w:tcPr>
          <w:p w14:paraId="117A5324" w14:textId="7EBF6C48" w:rsidR="00EC4F6F" w:rsidRPr="00EC4F6F" w:rsidRDefault="00EC4F6F" w:rsidP="00EC4F6F">
            <w:pPr>
              <w:jc w:val="center"/>
              <w:rPr>
                <w:rFonts w:ascii="Aptos Narrow" w:eastAsia="Times New Roman" w:hAnsi="Aptos Narrow" w:cs="Times New Roman"/>
                <w:b/>
                <w:bCs/>
                <w:color w:val="000000"/>
                <w:sz w:val="18"/>
                <w:szCs w:val="18"/>
                <w:lang w:eastAsia="en-GB"/>
              </w:rPr>
            </w:pPr>
            <w:r w:rsidRPr="00EC4F6F">
              <w:rPr>
                <w:rFonts w:ascii="Aptos Narrow" w:eastAsia="Times New Roman" w:hAnsi="Aptos Narrow" w:cs="Times New Roman"/>
                <w:b/>
                <w:bCs/>
                <w:color w:val="000000"/>
                <w:sz w:val="18"/>
                <w:szCs w:val="18"/>
                <w:lang w:eastAsia="en-GB"/>
              </w:rPr>
              <w:t>Organism</w:t>
            </w:r>
          </w:p>
        </w:tc>
        <w:tc>
          <w:tcPr>
            <w:tcW w:w="1919" w:type="dxa"/>
            <w:shd w:val="clear" w:color="auto" w:fill="D0CECE" w:themeFill="background2" w:themeFillShade="E6"/>
            <w:noWrap/>
            <w:tcMar>
              <w:top w:w="15" w:type="dxa"/>
              <w:left w:w="15" w:type="dxa"/>
              <w:bottom w:w="0" w:type="dxa"/>
              <w:right w:w="15" w:type="dxa"/>
            </w:tcMar>
            <w:vAlign w:val="bottom"/>
            <w:hideMark/>
          </w:tcPr>
          <w:p w14:paraId="1CD43A9D" w14:textId="06AB7997" w:rsidR="00EC4F6F" w:rsidRPr="00EC4F6F" w:rsidRDefault="00EC4F6F" w:rsidP="00EC4F6F">
            <w:pPr>
              <w:jc w:val="center"/>
              <w:rPr>
                <w:rFonts w:ascii="Aptos Narrow" w:eastAsia="Times New Roman" w:hAnsi="Aptos Narrow" w:cs="Times New Roman"/>
                <w:b/>
                <w:bCs/>
                <w:color w:val="000000"/>
                <w:sz w:val="18"/>
                <w:szCs w:val="18"/>
                <w:lang w:eastAsia="en-GB"/>
              </w:rPr>
            </w:pPr>
            <w:r w:rsidRPr="00EC4F6F">
              <w:rPr>
                <w:rFonts w:ascii="Aptos Narrow" w:eastAsia="Times New Roman" w:hAnsi="Aptos Narrow" w:cs="Times New Roman"/>
                <w:b/>
                <w:bCs/>
                <w:color w:val="000000"/>
                <w:sz w:val="18"/>
                <w:szCs w:val="18"/>
                <w:lang w:eastAsia="en-GB"/>
              </w:rPr>
              <w:t>Not Hispanic or Latino</w:t>
            </w:r>
          </w:p>
        </w:tc>
        <w:tc>
          <w:tcPr>
            <w:tcW w:w="1620" w:type="dxa"/>
            <w:shd w:val="clear" w:color="auto" w:fill="D0CECE" w:themeFill="background2" w:themeFillShade="E6"/>
            <w:noWrap/>
            <w:tcMar>
              <w:top w:w="15" w:type="dxa"/>
              <w:left w:w="15" w:type="dxa"/>
              <w:bottom w:w="0" w:type="dxa"/>
              <w:right w:w="15" w:type="dxa"/>
            </w:tcMar>
            <w:vAlign w:val="bottom"/>
            <w:hideMark/>
          </w:tcPr>
          <w:p w14:paraId="14D9532A" w14:textId="06EDFF27" w:rsidR="00EC4F6F" w:rsidRPr="00EC4F6F" w:rsidRDefault="00EC4F6F" w:rsidP="00EC4F6F">
            <w:pPr>
              <w:jc w:val="center"/>
              <w:rPr>
                <w:rFonts w:ascii="Aptos Narrow" w:eastAsia="Times New Roman" w:hAnsi="Aptos Narrow" w:cs="Times New Roman"/>
                <w:b/>
                <w:bCs/>
                <w:color w:val="000000"/>
                <w:sz w:val="18"/>
                <w:szCs w:val="18"/>
                <w:lang w:eastAsia="en-GB"/>
              </w:rPr>
            </w:pPr>
            <w:r w:rsidRPr="00EC4F6F">
              <w:rPr>
                <w:rFonts w:ascii="Aptos Narrow" w:eastAsia="Times New Roman" w:hAnsi="Aptos Narrow" w:cs="Times New Roman"/>
                <w:b/>
                <w:bCs/>
                <w:color w:val="000000"/>
                <w:sz w:val="18"/>
                <w:szCs w:val="18"/>
                <w:lang w:eastAsia="en-GB"/>
              </w:rPr>
              <w:t>Hispanic or Latino</w:t>
            </w:r>
          </w:p>
        </w:tc>
        <w:tc>
          <w:tcPr>
            <w:tcW w:w="1620" w:type="dxa"/>
            <w:shd w:val="clear" w:color="auto" w:fill="D0CECE" w:themeFill="background2" w:themeFillShade="E6"/>
            <w:noWrap/>
            <w:tcMar>
              <w:top w:w="15" w:type="dxa"/>
              <w:left w:w="15" w:type="dxa"/>
              <w:bottom w:w="0" w:type="dxa"/>
              <w:right w:w="15" w:type="dxa"/>
            </w:tcMar>
            <w:vAlign w:val="bottom"/>
            <w:hideMark/>
          </w:tcPr>
          <w:p w14:paraId="70582BCD" w14:textId="77777777" w:rsidR="00EC4F6F" w:rsidRPr="00EC4F6F" w:rsidRDefault="00EC4F6F" w:rsidP="00EC4F6F">
            <w:pPr>
              <w:jc w:val="center"/>
              <w:rPr>
                <w:rFonts w:ascii="Aptos Narrow" w:eastAsia="Times New Roman" w:hAnsi="Aptos Narrow" w:cs="Times New Roman"/>
                <w:b/>
                <w:bCs/>
                <w:color w:val="000000"/>
                <w:sz w:val="18"/>
                <w:szCs w:val="18"/>
                <w:lang w:eastAsia="en-GB"/>
              </w:rPr>
            </w:pPr>
            <w:r w:rsidRPr="00EC4F6F">
              <w:rPr>
                <w:rFonts w:ascii="Aptos Narrow" w:eastAsia="Times New Roman" w:hAnsi="Aptos Narrow" w:cs="Times New Roman"/>
                <w:b/>
                <w:bCs/>
                <w:color w:val="000000"/>
                <w:sz w:val="18"/>
                <w:szCs w:val="18"/>
                <w:lang w:eastAsia="en-GB"/>
              </w:rPr>
              <w:t>Missing</w:t>
            </w:r>
          </w:p>
        </w:tc>
      </w:tr>
      <w:tr w:rsidR="00EC4F6F" w:rsidRPr="00EC4F6F" w14:paraId="0E0A64C3" w14:textId="77777777" w:rsidTr="00EC4F6F">
        <w:trPr>
          <w:divId w:val="1268004904"/>
          <w:trHeight w:val="322"/>
        </w:trPr>
        <w:tc>
          <w:tcPr>
            <w:tcW w:w="0" w:type="auto"/>
            <w:shd w:val="clear" w:color="auto" w:fill="auto"/>
            <w:noWrap/>
            <w:tcMar>
              <w:top w:w="15" w:type="dxa"/>
              <w:left w:w="15" w:type="dxa"/>
              <w:bottom w:w="0" w:type="dxa"/>
              <w:right w:w="15" w:type="dxa"/>
            </w:tcMar>
            <w:vAlign w:val="bottom"/>
            <w:hideMark/>
          </w:tcPr>
          <w:p w14:paraId="56717AB3" w14:textId="77777777" w:rsidR="00EC4F6F" w:rsidRPr="00EC4F6F" w:rsidRDefault="00EC4F6F" w:rsidP="00EC4F6F">
            <w:pP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Staphylococcus aureus</w:t>
            </w:r>
          </w:p>
        </w:tc>
        <w:tc>
          <w:tcPr>
            <w:tcW w:w="0" w:type="auto"/>
            <w:shd w:val="clear" w:color="auto" w:fill="auto"/>
            <w:noWrap/>
            <w:tcMar>
              <w:top w:w="15" w:type="dxa"/>
              <w:left w:w="15" w:type="dxa"/>
              <w:bottom w:w="0" w:type="dxa"/>
              <w:right w:w="15" w:type="dxa"/>
            </w:tcMar>
            <w:vAlign w:val="bottom"/>
            <w:hideMark/>
          </w:tcPr>
          <w:p w14:paraId="5A7D1891"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226803 (89.6%)</w:t>
            </w:r>
          </w:p>
        </w:tc>
        <w:tc>
          <w:tcPr>
            <w:tcW w:w="0" w:type="auto"/>
            <w:shd w:val="clear" w:color="auto" w:fill="auto"/>
            <w:noWrap/>
            <w:tcMar>
              <w:top w:w="15" w:type="dxa"/>
              <w:left w:w="15" w:type="dxa"/>
              <w:bottom w:w="0" w:type="dxa"/>
              <w:right w:w="15" w:type="dxa"/>
            </w:tcMar>
            <w:vAlign w:val="bottom"/>
            <w:hideMark/>
          </w:tcPr>
          <w:p w14:paraId="0C245B6E"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14644 (5.8%)</w:t>
            </w:r>
          </w:p>
        </w:tc>
        <w:tc>
          <w:tcPr>
            <w:tcW w:w="0" w:type="auto"/>
            <w:shd w:val="clear" w:color="auto" w:fill="auto"/>
            <w:noWrap/>
            <w:tcMar>
              <w:top w:w="15" w:type="dxa"/>
              <w:left w:w="15" w:type="dxa"/>
              <w:bottom w:w="0" w:type="dxa"/>
              <w:right w:w="15" w:type="dxa"/>
            </w:tcMar>
            <w:vAlign w:val="bottom"/>
            <w:hideMark/>
          </w:tcPr>
          <w:p w14:paraId="69D43BE3"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11764 (4.6%)</w:t>
            </w:r>
          </w:p>
        </w:tc>
      </w:tr>
      <w:tr w:rsidR="00EC4F6F" w:rsidRPr="00EC4F6F" w14:paraId="4BB97BCD" w14:textId="77777777" w:rsidTr="00EC4F6F">
        <w:trPr>
          <w:divId w:val="1268004904"/>
          <w:trHeight w:val="322"/>
        </w:trPr>
        <w:tc>
          <w:tcPr>
            <w:tcW w:w="0" w:type="auto"/>
            <w:shd w:val="clear" w:color="auto" w:fill="auto"/>
            <w:noWrap/>
            <w:tcMar>
              <w:top w:w="15" w:type="dxa"/>
              <w:left w:w="15" w:type="dxa"/>
              <w:bottom w:w="0" w:type="dxa"/>
              <w:right w:w="15" w:type="dxa"/>
            </w:tcMar>
            <w:vAlign w:val="bottom"/>
            <w:hideMark/>
          </w:tcPr>
          <w:p w14:paraId="3FC83287" w14:textId="77777777" w:rsidR="00EC4F6F" w:rsidRPr="00EC4F6F" w:rsidRDefault="00EC4F6F" w:rsidP="00EC4F6F">
            <w:pP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Enterococcus faecalis</w:t>
            </w:r>
          </w:p>
        </w:tc>
        <w:tc>
          <w:tcPr>
            <w:tcW w:w="0" w:type="auto"/>
            <w:shd w:val="clear" w:color="auto" w:fill="auto"/>
            <w:noWrap/>
            <w:tcMar>
              <w:top w:w="15" w:type="dxa"/>
              <w:left w:w="15" w:type="dxa"/>
              <w:bottom w:w="0" w:type="dxa"/>
              <w:right w:w="15" w:type="dxa"/>
            </w:tcMar>
            <w:vAlign w:val="bottom"/>
            <w:hideMark/>
          </w:tcPr>
          <w:p w14:paraId="7E474CE4"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123102 (89.6%)</w:t>
            </w:r>
          </w:p>
        </w:tc>
        <w:tc>
          <w:tcPr>
            <w:tcW w:w="0" w:type="auto"/>
            <w:shd w:val="clear" w:color="auto" w:fill="auto"/>
            <w:noWrap/>
            <w:tcMar>
              <w:top w:w="15" w:type="dxa"/>
              <w:left w:w="15" w:type="dxa"/>
              <w:bottom w:w="0" w:type="dxa"/>
              <w:right w:w="15" w:type="dxa"/>
            </w:tcMar>
            <w:vAlign w:val="bottom"/>
            <w:hideMark/>
          </w:tcPr>
          <w:p w14:paraId="105DBD98"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7645 (5.6%)</w:t>
            </w:r>
          </w:p>
        </w:tc>
        <w:tc>
          <w:tcPr>
            <w:tcW w:w="0" w:type="auto"/>
            <w:shd w:val="clear" w:color="auto" w:fill="auto"/>
            <w:noWrap/>
            <w:tcMar>
              <w:top w:w="15" w:type="dxa"/>
              <w:left w:w="15" w:type="dxa"/>
              <w:bottom w:w="0" w:type="dxa"/>
              <w:right w:w="15" w:type="dxa"/>
            </w:tcMar>
            <w:vAlign w:val="bottom"/>
            <w:hideMark/>
          </w:tcPr>
          <w:p w14:paraId="773F1FF2"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6688 (4.9%)</w:t>
            </w:r>
          </w:p>
        </w:tc>
      </w:tr>
      <w:tr w:rsidR="00EC4F6F" w:rsidRPr="00EC4F6F" w14:paraId="776A9CE7" w14:textId="77777777" w:rsidTr="00EC4F6F">
        <w:trPr>
          <w:divId w:val="1268004904"/>
          <w:trHeight w:val="322"/>
        </w:trPr>
        <w:tc>
          <w:tcPr>
            <w:tcW w:w="0" w:type="auto"/>
            <w:shd w:val="clear" w:color="auto" w:fill="auto"/>
            <w:noWrap/>
            <w:tcMar>
              <w:top w:w="15" w:type="dxa"/>
              <w:left w:w="15" w:type="dxa"/>
              <w:bottom w:w="0" w:type="dxa"/>
              <w:right w:w="15" w:type="dxa"/>
            </w:tcMar>
            <w:vAlign w:val="bottom"/>
            <w:hideMark/>
          </w:tcPr>
          <w:p w14:paraId="25CF4F1A" w14:textId="77777777" w:rsidR="00EC4F6F" w:rsidRPr="00EC4F6F" w:rsidRDefault="00EC4F6F" w:rsidP="00EC4F6F">
            <w:pP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Enterococcus faecium</w:t>
            </w:r>
          </w:p>
        </w:tc>
        <w:tc>
          <w:tcPr>
            <w:tcW w:w="0" w:type="auto"/>
            <w:shd w:val="clear" w:color="auto" w:fill="auto"/>
            <w:noWrap/>
            <w:tcMar>
              <w:top w:w="15" w:type="dxa"/>
              <w:left w:w="15" w:type="dxa"/>
              <w:bottom w:w="0" w:type="dxa"/>
              <w:right w:w="15" w:type="dxa"/>
            </w:tcMar>
            <w:vAlign w:val="bottom"/>
            <w:hideMark/>
          </w:tcPr>
          <w:p w14:paraId="1D1A53F1"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34663 (89%)</w:t>
            </w:r>
          </w:p>
        </w:tc>
        <w:tc>
          <w:tcPr>
            <w:tcW w:w="0" w:type="auto"/>
            <w:shd w:val="clear" w:color="auto" w:fill="auto"/>
            <w:noWrap/>
            <w:tcMar>
              <w:top w:w="15" w:type="dxa"/>
              <w:left w:w="15" w:type="dxa"/>
              <w:bottom w:w="0" w:type="dxa"/>
              <w:right w:w="15" w:type="dxa"/>
            </w:tcMar>
            <w:vAlign w:val="bottom"/>
            <w:hideMark/>
          </w:tcPr>
          <w:p w14:paraId="16130092"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2219 (5.7%)</w:t>
            </w:r>
          </w:p>
        </w:tc>
        <w:tc>
          <w:tcPr>
            <w:tcW w:w="0" w:type="auto"/>
            <w:shd w:val="clear" w:color="auto" w:fill="auto"/>
            <w:noWrap/>
            <w:tcMar>
              <w:top w:w="15" w:type="dxa"/>
              <w:left w:w="15" w:type="dxa"/>
              <w:bottom w:w="0" w:type="dxa"/>
              <w:right w:w="15" w:type="dxa"/>
            </w:tcMar>
            <w:vAlign w:val="bottom"/>
            <w:hideMark/>
          </w:tcPr>
          <w:p w14:paraId="7209A778"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2048 (5.3%)</w:t>
            </w:r>
          </w:p>
        </w:tc>
      </w:tr>
      <w:tr w:rsidR="00EC4F6F" w:rsidRPr="00EC4F6F" w14:paraId="1D70D7CA" w14:textId="77777777" w:rsidTr="00EC4F6F">
        <w:trPr>
          <w:divId w:val="1268004904"/>
          <w:trHeight w:val="322"/>
        </w:trPr>
        <w:tc>
          <w:tcPr>
            <w:tcW w:w="0" w:type="auto"/>
            <w:shd w:val="clear" w:color="auto" w:fill="auto"/>
            <w:noWrap/>
            <w:tcMar>
              <w:top w:w="15" w:type="dxa"/>
              <w:left w:w="15" w:type="dxa"/>
              <w:bottom w:w="0" w:type="dxa"/>
              <w:right w:w="15" w:type="dxa"/>
            </w:tcMar>
            <w:vAlign w:val="bottom"/>
            <w:hideMark/>
          </w:tcPr>
          <w:p w14:paraId="501242ED" w14:textId="77777777" w:rsidR="00EC4F6F" w:rsidRPr="00EC4F6F" w:rsidRDefault="00EC4F6F" w:rsidP="00EC4F6F">
            <w:pP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Escherichia coli</w:t>
            </w:r>
          </w:p>
        </w:tc>
        <w:tc>
          <w:tcPr>
            <w:tcW w:w="0" w:type="auto"/>
            <w:shd w:val="clear" w:color="auto" w:fill="auto"/>
            <w:noWrap/>
            <w:tcMar>
              <w:top w:w="15" w:type="dxa"/>
              <w:left w:w="15" w:type="dxa"/>
              <w:bottom w:w="0" w:type="dxa"/>
              <w:right w:w="15" w:type="dxa"/>
            </w:tcMar>
            <w:vAlign w:val="bottom"/>
            <w:hideMark/>
          </w:tcPr>
          <w:p w14:paraId="679E656C"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199892 (87.9%)</w:t>
            </w:r>
          </w:p>
        </w:tc>
        <w:tc>
          <w:tcPr>
            <w:tcW w:w="0" w:type="auto"/>
            <w:shd w:val="clear" w:color="auto" w:fill="auto"/>
            <w:noWrap/>
            <w:tcMar>
              <w:top w:w="15" w:type="dxa"/>
              <w:left w:w="15" w:type="dxa"/>
              <w:bottom w:w="0" w:type="dxa"/>
              <w:right w:w="15" w:type="dxa"/>
            </w:tcMar>
            <w:vAlign w:val="bottom"/>
            <w:hideMark/>
          </w:tcPr>
          <w:p w14:paraId="42A5CC95"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16800 (7.4%)</w:t>
            </w:r>
          </w:p>
        </w:tc>
        <w:tc>
          <w:tcPr>
            <w:tcW w:w="0" w:type="auto"/>
            <w:shd w:val="clear" w:color="auto" w:fill="auto"/>
            <w:noWrap/>
            <w:tcMar>
              <w:top w:w="15" w:type="dxa"/>
              <w:left w:w="15" w:type="dxa"/>
              <w:bottom w:w="0" w:type="dxa"/>
              <w:right w:w="15" w:type="dxa"/>
            </w:tcMar>
            <w:vAlign w:val="bottom"/>
            <w:hideMark/>
          </w:tcPr>
          <w:p w14:paraId="6DA63CA1"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10812 (4.8%)</w:t>
            </w:r>
          </w:p>
        </w:tc>
      </w:tr>
      <w:tr w:rsidR="00EC4F6F" w:rsidRPr="00EC4F6F" w14:paraId="769425F8" w14:textId="77777777" w:rsidTr="00EC4F6F">
        <w:trPr>
          <w:divId w:val="1268004904"/>
          <w:trHeight w:val="322"/>
        </w:trPr>
        <w:tc>
          <w:tcPr>
            <w:tcW w:w="0" w:type="auto"/>
            <w:shd w:val="clear" w:color="auto" w:fill="auto"/>
            <w:noWrap/>
            <w:tcMar>
              <w:top w:w="15" w:type="dxa"/>
              <w:left w:w="15" w:type="dxa"/>
              <w:bottom w:w="0" w:type="dxa"/>
              <w:right w:w="15" w:type="dxa"/>
            </w:tcMar>
            <w:vAlign w:val="bottom"/>
            <w:hideMark/>
          </w:tcPr>
          <w:p w14:paraId="0D13180F" w14:textId="77777777" w:rsidR="00EC4F6F" w:rsidRPr="00EC4F6F" w:rsidRDefault="00EC4F6F" w:rsidP="00EC4F6F">
            <w:pP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Klebsiella pneumoniae</w:t>
            </w:r>
          </w:p>
        </w:tc>
        <w:tc>
          <w:tcPr>
            <w:tcW w:w="0" w:type="auto"/>
            <w:shd w:val="clear" w:color="auto" w:fill="auto"/>
            <w:noWrap/>
            <w:tcMar>
              <w:top w:w="15" w:type="dxa"/>
              <w:left w:w="15" w:type="dxa"/>
              <w:bottom w:w="0" w:type="dxa"/>
              <w:right w:w="15" w:type="dxa"/>
            </w:tcMar>
            <w:vAlign w:val="bottom"/>
            <w:hideMark/>
          </w:tcPr>
          <w:p w14:paraId="308EA95A"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123902 (87.7%)</w:t>
            </w:r>
          </w:p>
        </w:tc>
        <w:tc>
          <w:tcPr>
            <w:tcW w:w="0" w:type="auto"/>
            <w:shd w:val="clear" w:color="auto" w:fill="auto"/>
            <w:noWrap/>
            <w:tcMar>
              <w:top w:w="15" w:type="dxa"/>
              <w:left w:w="15" w:type="dxa"/>
              <w:bottom w:w="0" w:type="dxa"/>
              <w:right w:w="15" w:type="dxa"/>
            </w:tcMar>
            <w:vAlign w:val="bottom"/>
            <w:hideMark/>
          </w:tcPr>
          <w:p w14:paraId="6C03BA7C"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10700 (7.6%)</w:t>
            </w:r>
          </w:p>
        </w:tc>
        <w:tc>
          <w:tcPr>
            <w:tcW w:w="0" w:type="auto"/>
            <w:shd w:val="clear" w:color="auto" w:fill="auto"/>
            <w:noWrap/>
            <w:tcMar>
              <w:top w:w="15" w:type="dxa"/>
              <w:left w:w="15" w:type="dxa"/>
              <w:bottom w:w="0" w:type="dxa"/>
              <w:right w:w="15" w:type="dxa"/>
            </w:tcMar>
            <w:vAlign w:val="bottom"/>
            <w:hideMark/>
          </w:tcPr>
          <w:p w14:paraId="66160A40"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6642 (4.7%)</w:t>
            </w:r>
          </w:p>
        </w:tc>
      </w:tr>
      <w:tr w:rsidR="00EC4F6F" w:rsidRPr="00EC4F6F" w14:paraId="7E5B0D96" w14:textId="77777777" w:rsidTr="00EC4F6F">
        <w:trPr>
          <w:divId w:val="1268004904"/>
          <w:trHeight w:val="322"/>
        </w:trPr>
        <w:tc>
          <w:tcPr>
            <w:tcW w:w="0" w:type="auto"/>
            <w:shd w:val="clear" w:color="auto" w:fill="auto"/>
            <w:noWrap/>
            <w:tcMar>
              <w:top w:w="15" w:type="dxa"/>
              <w:left w:w="15" w:type="dxa"/>
              <w:bottom w:w="0" w:type="dxa"/>
              <w:right w:w="15" w:type="dxa"/>
            </w:tcMar>
            <w:vAlign w:val="bottom"/>
            <w:hideMark/>
          </w:tcPr>
          <w:p w14:paraId="2C818A70" w14:textId="77777777" w:rsidR="00EC4F6F" w:rsidRPr="00EC4F6F" w:rsidRDefault="00EC4F6F" w:rsidP="00EC4F6F">
            <w:pP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Enterobacter cloacae</w:t>
            </w:r>
          </w:p>
        </w:tc>
        <w:tc>
          <w:tcPr>
            <w:tcW w:w="0" w:type="auto"/>
            <w:shd w:val="clear" w:color="auto" w:fill="auto"/>
            <w:noWrap/>
            <w:tcMar>
              <w:top w:w="15" w:type="dxa"/>
              <w:left w:w="15" w:type="dxa"/>
              <w:bottom w:w="0" w:type="dxa"/>
              <w:right w:w="15" w:type="dxa"/>
            </w:tcMar>
            <w:vAlign w:val="bottom"/>
            <w:hideMark/>
          </w:tcPr>
          <w:p w14:paraId="00A8C189"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39626 (89.6%)</w:t>
            </w:r>
          </w:p>
        </w:tc>
        <w:tc>
          <w:tcPr>
            <w:tcW w:w="0" w:type="auto"/>
            <w:shd w:val="clear" w:color="auto" w:fill="auto"/>
            <w:noWrap/>
            <w:tcMar>
              <w:top w:w="15" w:type="dxa"/>
              <w:left w:w="15" w:type="dxa"/>
              <w:bottom w:w="0" w:type="dxa"/>
              <w:right w:w="15" w:type="dxa"/>
            </w:tcMar>
            <w:vAlign w:val="bottom"/>
            <w:hideMark/>
          </w:tcPr>
          <w:p w14:paraId="651545E3"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2574 (5.8%)</w:t>
            </w:r>
          </w:p>
        </w:tc>
        <w:tc>
          <w:tcPr>
            <w:tcW w:w="0" w:type="auto"/>
            <w:shd w:val="clear" w:color="auto" w:fill="auto"/>
            <w:noWrap/>
            <w:tcMar>
              <w:top w:w="15" w:type="dxa"/>
              <w:left w:w="15" w:type="dxa"/>
              <w:bottom w:w="0" w:type="dxa"/>
              <w:right w:w="15" w:type="dxa"/>
            </w:tcMar>
            <w:vAlign w:val="bottom"/>
            <w:hideMark/>
          </w:tcPr>
          <w:p w14:paraId="7C26FA3E"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2036 (4.6%)</w:t>
            </w:r>
          </w:p>
        </w:tc>
      </w:tr>
      <w:tr w:rsidR="00EC4F6F" w:rsidRPr="00EC4F6F" w14:paraId="6A7681AB" w14:textId="77777777" w:rsidTr="00EC4F6F">
        <w:trPr>
          <w:divId w:val="1268004904"/>
          <w:trHeight w:val="322"/>
        </w:trPr>
        <w:tc>
          <w:tcPr>
            <w:tcW w:w="0" w:type="auto"/>
            <w:shd w:val="clear" w:color="auto" w:fill="auto"/>
            <w:noWrap/>
            <w:tcMar>
              <w:top w:w="15" w:type="dxa"/>
              <w:left w:w="15" w:type="dxa"/>
              <w:bottom w:w="0" w:type="dxa"/>
              <w:right w:w="15" w:type="dxa"/>
            </w:tcMar>
            <w:vAlign w:val="bottom"/>
            <w:hideMark/>
          </w:tcPr>
          <w:p w14:paraId="06253772" w14:textId="77777777" w:rsidR="00EC4F6F" w:rsidRPr="00EC4F6F" w:rsidRDefault="00EC4F6F" w:rsidP="00EC4F6F">
            <w:pP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Serratia marcescens</w:t>
            </w:r>
          </w:p>
        </w:tc>
        <w:tc>
          <w:tcPr>
            <w:tcW w:w="0" w:type="auto"/>
            <w:shd w:val="clear" w:color="auto" w:fill="auto"/>
            <w:noWrap/>
            <w:tcMar>
              <w:top w:w="15" w:type="dxa"/>
              <w:left w:w="15" w:type="dxa"/>
              <w:bottom w:w="0" w:type="dxa"/>
              <w:right w:w="15" w:type="dxa"/>
            </w:tcMar>
            <w:vAlign w:val="bottom"/>
            <w:hideMark/>
          </w:tcPr>
          <w:p w14:paraId="5CCCBEF1"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20435 (88.5%)</w:t>
            </w:r>
          </w:p>
        </w:tc>
        <w:tc>
          <w:tcPr>
            <w:tcW w:w="0" w:type="auto"/>
            <w:shd w:val="clear" w:color="auto" w:fill="auto"/>
            <w:noWrap/>
            <w:tcMar>
              <w:top w:w="15" w:type="dxa"/>
              <w:left w:w="15" w:type="dxa"/>
              <w:bottom w:w="0" w:type="dxa"/>
              <w:right w:w="15" w:type="dxa"/>
            </w:tcMar>
            <w:vAlign w:val="bottom"/>
            <w:hideMark/>
          </w:tcPr>
          <w:p w14:paraId="35C61C09"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1615 (7%)</w:t>
            </w:r>
          </w:p>
        </w:tc>
        <w:tc>
          <w:tcPr>
            <w:tcW w:w="0" w:type="auto"/>
            <w:shd w:val="clear" w:color="auto" w:fill="auto"/>
            <w:noWrap/>
            <w:tcMar>
              <w:top w:w="15" w:type="dxa"/>
              <w:left w:w="15" w:type="dxa"/>
              <w:bottom w:w="0" w:type="dxa"/>
              <w:right w:w="15" w:type="dxa"/>
            </w:tcMar>
            <w:vAlign w:val="bottom"/>
            <w:hideMark/>
          </w:tcPr>
          <w:p w14:paraId="0C2E621C"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1036 (4.5%)</w:t>
            </w:r>
          </w:p>
        </w:tc>
      </w:tr>
      <w:tr w:rsidR="00EC4F6F" w:rsidRPr="00EC4F6F" w14:paraId="7E6B1828" w14:textId="77777777" w:rsidTr="00EC4F6F">
        <w:trPr>
          <w:divId w:val="1268004904"/>
          <w:trHeight w:val="322"/>
        </w:trPr>
        <w:tc>
          <w:tcPr>
            <w:tcW w:w="0" w:type="auto"/>
            <w:shd w:val="clear" w:color="auto" w:fill="auto"/>
            <w:noWrap/>
            <w:tcMar>
              <w:top w:w="15" w:type="dxa"/>
              <w:left w:w="15" w:type="dxa"/>
              <w:bottom w:w="0" w:type="dxa"/>
              <w:right w:w="15" w:type="dxa"/>
            </w:tcMar>
            <w:vAlign w:val="bottom"/>
            <w:hideMark/>
          </w:tcPr>
          <w:p w14:paraId="5F59717C" w14:textId="77777777" w:rsidR="00EC4F6F" w:rsidRPr="00EC4F6F" w:rsidRDefault="00EC4F6F" w:rsidP="00EC4F6F">
            <w:pP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Pseudomonas aeruginosa</w:t>
            </w:r>
          </w:p>
        </w:tc>
        <w:tc>
          <w:tcPr>
            <w:tcW w:w="0" w:type="auto"/>
            <w:shd w:val="clear" w:color="auto" w:fill="auto"/>
            <w:noWrap/>
            <w:tcMar>
              <w:top w:w="15" w:type="dxa"/>
              <w:left w:w="15" w:type="dxa"/>
              <w:bottom w:w="0" w:type="dxa"/>
              <w:right w:w="15" w:type="dxa"/>
            </w:tcMar>
            <w:vAlign w:val="bottom"/>
            <w:hideMark/>
          </w:tcPr>
          <w:p w14:paraId="05637F43"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118105 (88.4%)</w:t>
            </w:r>
          </w:p>
        </w:tc>
        <w:tc>
          <w:tcPr>
            <w:tcW w:w="0" w:type="auto"/>
            <w:shd w:val="clear" w:color="auto" w:fill="auto"/>
            <w:noWrap/>
            <w:tcMar>
              <w:top w:w="15" w:type="dxa"/>
              <w:left w:w="15" w:type="dxa"/>
              <w:bottom w:w="0" w:type="dxa"/>
              <w:right w:w="15" w:type="dxa"/>
            </w:tcMar>
            <w:vAlign w:val="bottom"/>
            <w:hideMark/>
          </w:tcPr>
          <w:p w14:paraId="5515DF51"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9218 (6.9%)</w:t>
            </w:r>
          </w:p>
        </w:tc>
        <w:tc>
          <w:tcPr>
            <w:tcW w:w="0" w:type="auto"/>
            <w:shd w:val="clear" w:color="auto" w:fill="auto"/>
            <w:noWrap/>
            <w:tcMar>
              <w:top w:w="15" w:type="dxa"/>
              <w:left w:w="15" w:type="dxa"/>
              <w:bottom w:w="0" w:type="dxa"/>
              <w:right w:w="15" w:type="dxa"/>
            </w:tcMar>
            <w:vAlign w:val="bottom"/>
            <w:hideMark/>
          </w:tcPr>
          <w:p w14:paraId="4325062F"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6346 (4.7%)</w:t>
            </w:r>
          </w:p>
        </w:tc>
      </w:tr>
      <w:tr w:rsidR="00EC4F6F" w:rsidRPr="00EC4F6F" w14:paraId="07ABE4EE" w14:textId="77777777" w:rsidTr="00EC4F6F">
        <w:trPr>
          <w:divId w:val="1268004904"/>
          <w:trHeight w:val="322"/>
        </w:trPr>
        <w:tc>
          <w:tcPr>
            <w:tcW w:w="0" w:type="auto"/>
            <w:shd w:val="clear" w:color="auto" w:fill="auto"/>
            <w:noWrap/>
            <w:tcMar>
              <w:top w:w="15" w:type="dxa"/>
              <w:left w:w="15" w:type="dxa"/>
              <w:bottom w:w="0" w:type="dxa"/>
              <w:right w:w="15" w:type="dxa"/>
            </w:tcMar>
            <w:vAlign w:val="bottom"/>
            <w:hideMark/>
          </w:tcPr>
          <w:p w14:paraId="6D8AA3A0" w14:textId="77777777" w:rsidR="00EC4F6F" w:rsidRPr="00EC4F6F" w:rsidRDefault="00EC4F6F" w:rsidP="00EC4F6F">
            <w:pP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Acinetobacter Sp.</w:t>
            </w:r>
          </w:p>
        </w:tc>
        <w:tc>
          <w:tcPr>
            <w:tcW w:w="0" w:type="auto"/>
            <w:shd w:val="clear" w:color="auto" w:fill="auto"/>
            <w:noWrap/>
            <w:tcMar>
              <w:top w:w="15" w:type="dxa"/>
              <w:left w:w="15" w:type="dxa"/>
              <w:bottom w:w="0" w:type="dxa"/>
              <w:right w:w="15" w:type="dxa"/>
            </w:tcMar>
            <w:vAlign w:val="bottom"/>
            <w:hideMark/>
          </w:tcPr>
          <w:p w14:paraId="7AB41CF2"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14252 (87.7%)</w:t>
            </w:r>
          </w:p>
        </w:tc>
        <w:tc>
          <w:tcPr>
            <w:tcW w:w="0" w:type="auto"/>
            <w:shd w:val="clear" w:color="auto" w:fill="auto"/>
            <w:noWrap/>
            <w:tcMar>
              <w:top w:w="15" w:type="dxa"/>
              <w:left w:w="15" w:type="dxa"/>
              <w:bottom w:w="0" w:type="dxa"/>
              <w:right w:w="15" w:type="dxa"/>
            </w:tcMar>
            <w:vAlign w:val="bottom"/>
            <w:hideMark/>
          </w:tcPr>
          <w:p w14:paraId="6AC75870"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1292 (7.9%)</w:t>
            </w:r>
          </w:p>
        </w:tc>
        <w:tc>
          <w:tcPr>
            <w:tcW w:w="0" w:type="auto"/>
            <w:shd w:val="clear" w:color="auto" w:fill="auto"/>
            <w:noWrap/>
            <w:tcMar>
              <w:top w:w="15" w:type="dxa"/>
              <w:left w:w="15" w:type="dxa"/>
              <w:bottom w:w="0" w:type="dxa"/>
              <w:right w:w="15" w:type="dxa"/>
            </w:tcMar>
            <w:vAlign w:val="bottom"/>
            <w:hideMark/>
          </w:tcPr>
          <w:p w14:paraId="7C98A982" w14:textId="77777777" w:rsidR="00EC4F6F" w:rsidRPr="00EC4F6F" w:rsidRDefault="00EC4F6F" w:rsidP="00EC4F6F">
            <w:pPr>
              <w:jc w:val="center"/>
              <w:rPr>
                <w:rFonts w:ascii="Aptos Narrow" w:eastAsia="Times New Roman" w:hAnsi="Aptos Narrow" w:cs="Times New Roman"/>
                <w:color w:val="000000"/>
                <w:sz w:val="18"/>
                <w:szCs w:val="18"/>
                <w:lang w:eastAsia="en-GB"/>
              </w:rPr>
            </w:pPr>
            <w:r w:rsidRPr="00EC4F6F">
              <w:rPr>
                <w:rFonts w:ascii="Aptos Narrow" w:eastAsia="Times New Roman" w:hAnsi="Aptos Narrow" w:cs="Times New Roman"/>
                <w:color w:val="000000"/>
                <w:sz w:val="18"/>
                <w:szCs w:val="18"/>
                <w:lang w:eastAsia="en-GB"/>
              </w:rPr>
              <w:t>708 (4.4%)</w:t>
            </w:r>
          </w:p>
        </w:tc>
      </w:tr>
    </w:tbl>
    <w:p w14:paraId="08D10DAE" w14:textId="77777777" w:rsidR="00952106" w:rsidRPr="00952106" w:rsidRDefault="00952106" w:rsidP="00952106">
      <w:pPr>
        <w:rPr>
          <w:lang w:val="en-US"/>
        </w:rPr>
      </w:pPr>
    </w:p>
    <w:p w14:paraId="266F91AE" w14:textId="30903AFB" w:rsidR="000217CD" w:rsidRPr="00155847" w:rsidRDefault="000217CD" w:rsidP="0005121D">
      <w:pPr>
        <w:pStyle w:val="Heading2"/>
        <w:rPr>
          <w:lang w:val="en-US"/>
        </w:rPr>
      </w:pPr>
      <w:bookmarkStart w:id="30" w:name="_Toc169512171"/>
      <w:r w:rsidRPr="00155847">
        <w:rPr>
          <w:lang w:val="en-US"/>
        </w:rPr>
        <w:t>S2 VA Hospital infection control measures</w:t>
      </w:r>
      <w:bookmarkEnd w:id="30"/>
    </w:p>
    <w:p w14:paraId="5EE1DDFE" w14:textId="77777777" w:rsidR="00DC5D72" w:rsidRPr="00155847" w:rsidRDefault="00DC5D72" w:rsidP="00DC5D72">
      <w:pPr>
        <w:rPr>
          <w:lang w:val="en-US"/>
        </w:rPr>
      </w:pPr>
    </w:p>
    <w:p w14:paraId="3B265868" w14:textId="43242D63" w:rsidR="000217CD" w:rsidRPr="00E113A2" w:rsidRDefault="000217CD" w:rsidP="00350BA7">
      <w:pPr>
        <w:jc w:val="both"/>
        <w:rPr>
          <w:lang w:val="en-US"/>
        </w:rPr>
      </w:pPr>
      <w:r w:rsidRPr="00E113A2">
        <w:rPr>
          <w:lang w:val="en-US"/>
        </w:rPr>
        <w:t>In 2007, Veterans Affairs Hospitals throughout the United States introduced a multifaceted methicillin-resistant</w:t>
      </w:r>
      <w:r w:rsidRPr="00E113A2">
        <w:rPr>
          <w:i/>
          <w:iCs/>
          <w:lang w:val="en-US"/>
        </w:rPr>
        <w:t xml:space="preserve"> Staphylococcus aureus</w:t>
      </w:r>
      <w:r w:rsidRPr="00E113A2">
        <w:rPr>
          <w:lang w:val="en-US"/>
        </w:rPr>
        <w:t xml:space="preserve"> prevention strategy (“MRSA bundle”), including universal nasal surveillance for MRSA, contact precautions for patients colonized or infected with MRSA, hand hygiene, and a change in the institutional culture whereby infection control would become the responsibility of everyone involved in patient care.</w:t>
      </w:r>
      <w:sdt>
        <w:sdtPr>
          <w:rPr>
            <w:color w:val="000000"/>
            <w:vertAlign w:val="superscript"/>
            <w:lang w:val="en-US"/>
          </w:rPr>
          <w:tag w:val="MENDELEY_CITATION_v3_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"/>
          <w:id w:val="431014896"/>
          <w:placeholder>
            <w:docPart w:val="D276ABCD3E5F4D40B775AE63AA80AB16"/>
          </w:placeholder>
        </w:sdtPr>
        <w:sdtContent>
          <w:r w:rsidR="00D83908" w:rsidRPr="00D83908">
            <w:rPr>
              <w:color w:val="000000"/>
              <w:vertAlign w:val="superscript"/>
              <w:lang w:val="en-US"/>
            </w:rPr>
            <w:t>5</w:t>
          </w:r>
        </w:sdtContent>
      </w:sdt>
      <w:r w:rsidRPr="00E113A2">
        <w:rPr>
          <w:lang w:val="en-US"/>
        </w:rPr>
        <w:t xml:space="preserve"> </w:t>
      </w:r>
      <w:r w:rsidR="00C43543">
        <w:rPr>
          <w:lang w:val="en-US"/>
        </w:rPr>
        <w:t xml:space="preserve">As such, the bundle included </w:t>
      </w:r>
      <w:r w:rsidR="00220360">
        <w:rPr>
          <w:lang w:val="en-US"/>
        </w:rPr>
        <w:t>one</w:t>
      </w:r>
      <w:r w:rsidR="00220360" w:rsidRPr="00220360">
        <w:rPr>
          <w:lang w:val="en-US"/>
        </w:rPr>
        <w:t xml:space="preserve"> vertical intervention (</w:t>
      </w:r>
      <w:r w:rsidR="00220360">
        <w:rPr>
          <w:lang w:val="en-US"/>
        </w:rPr>
        <w:t>screening</w:t>
      </w:r>
      <w:r w:rsidR="00220360" w:rsidRPr="00220360">
        <w:rPr>
          <w:lang w:val="en-US"/>
        </w:rPr>
        <w:t xml:space="preserve"> and contact precautions) and </w:t>
      </w:r>
      <w:r w:rsidR="00852ACE">
        <w:rPr>
          <w:lang w:val="en-US"/>
        </w:rPr>
        <w:t>two</w:t>
      </w:r>
      <w:r w:rsidR="00220360" w:rsidRPr="00220360">
        <w:rPr>
          <w:lang w:val="en-US"/>
        </w:rPr>
        <w:t xml:space="preserve"> horizontal interventions (hand hygiene</w:t>
      </w:r>
      <w:r w:rsidR="00852ACE">
        <w:rPr>
          <w:lang w:val="en-US"/>
        </w:rPr>
        <w:t xml:space="preserve"> and </w:t>
      </w:r>
      <w:r w:rsidR="00220360" w:rsidRPr="00220360">
        <w:rPr>
          <w:lang w:val="en-US"/>
        </w:rPr>
        <w:t>culture change)</w:t>
      </w:r>
      <w:r w:rsidR="00852ACE">
        <w:rPr>
          <w:lang w:val="en-US"/>
        </w:rPr>
        <w:t xml:space="preserve">. </w:t>
      </w:r>
      <w:r w:rsidRPr="00E113A2">
        <w:rPr>
          <w:lang w:val="en-US"/>
        </w:rPr>
        <w:t xml:space="preserve">Each month, personnel at each facility entered into a central database aggregate data on adherence to surveillance practice, the prevalence of MRSA colonization or infection, and health care–associated transmissions of </w:t>
      </w:r>
      <w:r w:rsidRPr="00E113A2">
        <w:rPr>
          <w:lang w:val="en-US"/>
        </w:rPr>
        <w:lastRenderedPageBreak/>
        <w:t>and infections with MRSA.</w:t>
      </w:r>
      <w:sdt>
        <w:sdtPr>
          <w:rPr>
            <w:color w:val="000000"/>
            <w:vertAlign w:val="superscript"/>
            <w:lang w:val="en-US"/>
          </w:rPr>
          <w:tag w:val="MENDELEY_CITATION_v3_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"/>
          <w:id w:val="-1513987680"/>
          <w:placeholder>
            <w:docPart w:val="D276ABCD3E5F4D40B775AE63AA80AB16"/>
          </w:placeholder>
        </w:sdtPr>
        <w:sdtContent>
          <w:r w:rsidR="00D83908" w:rsidRPr="00D83908">
            <w:rPr>
              <w:color w:val="000000"/>
              <w:vertAlign w:val="superscript"/>
              <w:lang w:val="en-US"/>
            </w:rPr>
            <w:t>6</w:t>
          </w:r>
        </w:sdtContent>
      </w:sdt>
      <w:r w:rsidRPr="00E113A2">
        <w:rPr>
          <w:lang w:val="en-US"/>
        </w:rPr>
        <w:t xml:space="preserve"> In addition, the VA launched a national </w:t>
      </w:r>
      <w:r w:rsidRPr="00E113A2">
        <w:rPr>
          <w:i/>
          <w:iCs/>
          <w:lang w:val="en-US"/>
        </w:rPr>
        <w:t>Clostridium difficile</w:t>
      </w:r>
      <w:r w:rsidRPr="00E113A2">
        <w:rPr>
          <w:lang w:val="en-US"/>
        </w:rPr>
        <w:t xml:space="preserve"> (C diff</w:t>
      </w:r>
      <w:r w:rsidR="00250BD0" w:rsidRPr="00E113A2">
        <w:rPr>
          <w:lang w:val="en-US"/>
        </w:rPr>
        <w:t>icile</w:t>
      </w:r>
      <w:r w:rsidRPr="00E113A2">
        <w:rPr>
          <w:lang w:val="en-US"/>
        </w:rPr>
        <w:t xml:space="preserve">) Prevention Initiative in July 2012 with the goal of reducing </w:t>
      </w:r>
      <w:r w:rsidRPr="00E113A2">
        <w:rPr>
          <w:i/>
          <w:iCs/>
          <w:lang w:val="en-US"/>
        </w:rPr>
        <w:t>Clostridium difficile</w:t>
      </w:r>
      <w:r w:rsidRPr="00E113A2">
        <w:rPr>
          <w:lang w:val="en-US"/>
        </w:rPr>
        <w:t xml:space="preserve"> infections (CDIs) in VA acute care medical centers.</w:t>
      </w:r>
      <w:sdt>
        <w:sdtPr>
          <w:rPr>
            <w:color w:val="000000"/>
            <w:vertAlign w:val="superscript"/>
            <w:lang w:val="en-US"/>
          </w:rPr>
          <w:tag w:val="MENDELEY_CITATION_v3_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"/>
          <w:id w:val="1874956958"/>
          <w:placeholder>
            <w:docPart w:val="D276ABCD3E5F4D40B775AE63AA80AB16"/>
          </w:placeholder>
        </w:sdtPr>
        <w:sdtContent>
          <w:r w:rsidR="00D83908" w:rsidRPr="00D83908">
            <w:rPr>
              <w:color w:val="000000"/>
              <w:vertAlign w:val="superscript"/>
              <w:lang w:val="en-US"/>
            </w:rPr>
            <w:t>7</w:t>
          </w:r>
        </w:sdtContent>
      </w:sdt>
      <w:r w:rsidRPr="00E113A2">
        <w:rPr>
          <w:lang w:val="en-US"/>
        </w:rPr>
        <w:t xml:space="preserve"> </w:t>
      </w:r>
      <w:r w:rsidR="00250BD0" w:rsidRPr="00E113A2">
        <w:rPr>
          <w:lang w:val="en-US"/>
        </w:rPr>
        <w:t>Infection prevention practices targeted at CDIs included contact precautions, isolation or cohorting of patients infected with C difficile, hand hygiene, terminal disinfecting of rooms or equipment of patients, and daily cleaning of high-touch surfaces in rooms.</w:t>
      </w:r>
      <w:sdt>
        <w:sdtPr>
          <w:rPr>
            <w:color w:val="000000"/>
            <w:vertAlign w:val="superscript"/>
            <w:lang w:val="en-US"/>
          </w:rPr>
          <w:tag w:val="MENDELEY_CITATION_v3_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"/>
          <w:id w:val="-1215729082"/>
          <w:placeholder>
            <w:docPart w:val="DefaultPlaceholder_-1854013440"/>
          </w:placeholder>
        </w:sdtPr>
        <w:sdtContent>
          <w:r w:rsidR="00D83908" w:rsidRPr="00D83908">
            <w:rPr>
              <w:color w:val="000000"/>
              <w:vertAlign w:val="superscript"/>
              <w:lang w:val="en-US"/>
            </w:rPr>
            <w:t>8</w:t>
          </w:r>
        </w:sdtContent>
      </w:sdt>
      <w:r w:rsidR="00250BD0" w:rsidRPr="00E113A2">
        <w:rPr>
          <w:lang w:val="en-US"/>
        </w:rPr>
        <w:t xml:space="preserve">    </w:t>
      </w:r>
    </w:p>
    <w:p w14:paraId="16EBDA95" w14:textId="77777777" w:rsidR="000217CD" w:rsidRDefault="000217CD" w:rsidP="00350BA7">
      <w:pPr>
        <w:jc w:val="both"/>
        <w:rPr>
          <w:b/>
          <w:bCs/>
          <w:lang w:val="en-US"/>
        </w:rPr>
      </w:pPr>
    </w:p>
    <w:p w14:paraId="2A44B52F" w14:textId="2F0892E6" w:rsidR="0008025F" w:rsidRPr="00155847" w:rsidRDefault="0008025F" w:rsidP="00350BA7">
      <w:pPr>
        <w:jc w:val="both"/>
        <w:rPr>
          <w:b/>
          <w:bCs/>
          <w:lang w:val="en-US"/>
        </w:rPr>
      </w:pPr>
      <w:r>
        <w:rPr>
          <w:lang w:val="en-US"/>
        </w:rPr>
        <w:t>In 2011, T</w:t>
      </w:r>
      <w:r w:rsidRPr="002B7395">
        <w:rPr>
          <w:lang w:val="en-US"/>
        </w:rPr>
        <w:t>he Veterans Health Administration (VHA) created the Antimicrobial Stewardship Task Force to develop a national strategic plan to improve antibiotic use.</w:t>
      </w:r>
      <w:sdt>
        <w:sdtPr>
          <w:rPr>
            <w:color w:val="000000"/>
            <w:vertAlign w:val="superscript"/>
            <w:lang w:val="en-US"/>
          </w:rPr>
          <w:tag w:val="MENDELEY_CITATION_v3_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"/>
          <w:id w:val="-1293513809"/>
          <w:placeholder>
            <w:docPart w:val="E77F0FD88020AC47A4C99402AABCC850"/>
          </w:placeholder>
        </w:sdtPr>
        <w:sdtEndPr>
          <w:rPr>
            <w:lang w:val="en-GB"/>
          </w:rPr>
        </w:sdtEndPr>
        <w:sdtContent>
          <w:r w:rsidR="00D83908" w:rsidRPr="00D83908">
            <w:rPr>
              <w:color w:val="000000"/>
              <w:vertAlign w:val="superscript"/>
            </w:rPr>
            <w:t>9</w:t>
          </w:r>
        </w:sdtContent>
      </w:sdt>
      <w:r w:rsidRPr="002B7395">
        <w:rPr>
          <w:lang w:val="en-US"/>
        </w:rPr>
        <w:t xml:space="preserve"> </w:t>
      </w:r>
      <w:r>
        <w:rPr>
          <w:lang w:val="en-US"/>
        </w:rPr>
        <w:t xml:space="preserve">In 2014, the VHA Directive 1031 </w:t>
      </w:r>
      <w:r w:rsidRPr="002B7395">
        <w:rPr>
          <w:lang w:val="en-US"/>
        </w:rPr>
        <w:t>established a policy for implementation and maintenance of antimicrobial stewardship programs at all VHA medical facilities</w:t>
      </w:r>
      <w:r>
        <w:rPr>
          <w:lang w:val="en-US"/>
        </w:rPr>
        <w:t xml:space="preserve">. </w:t>
      </w:r>
    </w:p>
    <w:p w14:paraId="72651D77" w14:textId="49419A42" w:rsidR="005452BE" w:rsidRDefault="005452BE" w:rsidP="00D83908">
      <w:pPr>
        <w:pStyle w:val="Heading1"/>
        <w:jc w:val="both"/>
        <w:rPr>
          <w:lang w:val="en-US"/>
        </w:rPr>
      </w:pPr>
      <w:bookmarkStart w:id="31" w:name="_Toc169512172"/>
      <w:r>
        <w:rPr>
          <w:lang w:val="en-US"/>
        </w:rPr>
        <w:t xml:space="preserve">S3 </w:t>
      </w:r>
      <w:r w:rsidR="008672E7">
        <w:rPr>
          <w:lang w:val="en-US"/>
        </w:rPr>
        <w:t xml:space="preserve">Measures of </w:t>
      </w:r>
      <w:r w:rsidR="000F1C76">
        <w:rPr>
          <w:lang w:val="en-US"/>
        </w:rPr>
        <w:t xml:space="preserve">antimicrobial </w:t>
      </w:r>
      <w:r w:rsidR="008672E7">
        <w:rPr>
          <w:lang w:val="en-US"/>
        </w:rPr>
        <w:t>resistance</w:t>
      </w:r>
      <w:bookmarkEnd w:id="31"/>
      <w:r>
        <w:rPr>
          <w:lang w:val="en-US"/>
        </w:rPr>
        <w:t xml:space="preserve"> </w:t>
      </w:r>
    </w:p>
    <w:p w14:paraId="21C31FA3" w14:textId="2D7898EA" w:rsidR="000F4B80" w:rsidRPr="00726C76" w:rsidRDefault="000F4B80" w:rsidP="005452BE">
      <w:pPr>
        <w:jc w:val="both"/>
        <w:rPr>
          <w:rFonts w:eastAsia="Times New Roman" w:cstheme="minorHAnsi"/>
          <w:shd w:val="clear" w:color="auto" w:fill="FFFFFF"/>
          <w:lang w:eastAsia="en-GB"/>
        </w:rPr>
      </w:pPr>
      <w:r w:rsidRPr="00726C76">
        <w:rPr>
          <w:rFonts w:eastAsia="Times New Roman" w:cstheme="minorHAnsi"/>
          <w:shd w:val="clear" w:color="auto" w:fill="FFFFFF"/>
          <w:lang w:eastAsia="en-GB"/>
        </w:rPr>
        <w:t>In this paper, we used two measures of antimicrobial resistance (AMR). In what follows, we give more detailed explanations</w:t>
      </w:r>
      <w:r w:rsidR="0009067A" w:rsidRPr="00726C76">
        <w:rPr>
          <w:rFonts w:eastAsia="Times New Roman" w:cstheme="minorHAnsi"/>
          <w:shd w:val="clear" w:color="auto" w:fill="FFFFFF"/>
          <w:lang w:eastAsia="en-GB"/>
        </w:rPr>
        <w:t xml:space="preserve"> and examples</w:t>
      </w:r>
      <w:r w:rsidRPr="00726C76">
        <w:rPr>
          <w:rFonts w:eastAsia="Times New Roman" w:cstheme="minorHAnsi"/>
          <w:shd w:val="clear" w:color="auto" w:fill="FFFFFF"/>
          <w:lang w:eastAsia="en-GB"/>
        </w:rPr>
        <w:t xml:space="preserve"> as to why we believe that these two measures are most informative for reporting AMR. </w:t>
      </w:r>
    </w:p>
    <w:p w14:paraId="17B6B0C1" w14:textId="73DD6B41" w:rsidR="003F2C9C" w:rsidRDefault="005452BE" w:rsidP="005452BE">
      <w:pPr>
        <w:jc w:val="both"/>
        <w:rPr>
          <w:rFonts w:eastAsiaTheme="minorEastAsia" w:cstheme="minorHAnsi"/>
          <w:lang w:val="en-US"/>
        </w:rPr>
      </w:pPr>
      <w:r w:rsidRPr="00726C76">
        <w:rPr>
          <w:rFonts w:eastAsia="Times New Roman" w:cstheme="minorHAnsi"/>
          <w:shd w:val="clear" w:color="auto" w:fill="FFFFFF"/>
          <w:lang w:eastAsia="en-GB"/>
        </w:rPr>
        <w:t xml:space="preserve">The resistance proportion represents a </w:t>
      </w:r>
      <w:r w:rsidR="003F2C9C">
        <w:rPr>
          <w:rFonts w:eastAsia="Times New Roman" w:cstheme="minorHAnsi"/>
          <w:shd w:val="clear" w:color="auto" w:fill="FFFFFF"/>
          <w:lang w:eastAsia="en-GB"/>
        </w:rPr>
        <w:t>prevalence-type measure</w:t>
      </w:r>
      <w:r w:rsidRPr="00726C76">
        <w:rPr>
          <w:rFonts w:eastAsia="Times New Roman" w:cstheme="minorHAnsi"/>
          <w:shd w:val="clear" w:color="auto" w:fill="FFFFFF"/>
          <w:lang w:eastAsia="en-GB"/>
        </w:rPr>
        <w:t xml:space="preserve"> that </w:t>
      </w:r>
      <w:r w:rsidR="003F2C9C">
        <w:rPr>
          <w:rFonts w:eastAsia="Times New Roman" w:cstheme="minorHAnsi"/>
          <w:shd w:val="clear" w:color="auto" w:fill="FFFFFF"/>
          <w:lang w:eastAsia="en-GB"/>
        </w:rPr>
        <w:t xml:space="preserve">provides an estimate of the probability </w:t>
      </w:r>
      <w:r w:rsidRPr="00726C76">
        <w:rPr>
          <w:rFonts w:eastAsia="Times New Roman" w:cstheme="minorHAnsi"/>
          <w:shd w:val="clear" w:color="auto" w:fill="FFFFFF"/>
          <w:lang w:eastAsia="en-GB"/>
        </w:rPr>
        <w:t xml:space="preserve">a </w:t>
      </w:r>
      <w:r w:rsidR="003F2C9C">
        <w:rPr>
          <w:rFonts w:eastAsia="Times New Roman" w:cstheme="minorHAnsi"/>
          <w:shd w:val="clear" w:color="auto" w:fill="FFFFFF"/>
          <w:lang w:eastAsia="en-GB"/>
        </w:rPr>
        <w:t>given</w:t>
      </w:r>
      <w:r w:rsidRPr="00726C76">
        <w:rPr>
          <w:rFonts w:eastAsia="Times New Roman" w:cstheme="minorHAnsi"/>
          <w:shd w:val="clear" w:color="auto" w:fill="FFFFFF"/>
          <w:lang w:eastAsia="en-GB"/>
        </w:rPr>
        <w:t xml:space="preserve"> isolate is resistant to an antibiotic</w:t>
      </w:r>
      <w:r w:rsidR="003F2C9C">
        <w:rPr>
          <w:rFonts w:eastAsia="Times New Roman" w:cstheme="minorHAnsi"/>
          <w:shd w:val="clear" w:color="auto" w:fill="FFFFFF"/>
          <w:lang w:eastAsia="en-GB"/>
        </w:rPr>
        <w:t xml:space="preserve"> or not.</w:t>
      </w:r>
      <w:r w:rsidRPr="00726C76">
        <w:rPr>
          <w:rFonts w:eastAsia="Times New Roman" w:cstheme="minorHAnsi"/>
          <w:shd w:val="clear" w:color="auto" w:fill="FFFFFF"/>
          <w:lang w:eastAsia="en-GB"/>
        </w:rPr>
        <w:t xml:space="preserve"> </w:t>
      </w:r>
      <w:r w:rsidR="003F2C9C">
        <w:rPr>
          <w:rFonts w:eastAsia="Times New Roman" w:cstheme="minorHAnsi"/>
          <w:shd w:val="clear" w:color="auto" w:fill="FFFFFF"/>
          <w:lang w:eastAsia="en-GB"/>
        </w:rPr>
        <w:t>As such, it</w:t>
      </w:r>
      <w:r w:rsidRPr="00726C76">
        <w:rPr>
          <w:rFonts w:eastAsia="Times New Roman" w:cstheme="minorHAnsi"/>
          <w:shd w:val="clear" w:color="auto" w:fill="FFFFFF"/>
          <w:lang w:eastAsia="en-GB"/>
        </w:rPr>
        <w:t xml:space="preserve"> is useful for a clinician who must choose antimicrobial agents for treatment of the infection at a specific point in time at a specific location. </w:t>
      </w:r>
      <w:r w:rsidR="000F1C76" w:rsidRPr="00726C76">
        <w:rPr>
          <w:rFonts w:cstheme="minorHAnsi"/>
          <w:lang w:val="en-US"/>
        </w:rPr>
        <w:t>The following formula</w:t>
      </w:r>
      <w:r w:rsidR="00813A43">
        <w:rPr>
          <w:rFonts w:cstheme="minorHAnsi"/>
          <w:lang w:val="en-US"/>
        </w:rPr>
        <w:t>s</w:t>
      </w:r>
      <w:r w:rsidR="000F1C76" w:rsidRPr="00726C76">
        <w:rPr>
          <w:rFonts w:cstheme="minorHAnsi"/>
          <w:lang w:val="en-US"/>
        </w:rPr>
        <w:t xml:space="preserve"> represent the calculation of resistance proportions: if </w:t>
      </w:r>
      <m:oMath>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R</m:t>
            </m:r>
          </m:sub>
        </m:sSub>
      </m:oMath>
      <w:r w:rsidR="000F1C76" w:rsidRPr="00726C76">
        <w:rPr>
          <w:rFonts w:cstheme="minorHAnsi"/>
          <w:lang w:val="en-US"/>
        </w:rPr>
        <w:t xml:space="preserve"> represents the number of resistant isolates, and </w:t>
      </w:r>
      <m:oMath>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S</m:t>
            </m:r>
          </m:sub>
        </m:sSub>
      </m:oMath>
      <w:r w:rsidR="000F1C76" w:rsidRPr="00726C76">
        <w:rPr>
          <w:rFonts w:cstheme="minorHAnsi"/>
          <w:lang w:val="en-US"/>
        </w:rPr>
        <w:t xml:space="preserve"> the number of susceptible isolates, then the percentage of resistant isolates, </w:t>
      </w: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p</m:t>
            </m:r>
          </m:sub>
        </m:sSub>
      </m:oMath>
      <w:r w:rsidR="000F1C76" w:rsidRPr="00726C76">
        <w:rPr>
          <w:rFonts w:cstheme="minorHAnsi"/>
          <w:lang w:val="en-US"/>
        </w:rPr>
        <w:t xml:space="preserve">, is represented as </w:t>
      </w:r>
    </w:p>
    <w:p w14:paraId="0C326C99" w14:textId="0381F610" w:rsidR="003F2C9C" w:rsidRDefault="00000000" w:rsidP="00DD39CF">
      <w:pPr>
        <w:jc w:val="center"/>
        <w:rPr>
          <w:rFonts w:eastAsiaTheme="minorEastAsia"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p</m:t>
            </m:r>
          </m:sub>
        </m:sSub>
        <m:r>
          <w:rPr>
            <w:rFonts w:ascii="Cambria Math" w:hAnsi="Cambria Math" w:cstheme="minorHAnsi"/>
            <w:lang w:val="en-US"/>
          </w:rPr>
          <m:t>=100×</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R</m:t>
                </m:r>
              </m:sub>
            </m:sSub>
          </m:num>
          <m:den>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R</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S</m:t>
                </m:r>
              </m:sub>
            </m:sSub>
          </m:den>
        </m:f>
      </m:oMath>
      <w:r w:rsidR="000F1C76" w:rsidRPr="00726C76">
        <w:rPr>
          <w:rFonts w:eastAsiaTheme="minorEastAsia" w:cstheme="minorHAnsi"/>
          <w:lang w:val="en-US"/>
        </w:rPr>
        <w:t xml:space="preserve"> (assuming no missing test results) or</w:t>
      </w:r>
    </w:p>
    <w:p w14:paraId="29BD319A" w14:textId="2BC97AA9" w:rsidR="003F2C9C" w:rsidRDefault="00000000" w:rsidP="00DD39CF">
      <w:pPr>
        <w:jc w:val="center"/>
        <w:rPr>
          <w:rFonts w:eastAsiaTheme="minorEastAsia"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R</m:t>
              </m:r>
            </m:e>
            <m:sub>
              <m:r>
                <w:rPr>
                  <w:rFonts w:ascii="Cambria Math" w:eastAsiaTheme="minorEastAsia" w:hAnsi="Cambria Math" w:cstheme="minorHAnsi"/>
                  <w:lang w:val="en-US"/>
                </w:rPr>
                <m:t>p</m:t>
              </m:r>
            </m:sub>
          </m:sSub>
          <m:r>
            <w:rPr>
              <w:rFonts w:ascii="Cambria Math" w:eastAsiaTheme="minorEastAsia" w:hAnsi="Cambria Math" w:cstheme="minorHAnsi"/>
              <w:lang w:val="en-US"/>
            </w:rPr>
            <m:t>=100×</m:t>
          </m:r>
          <m:f>
            <m:fPr>
              <m:ctrlPr>
                <w:rPr>
                  <w:rFonts w:ascii="Cambria Math" w:eastAsiaTheme="minorEastAsia" w:hAnsi="Cambria Math" w:cstheme="minorHAnsi"/>
                  <w:i/>
                  <w:lang w:val="en-US"/>
                </w:rPr>
              </m:ctrlPr>
            </m:fPr>
            <m:num>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R</m:t>
                  </m:r>
                </m:sub>
              </m:sSub>
            </m:num>
            <m:den>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R</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S</m:t>
                  </m:r>
                </m:sub>
              </m:sSub>
              <m:r>
                <w:rPr>
                  <w:rFonts w:ascii="Cambria Math" w:eastAsiaTheme="minorEastAsia" w:hAnsi="Cambria Math" w:cstheme="minorHAnsi"/>
                  <w:lang w:val="en-US"/>
                </w:rPr>
                <m:t>+</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M</m:t>
                  </m:r>
                </m:sub>
              </m:sSub>
            </m:den>
          </m:f>
        </m:oMath>
      </m:oMathPara>
    </w:p>
    <w:p w14:paraId="12A36EF5" w14:textId="0E0D27D1" w:rsidR="000F1C76" w:rsidRPr="00060328" w:rsidRDefault="000F1C76" w:rsidP="005452BE">
      <w:pPr>
        <w:jc w:val="both"/>
        <w:rPr>
          <w:rFonts w:eastAsia="Times New Roman" w:cstheme="minorHAnsi"/>
          <w:shd w:val="clear" w:color="auto" w:fill="FFFFFF"/>
          <w:lang w:eastAsia="en-GB"/>
        </w:rPr>
      </w:pPr>
      <w:r w:rsidRPr="00726C76">
        <w:rPr>
          <w:rFonts w:eastAsiaTheme="minorEastAsia" w:cstheme="minorHAnsi"/>
          <w:lang w:val="en-US"/>
        </w:rPr>
        <w:t xml:space="preserve">where </w:t>
      </w:r>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N</m:t>
            </m:r>
          </m:e>
          <m:sub>
            <m:r>
              <w:rPr>
                <w:rFonts w:ascii="Cambria Math" w:eastAsiaTheme="minorEastAsia" w:hAnsi="Cambria Math" w:cstheme="minorHAnsi"/>
                <w:lang w:val="en-US"/>
              </w:rPr>
              <m:t>M</m:t>
            </m:r>
          </m:sub>
        </m:sSub>
      </m:oMath>
      <w:r w:rsidRPr="00726C76">
        <w:rPr>
          <w:rFonts w:eastAsiaTheme="minorEastAsia" w:cstheme="minorHAnsi"/>
          <w:lang w:val="en-US"/>
        </w:rPr>
        <w:t xml:space="preserve"> is the number of isolates with missing susceptibility test results. </w:t>
      </w:r>
    </w:p>
    <w:p w14:paraId="665F2555" w14:textId="55718D6E" w:rsidR="00350BA7" w:rsidRPr="00726C76" w:rsidRDefault="002461C4" w:rsidP="00350BA7">
      <w:pPr>
        <w:jc w:val="both"/>
        <w:rPr>
          <w:rFonts w:eastAsiaTheme="minorEastAsia" w:cstheme="minorHAnsi"/>
          <w:lang w:val="en-US"/>
        </w:rPr>
      </w:pPr>
      <w:r>
        <w:rPr>
          <w:rFonts w:eastAsiaTheme="minorEastAsia" w:cstheme="minorHAnsi"/>
          <w:lang w:val="en-US"/>
        </w:rPr>
        <w:t>T</w:t>
      </w:r>
      <w:r w:rsidRPr="00726C76">
        <w:rPr>
          <w:rFonts w:eastAsiaTheme="minorEastAsia" w:cstheme="minorHAnsi"/>
          <w:lang w:val="en-US"/>
        </w:rPr>
        <w:t>he use of resistance proportion can be misleading</w:t>
      </w:r>
      <w:r>
        <w:rPr>
          <w:rFonts w:eastAsiaTheme="minorEastAsia" w:cstheme="minorHAnsi"/>
          <w:lang w:val="en-US"/>
        </w:rPr>
        <w:t xml:space="preserve"> for assessing trends of resistance over time</w:t>
      </w:r>
      <w:r w:rsidR="00060328">
        <w:rPr>
          <w:rFonts w:eastAsiaTheme="minorEastAsia" w:cstheme="minorHAnsi"/>
          <w:lang w:val="en-US"/>
        </w:rPr>
        <w:t>. For example, if the</w:t>
      </w:r>
      <w:r>
        <w:rPr>
          <w:rFonts w:eastAsiaTheme="minorEastAsia" w:cstheme="minorHAnsi"/>
          <w:lang w:val="en-US"/>
        </w:rPr>
        <w:t xml:space="preserve"> </w:t>
      </w:r>
      <w:r w:rsidR="000F1C76" w:rsidRPr="00726C76">
        <w:rPr>
          <w:rFonts w:eastAsiaTheme="minorEastAsia" w:cstheme="minorHAnsi"/>
          <w:lang w:val="en-US"/>
        </w:rPr>
        <w:t>introduction of an antibiotic into a patient population reduce</w:t>
      </w:r>
      <w:r w:rsidR="00060328">
        <w:rPr>
          <w:rFonts w:eastAsiaTheme="minorEastAsia" w:cstheme="minorHAnsi"/>
          <w:lang w:val="en-US"/>
        </w:rPr>
        <w:t>s</w:t>
      </w:r>
      <w:r w:rsidR="000F1C76" w:rsidRPr="00726C76">
        <w:rPr>
          <w:rFonts w:eastAsiaTheme="minorEastAsia" w:cstheme="minorHAnsi"/>
          <w:lang w:val="en-US"/>
        </w:rPr>
        <w:t xml:space="preserve"> the number of susceptible isolates in that population,</w:t>
      </w:r>
      <w:r w:rsidR="00060328">
        <w:rPr>
          <w:rFonts w:eastAsiaTheme="minorEastAsia" w:cstheme="minorHAnsi"/>
          <w:lang w:val="en-US"/>
        </w:rPr>
        <w:t xml:space="preserve"> it will</w:t>
      </w:r>
      <w:r w:rsidR="000F1C76" w:rsidRPr="00726C76">
        <w:rPr>
          <w:rFonts w:eastAsiaTheme="minorEastAsia" w:cstheme="minorHAnsi"/>
          <w:lang w:val="en-US"/>
        </w:rPr>
        <w:t xml:space="preserve"> lead to a rise in the percentage of resistant isolates. Analyses that are based on comparisons of proportions can therefore be misleading as they can be interpreted as indicating an increase in resistance when the </w:t>
      </w:r>
      <w:r w:rsidR="000F1C76" w:rsidRPr="00534273">
        <w:rPr>
          <w:rFonts w:eastAsiaTheme="minorEastAsia" w:cstheme="minorHAnsi"/>
          <w:color w:val="000000" w:themeColor="text1"/>
          <w:lang w:val="en-US"/>
        </w:rPr>
        <w:t xml:space="preserve">percentage of resistant isolates has increased, while the number of resistant isolates </w:t>
      </w:r>
      <w:r w:rsidR="00060328" w:rsidRPr="00534273">
        <w:rPr>
          <w:rFonts w:eastAsiaTheme="minorEastAsia" w:cstheme="minorHAnsi"/>
          <w:color w:val="000000" w:themeColor="text1"/>
          <w:lang w:val="en-US"/>
        </w:rPr>
        <w:t>may have</w:t>
      </w:r>
      <w:r w:rsidR="000F1C76" w:rsidRPr="00534273">
        <w:rPr>
          <w:rFonts w:eastAsiaTheme="minorEastAsia" w:cstheme="minorHAnsi"/>
          <w:color w:val="000000" w:themeColor="text1"/>
          <w:lang w:val="en-US"/>
        </w:rPr>
        <w:t xml:space="preserve"> remained unchanged.</w:t>
      </w:r>
      <w:r w:rsidR="00350BA7" w:rsidRPr="00534273">
        <w:rPr>
          <w:rFonts w:eastAsiaTheme="minorEastAsia" w:cstheme="minorHAnsi"/>
          <w:color w:val="000000" w:themeColor="text1"/>
          <w:lang w:val="en-US"/>
        </w:rPr>
        <w:t xml:space="preserve"> </w:t>
      </w:r>
      <w:r w:rsidR="003F2C9C" w:rsidRPr="00534273">
        <w:rPr>
          <w:rFonts w:ascii="Calibri" w:hAnsi="Calibri" w:cs="Calibri"/>
          <w:color w:val="000000" w:themeColor="text1"/>
        </w:rPr>
        <w:t>The phenotypic incidence metrics are the preferred way to quantify population burden</w:t>
      </w:r>
      <w:r w:rsidR="003F2C9C" w:rsidRPr="00534273">
        <w:rPr>
          <w:rFonts w:cstheme="minorHAnsi"/>
          <w:color w:val="000000" w:themeColor="text1"/>
          <w:lang w:val="en-US"/>
        </w:rPr>
        <w:t xml:space="preserve"> where </w:t>
      </w:r>
      <w:r w:rsidR="003F2C9C" w:rsidRPr="00534273">
        <w:rPr>
          <w:rFonts w:eastAsiaTheme="minorEastAsia" w:cstheme="minorHAnsi"/>
          <w:color w:val="000000" w:themeColor="text1"/>
          <w:lang w:val="en-US"/>
        </w:rPr>
        <w:t>t</w:t>
      </w:r>
      <w:r w:rsidR="00350BA7" w:rsidRPr="00534273">
        <w:rPr>
          <w:rFonts w:eastAsiaTheme="minorEastAsia" w:cstheme="minorHAnsi"/>
          <w:color w:val="000000" w:themeColor="text1"/>
          <w:lang w:val="en-US"/>
        </w:rPr>
        <w:t xml:space="preserve">he term “phenotypic incidence” or “incidence rate” refers to the absolute number of phenotypes (resistant, susceptible, or missing) </w:t>
      </w:r>
      <w:proofErr w:type="gramStart"/>
      <w:r w:rsidR="00350BA7" w:rsidRPr="00534273">
        <w:rPr>
          <w:rFonts w:eastAsiaTheme="minorEastAsia" w:cstheme="minorHAnsi"/>
          <w:color w:val="000000" w:themeColor="text1"/>
          <w:lang w:val="en-US"/>
        </w:rPr>
        <w:t>in a given</w:t>
      </w:r>
      <w:proofErr w:type="gramEnd"/>
      <w:r w:rsidR="00350BA7" w:rsidRPr="00534273">
        <w:rPr>
          <w:rFonts w:eastAsiaTheme="minorEastAsia" w:cstheme="minorHAnsi"/>
          <w:color w:val="000000" w:themeColor="text1"/>
          <w:lang w:val="en-US"/>
        </w:rPr>
        <w:t xml:space="preserve"> population per unit of time. </w:t>
      </w:r>
      <w:r w:rsidR="003F2C9C" w:rsidRPr="00534273">
        <w:rPr>
          <w:rFonts w:ascii="Calibri" w:hAnsi="Calibri" w:cs="Calibri"/>
          <w:color w:val="000000" w:themeColor="text1"/>
        </w:rPr>
        <w:t>Another way to characterize the relationship between these two measures is that the resistance proportion represents the ratio of resistant infection incidence to total infection incidence.</w:t>
      </w:r>
      <w:r w:rsidR="00A01E52">
        <w:rPr>
          <w:rFonts w:ascii="Calibri" w:hAnsi="Calibri" w:cs="Calibri"/>
          <w:color w:val="000000" w:themeColor="text1"/>
        </w:rPr>
        <w:t xml:space="preserve"> </w:t>
      </w:r>
    </w:p>
    <w:p w14:paraId="23E3FB20" w14:textId="6B280A7D" w:rsidR="00350BA7" w:rsidRPr="00726C76" w:rsidRDefault="00350BA7" w:rsidP="00060328">
      <w:pPr>
        <w:jc w:val="both"/>
        <w:rPr>
          <w:sz w:val="22"/>
          <w:szCs w:val="22"/>
          <w:lang w:val="en-US"/>
        </w:rPr>
      </w:pPr>
    </w:p>
    <w:p w14:paraId="23CD9F5D" w14:textId="612B81CC" w:rsidR="00165E1D" w:rsidRDefault="00165E1D" w:rsidP="00D83908">
      <w:pPr>
        <w:pStyle w:val="Heading1"/>
        <w:jc w:val="both"/>
        <w:rPr>
          <w:lang w:val="en-US"/>
        </w:rPr>
      </w:pPr>
      <w:bookmarkStart w:id="32" w:name="_Toc169512173"/>
      <w:r w:rsidRPr="00155847">
        <w:rPr>
          <w:lang w:val="en-US"/>
        </w:rPr>
        <w:t>S</w:t>
      </w:r>
      <w:r w:rsidR="002337EF">
        <w:rPr>
          <w:lang w:val="en-US"/>
        </w:rPr>
        <w:t>4</w:t>
      </w:r>
      <w:r w:rsidRPr="00155847">
        <w:rPr>
          <w:lang w:val="en-US"/>
        </w:rPr>
        <w:t xml:space="preserve"> </w:t>
      </w:r>
      <w:r w:rsidR="005B4600" w:rsidRPr="00155847">
        <w:rPr>
          <w:lang w:val="en-US"/>
        </w:rPr>
        <w:t>Statistical analysis</w:t>
      </w:r>
      <w:bookmarkEnd w:id="32"/>
    </w:p>
    <w:p w14:paraId="1AF7FA08" w14:textId="4B6C27F4" w:rsidR="00543A86" w:rsidRDefault="00543A86" w:rsidP="00543A86">
      <w:pPr>
        <w:pStyle w:val="Heading2"/>
        <w:rPr>
          <w:lang w:val="en-US"/>
        </w:rPr>
      </w:pPr>
      <w:bookmarkStart w:id="33" w:name="_Toc169512174"/>
      <w:r>
        <w:rPr>
          <w:lang w:val="en-US"/>
        </w:rPr>
        <w:t>S</w:t>
      </w:r>
      <w:r w:rsidR="002337EF">
        <w:rPr>
          <w:lang w:val="en-US"/>
        </w:rPr>
        <w:t>4</w:t>
      </w:r>
      <w:r>
        <w:rPr>
          <w:lang w:val="en-US"/>
        </w:rPr>
        <w:t>.1 Generalized Estimating Equation approach</w:t>
      </w:r>
      <w:bookmarkEnd w:id="33"/>
    </w:p>
    <w:p w14:paraId="2756BD0E" w14:textId="66E8F248" w:rsidR="00C660C6" w:rsidRDefault="00657A75" w:rsidP="00D83908">
      <w:pPr>
        <w:jc w:val="both"/>
        <w:rPr>
          <w:lang w:val="en-US"/>
        </w:rPr>
      </w:pPr>
      <w:r w:rsidRPr="00664DB3">
        <w:rPr>
          <w:lang w:val="en-US"/>
        </w:rPr>
        <w:t>To model</w:t>
      </w:r>
      <w:r>
        <w:rPr>
          <w:lang w:val="en-US"/>
        </w:rPr>
        <w:t xml:space="preserve"> </w:t>
      </w:r>
      <w:r w:rsidRPr="00664DB3">
        <w:rPr>
          <w:lang w:val="en-US"/>
        </w:rPr>
        <w:t>incidence rate</w:t>
      </w:r>
      <w:r>
        <w:rPr>
          <w:lang w:val="en-US"/>
        </w:rPr>
        <w:t xml:space="preserve"> trends</w:t>
      </w:r>
      <w:r w:rsidRPr="00664DB3">
        <w:rPr>
          <w:lang w:val="en-US"/>
        </w:rPr>
        <w:t xml:space="preserve">, </w:t>
      </w:r>
      <w:r>
        <w:rPr>
          <w:lang w:val="en-US"/>
        </w:rPr>
        <w:t>we employed robust Poisson regression with the</w:t>
      </w:r>
      <w:r w:rsidRPr="00664DB3">
        <w:rPr>
          <w:lang w:val="en-US"/>
        </w:rPr>
        <w:t xml:space="preserve"> </w:t>
      </w:r>
      <w:r>
        <w:rPr>
          <w:lang w:val="en-US"/>
        </w:rPr>
        <w:t>G</w:t>
      </w:r>
      <w:r w:rsidRPr="00664DB3">
        <w:rPr>
          <w:lang w:val="en-US"/>
        </w:rPr>
        <w:t xml:space="preserve">eneralized </w:t>
      </w:r>
      <w:r>
        <w:rPr>
          <w:lang w:val="en-US"/>
        </w:rPr>
        <w:t>E</w:t>
      </w:r>
      <w:r w:rsidRPr="00664DB3">
        <w:rPr>
          <w:lang w:val="en-US"/>
        </w:rPr>
        <w:t xml:space="preserve">stimating </w:t>
      </w:r>
      <w:r>
        <w:rPr>
          <w:lang w:val="en-US"/>
        </w:rPr>
        <w:t>E</w:t>
      </w:r>
      <w:r w:rsidRPr="00664DB3">
        <w:rPr>
          <w:lang w:val="en-US"/>
        </w:rPr>
        <w:t>quation</w:t>
      </w:r>
      <w:r>
        <w:rPr>
          <w:lang w:val="en-US"/>
        </w:rPr>
        <w:t xml:space="preserve"> approach (GEE)</w:t>
      </w:r>
      <w:sdt>
        <w:sdtPr>
          <w:rPr>
            <w:color w:val="000000"/>
            <w:vertAlign w:val="superscript"/>
            <w:lang w:val="en-US"/>
          </w:rPr>
          <w:tag w:val="MENDELEY_CITATION_v3_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"/>
          <w:id w:val="-1742093722"/>
          <w:placeholder>
            <w:docPart w:val="DefaultPlaceholder_-1854013440"/>
          </w:placeholder>
        </w:sdtPr>
        <w:sdtContent>
          <w:r w:rsidR="00D83908" w:rsidRPr="00D83908">
            <w:rPr>
              <w:color w:val="000000"/>
              <w:vertAlign w:val="superscript"/>
              <w:lang w:val="en-US"/>
            </w:rPr>
            <w:t>10</w:t>
          </w:r>
        </w:sdtContent>
      </w:sdt>
      <w:r>
        <w:rPr>
          <w:lang w:val="en-US"/>
        </w:rPr>
        <w:t xml:space="preserve"> where we accounted for the clustering by the VAMC with </w:t>
      </w:r>
      <w:r w:rsidRPr="00664DB3">
        <w:rPr>
          <w:lang w:val="en-US"/>
        </w:rPr>
        <w:t>an autoregressive correlation structure</w:t>
      </w:r>
      <w:r>
        <w:rPr>
          <w:lang w:val="en-US"/>
        </w:rPr>
        <w:t xml:space="preserve"> within a </w:t>
      </w:r>
      <w:r w:rsidR="00543A86">
        <w:rPr>
          <w:lang w:val="en-US"/>
        </w:rPr>
        <w:t>facility</w:t>
      </w:r>
      <w:r w:rsidR="00543A86" w:rsidRPr="00664DB3">
        <w:rPr>
          <w:lang w:val="en-US"/>
        </w:rPr>
        <w:t xml:space="preserve"> and</w:t>
      </w:r>
      <w:r>
        <w:rPr>
          <w:lang w:val="en-US"/>
        </w:rPr>
        <w:t xml:space="preserve"> used </w:t>
      </w:r>
      <w:r w:rsidR="00FD1F4C" w:rsidRPr="00E113A2">
        <w:rPr>
          <w:lang w:val="en-US"/>
        </w:rPr>
        <w:t xml:space="preserve">calendar </w:t>
      </w:r>
      <w:r w:rsidR="00155847">
        <w:rPr>
          <w:lang w:val="en-US"/>
        </w:rPr>
        <w:t>year</w:t>
      </w:r>
      <w:r w:rsidR="00FD1F4C" w:rsidRPr="00E113A2">
        <w:rPr>
          <w:lang w:val="en-US"/>
        </w:rPr>
        <w:t xml:space="preserve"> as exposure</w:t>
      </w:r>
      <w:r>
        <w:rPr>
          <w:lang w:val="en-US"/>
        </w:rPr>
        <w:t xml:space="preserve"> and </w:t>
      </w:r>
      <w:r w:rsidR="00FD1F4C" w:rsidRPr="00E113A2">
        <w:rPr>
          <w:lang w:val="en-US"/>
        </w:rPr>
        <w:t>number of admissions as offset</w:t>
      </w:r>
      <w:r>
        <w:rPr>
          <w:lang w:val="en-US"/>
        </w:rPr>
        <w:t xml:space="preserve">. </w:t>
      </w:r>
      <w:r w:rsidR="00FD1F4C" w:rsidRPr="00E113A2">
        <w:rPr>
          <w:lang w:val="en-US"/>
        </w:rPr>
        <w:t>We adjusted for major hospital characteristics, including census region, facility rurality index, facility complexity level, patient volume, patient age, gender</w:t>
      </w:r>
      <w:r w:rsidR="00921C28" w:rsidRPr="00E113A2">
        <w:rPr>
          <w:lang w:val="en-US"/>
        </w:rPr>
        <w:t xml:space="preserve"> (female, male)</w:t>
      </w:r>
      <w:r w:rsidR="00FD1F4C" w:rsidRPr="00E113A2">
        <w:rPr>
          <w:lang w:val="en-US"/>
        </w:rPr>
        <w:t>, race</w:t>
      </w:r>
      <w:r w:rsidR="00921C28" w:rsidRPr="00E113A2">
        <w:rPr>
          <w:lang w:val="en-US"/>
        </w:rPr>
        <w:t xml:space="preserve"> (</w:t>
      </w:r>
      <w:r w:rsidR="00921C28" w:rsidRPr="00155847">
        <w:rPr>
          <w:lang w:val="en-US"/>
        </w:rPr>
        <w:t xml:space="preserve">American Indian or Alaska native, Asian, black </w:t>
      </w:r>
      <w:r w:rsidR="00A91E88">
        <w:rPr>
          <w:lang w:val="en-US"/>
        </w:rPr>
        <w:lastRenderedPageBreak/>
        <w:t>A</w:t>
      </w:r>
      <w:r w:rsidR="00921C28" w:rsidRPr="00155847">
        <w:rPr>
          <w:lang w:val="en-US"/>
        </w:rPr>
        <w:t xml:space="preserve">frican American, native Hawaiian or other </w:t>
      </w:r>
      <w:r w:rsidR="00A91E88">
        <w:rPr>
          <w:lang w:val="en-US"/>
        </w:rPr>
        <w:t>P</w:t>
      </w:r>
      <w:r w:rsidR="00921C28" w:rsidRPr="00155847">
        <w:rPr>
          <w:lang w:val="en-US"/>
        </w:rPr>
        <w:t xml:space="preserve">acific </w:t>
      </w:r>
      <w:r w:rsidR="00A91E88">
        <w:rPr>
          <w:lang w:val="en-US"/>
        </w:rPr>
        <w:t>I</w:t>
      </w:r>
      <w:r w:rsidR="00921C28" w:rsidRPr="00155847">
        <w:rPr>
          <w:lang w:val="en-US"/>
        </w:rPr>
        <w:t>slander, white, mixed)</w:t>
      </w:r>
      <w:r w:rsidR="00FD1F4C" w:rsidRPr="00E113A2">
        <w:rPr>
          <w:lang w:val="en-US"/>
        </w:rPr>
        <w:t>, and ethnicity</w:t>
      </w:r>
      <w:r w:rsidR="00921C28" w:rsidRPr="00E113A2">
        <w:rPr>
          <w:lang w:val="en-US"/>
        </w:rPr>
        <w:t xml:space="preserve"> (</w:t>
      </w:r>
      <w:r w:rsidR="00A91E88" w:rsidRPr="00E113A2">
        <w:rPr>
          <w:lang w:val="en-US"/>
        </w:rPr>
        <w:t>Hispanic</w:t>
      </w:r>
      <w:r w:rsidR="00921C28" w:rsidRPr="00E113A2">
        <w:rPr>
          <w:lang w:val="en-US"/>
        </w:rPr>
        <w:t>, non-</w:t>
      </w:r>
      <w:r w:rsidR="00A91E88" w:rsidRPr="00E113A2">
        <w:rPr>
          <w:lang w:val="en-US"/>
        </w:rPr>
        <w:t>Hispanic</w:t>
      </w:r>
      <w:r w:rsidR="00921C28" w:rsidRPr="00E113A2">
        <w:rPr>
          <w:lang w:val="en-US"/>
        </w:rPr>
        <w:t>)</w:t>
      </w:r>
      <w:r w:rsidR="00FD1F4C" w:rsidRPr="00E113A2">
        <w:rPr>
          <w:lang w:val="en-US"/>
        </w:rPr>
        <w:t xml:space="preserve"> proportions. </w:t>
      </w:r>
      <w:r w:rsidR="00921C28" w:rsidRPr="00E113A2">
        <w:rPr>
          <w:lang w:val="en-US"/>
        </w:rPr>
        <w:t>To adjust for different age distributions</w:t>
      </w:r>
      <w:r w:rsidR="00C70AA9" w:rsidRPr="00E113A2">
        <w:rPr>
          <w:lang w:val="en-US"/>
        </w:rPr>
        <w:t xml:space="preserve"> within hospitalization for each facility, w</w:t>
      </w:r>
      <w:r w:rsidR="00921C28" w:rsidRPr="00155847">
        <w:rPr>
          <w:lang w:val="en-US"/>
        </w:rPr>
        <w:t>e divided patients into the following age groups: [0-30], [31-50] [51-70], [71-90], [90+].</w:t>
      </w:r>
      <w:r w:rsidR="005F2931" w:rsidRPr="00155847">
        <w:rPr>
          <w:lang w:val="en-US"/>
        </w:rPr>
        <w:t xml:space="preserve"> We estimated time trend coefficients for the pre-pandemic and pandemic period and by source of infection (Community-onset, Hospital-associated)</w:t>
      </w:r>
      <w:r w:rsidR="00B61A42">
        <w:rPr>
          <w:lang w:val="en-US"/>
        </w:rPr>
        <w:t>. We used</w:t>
      </w:r>
      <w:r w:rsidR="00C660C6">
        <w:rPr>
          <w:lang w:val="en-US"/>
        </w:rPr>
        <w:t xml:space="preserve"> </w:t>
      </w:r>
      <w:r w:rsidR="00046FD4">
        <w:rPr>
          <w:lang w:val="en-US"/>
        </w:rPr>
        <w:t>a fully stratified model (with respect to onset) in</w:t>
      </w:r>
      <w:r w:rsidR="00B61A42">
        <w:rPr>
          <w:lang w:val="en-US"/>
        </w:rPr>
        <w:t xml:space="preserve"> the GEE approach: </w:t>
      </w:r>
    </w:p>
    <w:p w14:paraId="5D1C5420" w14:textId="67693053" w:rsidR="00C660C6" w:rsidRDefault="00384C6C" w:rsidP="00D83908">
      <w:pPr>
        <w:jc w:val="both"/>
        <w:rPr>
          <w:lang w:val="en-US"/>
        </w:rPr>
      </w:pPr>
      <m:oMathPara>
        <m:oMath>
          <m:r>
            <m:rPr>
              <m:sty m:val="p"/>
            </m:rPr>
            <w:rPr>
              <w:rFonts w:ascii="Cambria Math" w:hAnsi="Cambria Math"/>
              <w:lang w:val="en-US"/>
            </w:rPr>
            <m:t>log⁡</m:t>
          </m:r>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inc</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×onset+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r>
            <w:rPr>
              <w:rFonts w:ascii="Cambria Math" w:hAnsi="Cambria Math"/>
              <w:lang w:val="en-US"/>
            </w:rPr>
            <m:t>×onset+fla</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pandemic</m:t>
              </m:r>
            </m:sub>
          </m:sSub>
          <m:r>
            <w:rPr>
              <w:rFonts w:ascii="Cambria Math" w:eastAsiaTheme="minorEastAsia" w:hAnsi="Cambria Math"/>
              <w:lang w:val="en-US"/>
            </w:rPr>
            <m:t>×onset+…+offset(</m:t>
          </m:r>
          <m:r>
            <m:rPr>
              <m:sty m:val="p"/>
            </m:rPr>
            <w:rPr>
              <w:rFonts w:ascii="Cambria Math" w:eastAsiaTheme="minorEastAsia" w:hAnsi="Cambria Math"/>
              <w:lang w:val="en-US"/>
            </w:rPr>
            <m:t>log⁡</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admissions</m:t>
              </m:r>
            </m:sub>
          </m:sSub>
          <m:r>
            <w:rPr>
              <w:rFonts w:ascii="Cambria Math" w:eastAsiaTheme="minorEastAsia" w:hAnsi="Cambria Math"/>
              <w:lang w:val="en-US"/>
            </w:rPr>
            <m:t>))</m:t>
          </m:r>
        </m:oMath>
      </m:oMathPara>
    </w:p>
    <w:p w14:paraId="082677CB" w14:textId="5FF1236A" w:rsidR="00F27D90" w:rsidRDefault="002B59E8" w:rsidP="00D83908">
      <w:pPr>
        <w:jc w:val="both"/>
        <w:rPr>
          <w:rFonts w:eastAsiaTheme="minorEastAsia"/>
          <w:lang w:val="en-US"/>
        </w:rPr>
      </w:pPr>
      <w:r>
        <w:rPr>
          <w:lang w:val="en-US"/>
        </w:rPr>
        <w:t>w</w:t>
      </w:r>
      <w:r w:rsidR="00C660C6">
        <w:rPr>
          <w:lang w:val="en-US"/>
        </w:rPr>
        <w:t>here</w:t>
      </w:r>
      <w:r w:rsidR="007E59BB">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inc</m:t>
            </m:r>
          </m:sub>
        </m:sSub>
      </m:oMath>
      <w:r>
        <w:rPr>
          <w:rFonts w:eastAsiaTheme="minorEastAsia"/>
          <w:lang w:val="en-US"/>
        </w:rPr>
        <w:t xml:space="preserve"> is the number of 30-day incident isolates</w:t>
      </w:r>
      <w:r w:rsidR="007E59BB">
        <w:rPr>
          <w:lang w:val="en-US"/>
        </w:rPr>
        <w:t>,</w:t>
      </w:r>
      <w:r>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oMath>
      <w:r w:rsidR="00B61A42">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oMath>
      <w:r w:rsidR="00B61A42">
        <w:rPr>
          <w:rFonts w:eastAsiaTheme="minorEastAsia"/>
          <w:lang w:val="en-US"/>
        </w:rPr>
        <w:t xml:space="preserve"> represent</w:t>
      </w:r>
      <w:r w:rsidR="00F27D90">
        <w:rPr>
          <w:rFonts w:eastAsiaTheme="minorEastAsia"/>
          <w:lang w:val="en-US"/>
        </w:rPr>
        <w:t xml:space="preserve"> continuous</w:t>
      </w:r>
      <w:r w:rsidR="00B61A42">
        <w:rPr>
          <w:rFonts w:eastAsiaTheme="minorEastAsia"/>
          <w:lang w:val="en-US"/>
        </w:rPr>
        <w:t xml:space="preserve"> time variables (time unit = year) for the pre-pandemic and pandemic period, respectively, onset is a binary variable representing the location of infection onset (</w:t>
      </w:r>
      <w:r w:rsidR="00CE2731">
        <w:rPr>
          <w:rFonts w:eastAsiaTheme="minorEastAsia"/>
          <w:lang w:val="en-US"/>
        </w:rPr>
        <w:t xml:space="preserve">0 = </w:t>
      </w:r>
      <w:r w:rsidR="00B61A42">
        <w:rPr>
          <w:rFonts w:eastAsiaTheme="minorEastAsia"/>
          <w:lang w:val="en-US"/>
        </w:rPr>
        <w:t xml:space="preserve">community-onset, </w:t>
      </w:r>
      <w:r w:rsidR="00CE2731">
        <w:rPr>
          <w:rFonts w:eastAsiaTheme="minorEastAsia"/>
          <w:lang w:val="en-US"/>
        </w:rPr>
        <w:t xml:space="preserve">1 = </w:t>
      </w:r>
      <w:r w:rsidR="00B61A42">
        <w:rPr>
          <w:rFonts w:eastAsiaTheme="minorEastAsia"/>
          <w:lang w:val="en-US"/>
        </w:rPr>
        <w:t xml:space="preserve">hospital-associated), </w:t>
      </w:r>
      <m:oMath>
        <m:r>
          <w:rPr>
            <w:rFonts w:ascii="Cambria Math" w:eastAsiaTheme="minorEastAsia" w:hAnsi="Cambria Math"/>
            <w:lang w:val="en-US"/>
          </w:rPr>
          <m:t>fla</m:t>
        </m:r>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 xml:space="preserve">pandemic </m:t>
            </m:r>
          </m:sub>
        </m:sSub>
      </m:oMath>
      <w:r w:rsidR="00046FD4">
        <w:rPr>
          <w:rFonts w:eastAsiaTheme="minorEastAsia"/>
          <w:lang w:val="en-US"/>
        </w:rPr>
        <w:t xml:space="preserve">is a binary variable indicating whether the time point is a pandemic year, remaining confounder variables are indicated by </w:t>
      </w:r>
      <m:oMath>
        <m:r>
          <w:rPr>
            <w:rFonts w:ascii="Cambria Math" w:eastAsiaTheme="minorEastAsia" w:hAnsi="Cambria Math"/>
            <w:lang w:val="en-US"/>
          </w:rPr>
          <m:t>…,</m:t>
        </m:r>
      </m:oMath>
      <w:r w:rsidR="00046FD4">
        <w:rPr>
          <w:rFonts w:eastAsiaTheme="minorEastAsia"/>
          <w:lang w:val="en-US"/>
        </w:rPr>
        <w:t xml:space="preserve"> and</w:t>
      </w:r>
      <w:r w:rsidR="00B61A42">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admissions</m:t>
            </m:r>
          </m:sub>
        </m:sSub>
      </m:oMath>
      <w:r w:rsidR="00B61A42">
        <w:rPr>
          <w:rFonts w:eastAsiaTheme="minorEastAsia"/>
          <w:lang w:val="en-US"/>
        </w:rPr>
        <w:t xml:space="preserve"> is the number of admissions in the respective facility at the respective time point</w:t>
      </w:r>
      <w:r w:rsidR="00046FD4">
        <w:rPr>
          <w:rFonts w:eastAsiaTheme="minorEastAsia"/>
          <w:lang w:val="en-US"/>
        </w:rPr>
        <w:t xml:space="preserve"> (used as an offset)</w:t>
      </w:r>
      <w:r w:rsidR="00B61A42">
        <w:rPr>
          <w:rFonts w:eastAsiaTheme="minorEastAsia"/>
          <w:lang w:val="en-US"/>
        </w:rPr>
        <w:t xml:space="preserve">. </w:t>
      </w:r>
      <w:r w:rsidR="00760513">
        <w:rPr>
          <w:rFonts w:eastAsiaTheme="minorEastAsia"/>
          <w:lang w:val="en-US"/>
        </w:rPr>
        <w:t>Based on the assumption that community-onset and hospital-onset infections are approximately independent, t</w:t>
      </w:r>
      <w:r w:rsidR="00893167">
        <w:rPr>
          <w:rFonts w:eastAsiaTheme="minorEastAsia"/>
          <w:lang w:val="en-US"/>
        </w:rPr>
        <w:t xml:space="preserve">he </w:t>
      </w:r>
      <m:oMath>
        <m:r>
          <w:rPr>
            <w:rFonts w:ascii="Cambria Math" w:eastAsiaTheme="minorEastAsia" w:hAnsi="Cambria Math"/>
            <w:lang w:val="en-US"/>
          </w:rPr>
          <m:t>onset</m:t>
        </m:r>
      </m:oMath>
      <w:r w:rsidR="00893167">
        <w:rPr>
          <w:rFonts w:eastAsiaTheme="minorEastAsia"/>
          <w:lang w:val="en-US"/>
        </w:rPr>
        <w:t xml:space="preserve"> variable was included as an interaction term leading to a fully stratified model. The</w:t>
      </w:r>
      <w:r w:rsidR="00F27D90">
        <w:rPr>
          <w:rFonts w:eastAsiaTheme="minorEastAsia"/>
          <w:lang w:val="en-US"/>
        </w:rPr>
        <w:t xml:space="preserve"> time variables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oMath>
      <w:r w:rsidR="0053736E">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oMath>
      <w:r w:rsidR="0053736E">
        <w:rPr>
          <w:rFonts w:eastAsiaTheme="minorEastAsia"/>
          <w:lang w:val="en-US"/>
        </w:rPr>
        <w:t xml:space="preserve"> were based on the calendar year </w:t>
      </w:r>
      <m:oMath>
        <m:r>
          <w:rPr>
            <w:rFonts w:ascii="Cambria Math" w:eastAsiaTheme="minorEastAsia" w:hAnsi="Cambria Math"/>
            <w:lang w:val="en-US"/>
          </w:rPr>
          <m:t>t</m:t>
        </m:r>
      </m:oMath>
      <w:r w:rsidR="0053736E">
        <w:rPr>
          <w:rFonts w:eastAsiaTheme="minorEastAsia"/>
          <w:lang w:val="en-US"/>
        </w:rPr>
        <w:t xml:space="preserve"> and included as follows:</w:t>
      </w:r>
    </w:p>
    <w:p w14:paraId="681FDE95" w14:textId="4AED72E8" w:rsidR="0053736E" w:rsidRDefault="00000000" w:rsidP="00D83908">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 2, 3,…,13 if t∈{2007, …, 2019}</m:t>
                  </m:r>
                </m:e>
                <m:e>
                  <m:r>
                    <w:rPr>
                      <w:rFonts w:ascii="Cambria Math" w:eastAsiaTheme="minorEastAsia" w:hAnsi="Cambria Math"/>
                      <w:lang w:val="en-US"/>
                    </w:rPr>
                    <m:t xml:space="preserve">0 if t∈{2020, 2021, 2022} </m:t>
                  </m:r>
                </m:e>
              </m:eqArr>
            </m:e>
          </m:d>
        </m:oMath>
      </m:oMathPara>
    </w:p>
    <w:p w14:paraId="7034E436" w14:textId="043F4CD4" w:rsidR="00F27D90" w:rsidRDefault="006C0883" w:rsidP="00D83908">
      <w:pPr>
        <w:jc w:val="both"/>
        <w:rPr>
          <w:rFonts w:eastAsiaTheme="minorEastAsia"/>
          <w:lang w:val="en-US"/>
        </w:rPr>
      </w:pPr>
      <w:r>
        <w:rPr>
          <w:rFonts w:eastAsiaTheme="minorEastAsia"/>
          <w:lang w:val="en-US"/>
        </w:rPr>
        <w:t>a</w:t>
      </w:r>
      <w:r w:rsidR="0053736E">
        <w:rPr>
          <w:rFonts w:eastAsiaTheme="minorEastAsia"/>
          <w:lang w:val="en-US"/>
        </w:rPr>
        <w:t xml:space="preserve">nd </w:t>
      </w:r>
    </w:p>
    <w:p w14:paraId="62B082DA" w14:textId="591DC0B9" w:rsidR="0053736E" w:rsidRDefault="00000000" w:rsidP="0053736E">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1, 2, 3 if t∈{2020, 2021, 2022}</m:t>
                  </m:r>
                </m:e>
                <m:e>
                  <m:r>
                    <w:rPr>
                      <w:rFonts w:ascii="Cambria Math" w:eastAsiaTheme="minorEastAsia" w:hAnsi="Cambria Math"/>
                      <w:lang w:val="en-US"/>
                    </w:rPr>
                    <m:t xml:space="preserve">0 if t∈{2007, …, 2019} </m:t>
                  </m:r>
                </m:e>
              </m:eqArr>
            </m:e>
          </m:d>
        </m:oMath>
      </m:oMathPara>
    </w:p>
    <w:p w14:paraId="4E40E1E3" w14:textId="77777777" w:rsidR="00F27D90" w:rsidRDefault="00F27D90" w:rsidP="00D83908">
      <w:pPr>
        <w:jc w:val="both"/>
        <w:rPr>
          <w:rFonts w:eastAsiaTheme="minorEastAsia"/>
          <w:lang w:val="en-US"/>
        </w:rPr>
      </w:pPr>
    </w:p>
    <w:p w14:paraId="76607ED2" w14:textId="57DE799D" w:rsidR="00EC5B2E" w:rsidRDefault="005F2931" w:rsidP="00D83908">
      <w:pPr>
        <w:jc w:val="both"/>
        <w:rPr>
          <w:lang w:val="en-US"/>
        </w:rPr>
      </w:pPr>
      <w:r w:rsidRPr="00155847">
        <w:rPr>
          <w:lang w:val="en-US"/>
        </w:rPr>
        <w:t>Overall time trend coefficients were obtained by estimated marginal means</w:t>
      </w:r>
      <w:r w:rsidR="00107D72">
        <w:rPr>
          <w:lang w:val="en-US"/>
        </w:rPr>
        <w:t xml:space="preserve"> for both time periods separately</w:t>
      </w:r>
      <w:r w:rsidRPr="00155847">
        <w:rPr>
          <w:lang w:val="en-US"/>
        </w:rPr>
        <w:t xml:space="preserve">. </w:t>
      </w:r>
      <w:r w:rsidR="00125419" w:rsidRPr="00E113A2">
        <w:rPr>
          <w:lang w:val="en-US"/>
        </w:rPr>
        <w:t xml:space="preserve">We </w:t>
      </w:r>
      <w:r w:rsidR="00F86201">
        <w:rPr>
          <w:lang w:val="en-US"/>
        </w:rPr>
        <w:t>computed</w:t>
      </w:r>
      <w:r w:rsidR="00125419" w:rsidRPr="00E113A2">
        <w:rPr>
          <w:lang w:val="en-US"/>
        </w:rPr>
        <w:t xml:space="preserve"> the average annual percentage change (AAPC) and the respective 95% confidence intervals based on </w:t>
      </w:r>
      <w:r w:rsidR="00F86201">
        <w:rPr>
          <w:lang w:val="en-US"/>
        </w:rPr>
        <w:t>estimated</w:t>
      </w:r>
      <w:r w:rsidR="00125419" w:rsidRPr="00E113A2">
        <w:rPr>
          <w:lang w:val="en-US"/>
        </w:rPr>
        <w:t xml:space="preserve"> rates</w:t>
      </w:r>
      <w:r w:rsidR="00F86201">
        <w:rPr>
          <w:lang w:val="en-US"/>
        </w:rPr>
        <w:t xml:space="preserve"> of change</w:t>
      </w:r>
      <w:r w:rsidR="00EC5B2E">
        <w:rPr>
          <w:lang w:val="en-US"/>
        </w:rPr>
        <w:t xml:space="preserve"> using the following formula:</w:t>
      </w:r>
    </w:p>
    <w:p w14:paraId="45675384" w14:textId="677A4D45" w:rsidR="00EC5B2E" w:rsidRDefault="00000000" w:rsidP="00D83908">
      <w:pPr>
        <w:jc w:val="both"/>
        <w:rPr>
          <w:lang w:val="en-US"/>
        </w:rPr>
      </w:pPr>
      <m:oMathPara>
        <m:oMath>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β</m:t>
                  </m:r>
                </m:sup>
              </m:sSup>
              <m:r>
                <w:rPr>
                  <w:rFonts w:ascii="Cambria Math" w:hAnsi="Cambria Math"/>
                  <w:lang w:val="en-US"/>
                </w:rPr>
                <m:t>-1</m:t>
              </m:r>
            </m:e>
          </m:d>
          <m:r>
            <w:rPr>
              <w:rFonts w:ascii="Cambria Math" w:hAnsi="Cambria Math"/>
              <w:lang w:val="en-US"/>
            </w:rPr>
            <m:t>⋅100</m:t>
          </m:r>
        </m:oMath>
      </m:oMathPara>
    </w:p>
    <w:p w14:paraId="786B34BA" w14:textId="6990210D" w:rsidR="00FD1F4C" w:rsidRPr="00E113A2" w:rsidRDefault="00E7147A" w:rsidP="00D83908">
      <w:pPr>
        <w:jc w:val="both"/>
        <w:rPr>
          <w:lang w:val="en-US"/>
        </w:rPr>
      </w:pPr>
      <w:r>
        <w:rPr>
          <w:lang w:val="en-US"/>
        </w:rPr>
        <w:t xml:space="preserve">where </w:t>
      </w:r>
      <m:oMath>
        <m:r>
          <w:rPr>
            <w:rFonts w:ascii="Cambria Math" w:hAnsi="Cambria Math"/>
            <w:lang w:val="en-US"/>
          </w:rPr>
          <m:t>β</m:t>
        </m:r>
      </m:oMath>
      <w:r>
        <w:rPr>
          <w:rFonts w:eastAsiaTheme="minorEastAsia"/>
          <w:lang w:val="en-US"/>
        </w:rPr>
        <w:t xml:space="preserve"> is the estimated marginalized time trend coefficient.</w:t>
      </w:r>
      <w:r w:rsidR="0083640A">
        <w:rPr>
          <w:rFonts w:eastAsiaTheme="minorEastAsia"/>
          <w:lang w:val="en-US"/>
        </w:rPr>
        <w:t xml:space="preserve"> As such, the AAPC represents the relative change in incidence per year (averaged over the </w:t>
      </w:r>
      <w:proofErr w:type="gramStart"/>
      <w:r w:rsidR="0083640A">
        <w:rPr>
          <w:rFonts w:eastAsiaTheme="minorEastAsia"/>
          <w:lang w:val="en-US"/>
        </w:rPr>
        <w:t>time period</w:t>
      </w:r>
      <w:proofErr w:type="gramEnd"/>
      <w:r w:rsidR="0083640A">
        <w:rPr>
          <w:rFonts w:eastAsiaTheme="minorEastAsia"/>
          <w:lang w:val="en-US"/>
        </w:rPr>
        <w:t>) expressed as a percentage.</w:t>
      </w:r>
      <w:r>
        <w:rPr>
          <w:lang w:val="en-US"/>
        </w:rPr>
        <w:t xml:space="preserve"> </w:t>
      </w:r>
      <w:r w:rsidR="00046FD4">
        <w:rPr>
          <w:lang w:val="en-US"/>
        </w:rPr>
        <w:t>Resistance p</w:t>
      </w:r>
      <w:r w:rsidR="00046FD4" w:rsidRPr="00664DB3">
        <w:rPr>
          <w:lang w:val="en-US"/>
        </w:rPr>
        <w:t>roportions were modelled similarly but with</w:t>
      </w:r>
      <w:r w:rsidR="00046FD4">
        <w:rPr>
          <w:lang w:val="en-US"/>
        </w:rPr>
        <w:t xml:space="preserve"> the total number of isolates as offset</w:t>
      </w:r>
      <w:r w:rsidR="00046FD4" w:rsidRPr="00664DB3">
        <w:rPr>
          <w:lang w:val="en-US"/>
        </w:rPr>
        <w:t>.</w:t>
      </w:r>
      <w:r w:rsidR="00046FD4">
        <w:rPr>
          <w:lang w:val="en-US"/>
        </w:rPr>
        <w:t xml:space="preserve"> </w:t>
      </w:r>
      <w:r w:rsidR="00FD1F4C" w:rsidRPr="00E113A2">
        <w:rPr>
          <w:lang w:val="en-US"/>
        </w:rPr>
        <w:t>Statistical analyses were performed using</w:t>
      </w:r>
      <w:r w:rsidR="005F2931" w:rsidRPr="00E113A2">
        <w:rPr>
          <w:lang w:val="en-US"/>
        </w:rPr>
        <w:t xml:space="preserve"> the </w:t>
      </w:r>
      <w:proofErr w:type="spellStart"/>
      <w:r w:rsidR="005F2931" w:rsidRPr="00E113A2">
        <w:rPr>
          <w:i/>
          <w:iCs/>
          <w:lang w:val="en-US"/>
        </w:rPr>
        <w:t>geeasy</w:t>
      </w:r>
      <w:proofErr w:type="spellEnd"/>
      <w:r w:rsidR="005F2931" w:rsidRPr="00E113A2">
        <w:rPr>
          <w:lang w:val="en-US"/>
        </w:rPr>
        <w:t xml:space="preserve"> and </w:t>
      </w:r>
      <w:proofErr w:type="spellStart"/>
      <w:r w:rsidR="005F2931" w:rsidRPr="00E113A2">
        <w:rPr>
          <w:i/>
          <w:iCs/>
          <w:lang w:val="en-US"/>
        </w:rPr>
        <w:t>emmeans</w:t>
      </w:r>
      <w:proofErr w:type="spellEnd"/>
      <w:r w:rsidR="005F2931" w:rsidRPr="00E113A2">
        <w:rPr>
          <w:lang w:val="en-US"/>
        </w:rPr>
        <w:t xml:space="preserve"> package in</w:t>
      </w:r>
      <w:r w:rsidR="00FD1F4C" w:rsidRPr="00E113A2">
        <w:rPr>
          <w:lang w:val="en-US"/>
        </w:rPr>
        <w:t xml:space="preserve"> R version 4.3.1.</w:t>
      </w:r>
      <w:sdt>
        <w:sdtPr>
          <w:rPr>
            <w:color w:val="000000"/>
            <w:vertAlign w:val="superscript"/>
            <w:lang w:val="en-US"/>
          </w:rPr>
          <w:tag w:val="MENDELEY_CITATION_v3_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"/>
          <w:id w:val="-1874680670"/>
          <w:placeholder>
            <w:docPart w:val="0BCE40670FF8C749BC19296A4BC61611"/>
          </w:placeholder>
        </w:sdtPr>
        <w:sdtContent>
          <w:r w:rsidR="00D83908" w:rsidRPr="00D83908">
            <w:rPr>
              <w:rFonts w:eastAsia="Times New Roman"/>
              <w:color w:val="000000"/>
              <w:vertAlign w:val="superscript"/>
              <w:lang w:val="en-US"/>
            </w:rPr>
            <w:t>11</w:t>
          </w:r>
        </w:sdtContent>
      </w:sdt>
    </w:p>
    <w:p w14:paraId="5B6EDFD7" w14:textId="77777777" w:rsidR="00B61A42" w:rsidRDefault="00B61A42" w:rsidP="00783B4C">
      <w:pPr>
        <w:jc w:val="both"/>
        <w:rPr>
          <w:lang w:val="en-US"/>
        </w:rPr>
      </w:pPr>
    </w:p>
    <w:p w14:paraId="0296D484" w14:textId="05011289" w:rsidR="00155847" w:rsidRDefault="00155847" w:rsidP="00783B4C">
      <w:pPr>
        <w:jc w:val="both"/>
        <w:rPr>
          <w:lang w:val="en-US"/>
        </w:rPr>
      </w:pPr>
      <w:r>
        <w:rPr>
          <w:lang w:val="en-US"/>
        </w:rPr>
        <w:t>A detailed list of variables that were used in the GEE analysis can be found below</w:t>
      </w:r>
      <w:r w:rsidR="00F14ABE">
        <w:rPr>
          <w:lang w:val="en-US"/>
        </w:rPr>
        <w:t>. The</w:t>
      </w:r>
      <w:r w:rsidR="003F5B0D">
        <w:rPr>
          <w:lang w:val="en-US"/>
        </w:rPr>
        <w:t xml:space="preserve"> covariates were included because they are known to be correlated with the exposure and the outcome(s) of interest</w:t>
      </w:r>
      <w:r w:rsidR="000343C7">
        <w:rPr>
          <w:lang w:val="en-US"/>
        </w:rPr>
        <w:t xml:space="preserve">. </w:t>
      </w:r>
    </w:p>
    <w:p w14:paraId="6A56057E" w14:textId="3DA1FD65" w:rsidR="00155847" w:rsidRDefault="00155847" w:rsidP="00155847">
      <w:pPr>
        <w:pStyle w:val="ListParagraph"/>
        <w:numPr>
          <w:ilvl w:val="0"/>
          <w:numId w:val="4"/>
        </w:numPr>
        <w:jc w:val="both"/>
        <w:rPr>
          <w:lang w:val="en-US"/>
        </w:rPr>
      </w:pPr>
      <w:r>
        <w:rPr>
          <w:lang w:val="en-US"/>
        </w:rPr>
        <w:t>Calendar year</w:t>
      </w:r>
      <w:r w:rsidR="0053736E">
        <w:rPr>
          <w:lang w:val="en-US"/>
        </w:rPr>
        <w:t xml:space="preserve"> for pre-pandemic period</w:t>
      </w:r>
      <w:r w:rsidR="003F5B0D">
        <w:rPr>
          <w:lang w:val="en-US"/>
        </w:rPr>
        <w:t xml:space="preserve"> (exposure)</w:t>
      </w:r>
    </w:p>
    <w:p w14:paraId="2D53576D" w14:textId="4619E1BD" w:rsidR="0053736E" w:rsidRDefault="0053736E" w:rsidP="00155847">
      <w:pPr>
        <w:pStyle w:val="ListParagraph"/>
        <w:numPr>
          <w:ilvl w:val="0"/>
          <w:numId w:val="4"/>
        </w:numPr>
        <w:jc w:val="both"/>
        <w:rPr>
          <w:lang w:val="en-US"/>
        </w:rPr>
      </w:pPr>
      <w:r>
        <w:rPr>
          <w:lang w:val="en-US"/>
        </w:rPr>
        <w:t>Calendar year for pandemic period</w:t>
      </w:r>
      <w:r w:rsidR="003F5B0D">
        <w:rPr>
          <w:lang w:val="en-US"/>
        </w:rPr>
        <w:t xml:space="preserve"> (exposure)</w:t>
      </w:r>
    </w:p>
    <w:p w14:paraId="085D6904" w14:textId="4E38A724" w:rsidR="00155847" w:rsidRDefault="00155847" w:rsidP="00155847">
      <w:pPr>
        <w:pStyle w:val="ListParagraph"/>
        <w:numPr>
          <w:ilvl w:val="0"/>
          <w:numId w:val="4"/>
        </w:numPr>
        <w:jc w:val="both"/>
        <w:rPr>
          <w:lang w:val="en-US"/>
        </w:rPr>
      </w:pPr>
      <w:r>
        <w:rPr>
          <w:lang w:val="en-US"/>
        </w:rPr>
        <w:t>Onset of infection (community-onset, hospital-associated)</w:t>
      </w:r>
    </w:p>
    <w:p w14:paraId="32D600C4" w14:textId="635FA454" w:rsidR="00155847" w:rsidRDefault="00155847" w:rsidP="00155847">
      <w:pPr>
        <w:pStyle w:val="ListParagraph"/>
        <w:numPr>
          <w:ilvl w:val="0"/>
          <w:numId w:val="4"/>
        </w:numPr>
        <w:jc w:val="both"/>
        <w:rPr>
          <w:lang w:val="en-US"/>
        </w:rPr>
      </w:pPr>
      <w:r>
        <w:rPr>
          <w:lang w:val="en-US"/>
        </w:rPr>
        <w:t>Census region</w:t>
      </w:r>
      <w:r w:rsidR="003F5B0D">
        <w:rPr>
          <w:lang w:val="en-US"/>
        </w:rPr>
        <w:t xml:space="preserve"> (adjustment for spatial variation)</w:t>
      </w:r>
    </w:p>
    <w:p w14:paraId="5CEBDA0E" w14:textId="11ACF94D" w:rsidR="00155847" w:rsidRDefault="00155847" w:rsidP="00155847">
      <w:pPr>
        <w:pStyle w:val="ListParagraph"/>
        <w:numPr>
          <w:ilvl w:val="0"/>
          <w:numId w:val="4"/>
        </w:numPr>
        <w:jc w:val="both"/>
        <w:rPr>
          <w:lang w:val="en-US"/>
        </w:rPr>
      </w:pPr>
      <w:r>
        <w:rPr>
          <w:lang w:val="en-US"/>
        </w:rPr>
        <w:t>Facility rurality</w:t>
      </w:r>
      <w:r w:rsidR="003F5B0D">
        <w:rPr>
          <w:lang w:val="en-US"/>
        </w:rPr>
        <w:t xml:space="preserve"> (adjustment for access to healthcare servi</w:t>
      </w:r>
      <w:r w:rsidR="00E737A2">
        <w:rPr>
          <w:lang w:val="en-US"/>
        </w:rPr>
        <w:t>c</w:t>
      </w:r>
      <w:r w:rsidR="003F5B0D">
        <w:rPr>
          <w:lang w:val="en-US"/>
        </w:rPr>
        <w:t xml:space="preserve">es, population density and </w:t>
      </w:r>
      <w:proofErr w:type="gramStart"/>
      <w:r w:rsidR="003F5B0D">
        <w:rPr>
          <w:lang w:val="en-US"/>
        </w:rPr>
        <w:t>demographics, ..</w:t>
      </w:r>
      <w:proofErr w:type="gramEnd"/>
      <w:r w:rsidR="003F5B0D">
        <w:rPr>
          <w:lang w:val="en-US"/>
        </w:rPr>
        <w:t xml:space="preserve">) </w:t>
      </w:r>
    </w:p>
    <w:p w14:paraId="28DB489C" w14:textId="10A8F5A5" w:rsidR="00155847" w:rsidRDefault="00155847" w:rsidP="00155847">
      <w:pPr>
        <w:pStyle w:val="ListParagraph"/>
        <w:numPr>
          <w:ilvl w:val="0"/>
          <w:numId w:val="4"/>
        </w:numPr>
        <w:jc w:val="both"/>
        <w:rPr>
          <w:lang w:val="en-US"/>
        </w:rPr>
      </w:pPr>
      <w:r>
        <w:rPr>
          <w:lang w:val="en-US"/>
        </w:rPr>
        <w:t>Facility complexity</w:t>
      </w:r>
      <w:r w:rsidR="003F5B0D">
        <w:rPr>
          <w:lang w:val="en-US"/>
        </w:rPr>
        <w:t xml:space="preserve"> (adjustment for patient case mix, quality of care, operational capabilities, resource availability, …)</w:t>
      </w:r>
    </w:p>
    <w:p w14:paraId="46B0EF79" w14:textId="07741016" w:rsidR="00155847" w:rsidRDefault="00155847" w:rsidP="00155847">
      <w:pPr>
        <w:pStyle w:val="ListParagraph"/>
        <w:numPr>
          <w:ilvl w:val="0"/>
          <w:numId w:val="4"/>
        </w:numPr>
        <w:jc w:val="both"/>
        <w:rPr>
          <w:lang w:val="en-US"/>
        </w:rPr>
      </w:pPr>
      <w:r>
        <w:rPr>
          <w:lang w:val="en-US"/>
        </w:rPr>
        <w:t>The following variables were rolled up per calendar year</w:t>
      </w:r>
      <w:r w:rsidR="003F5B0D">
        <w:rPr>
          <w:lang w:val="en-US"/>
        </w:rPr>
        <w:t xml:space="preserve"> and were included to adjust for the patient composition in the facility</w:t>
      </w:r>
      <w:r>
        <w:rPr>
          <w:lang w:val="en-US"/>
        </w:rPr>
        <w:t>:</w:t>
      </w:r>
    </w:p>
    <w:p w14:paraId="52EF1562" w14:textId="7A220E64" w:rsidR="00155847" w:rsidRDefault="00155847" w:rsidP="00155847">
      <w:pPr>
        <w:pStyle w:val="ListParagraph"/>
        <w:numPr>
          <w:ilvl w:val="1"/>
          <w:numId w:val="4"/>
        </w:numPr>
        <w:jc w:val="both"/>
        <w:rPr>
          <w:lang w:val="en-US"/>
        </w:rPr>
      </w:pPr>
      <w:r>
        <w:rPr>
          <w:lang w:val="en-US"/>
        </w:rPr>
        <w:t xml:space="preserve">Median length of stay </w:t>
      </w:r>
    </w:p>
    <w:p w14:paraId="0016A4A3" w14:textId="2B1D9EFF" w:rsidR="00155847" w:rsidRDefault="00155847" w:rsidP="00155847">
      <w:pPr>
        <w:pStyle w:val="ListParagraph"/>
        <w:numPr>
          <w:ilvl w:val="1"/>
          <w:numId w:val="4"/>
        </w:numPr>
        <w:jc w:val="both"/>
        <w:rPr>
          <w:lang w:val="en-US"/>
        </w:rPr>
      </w:pPr>
      <w:r>
        <w:rPr>
          <w:lang w:val="en-US"/>
        </w:rPr>
        <w:lastRenderedPageBreak/>
        <w:t>Percentage of female/male patients</w:t>
      </w:r>
    </w:p>
    <w:p w14:paraId="06D700A5" w14:textId="3C6BE532" w:rsidR="00155847" w:rsidRDefault="00155847" w:rsidP="00155847">
      <w:pPr>
        <w:pStyle w:val="ListParagraph"/>
        <w:numPr>
          <w:ilvl w:val="1"/>
          <w:numId w:val="4"/>
        </w:numPr>
        <w:jc w:val="both"/>
        <w:rPr>
          <w:lang w:val="en-US"/>
        </w:rPr>
      </w:pPr>
      <w:r>
        <w:rPr>
          <w:lang w:val="en-US"/>
        </w:rPr>
        <w:t>Percentage of patients classified as white/non-white</w:t>
      </w:r>
    </w:p>
    <w:p w14:paraId="6539003A" w14:textId="0127B9CA" w:rsidR="00155847" w:rsidRDefault="00155847" w:rsidP="00155847">
      <w:pPr>
        <w:pStyle w:val="ListParagraph"/>
        <w:numPr>
          <w:ilvl w:val="1"/>
          <w:numId w:val="4"/>
        </w:numPr>
        <w:jc w:val="both"/>
        <w:rPr>
          <w:lang w:val="en-US"/>
        </w:rPr>
      </w:pPr>
      <w:r>
        <w:rPr>
          <w:lang w:val="en-US"/>
        </w:rPr>
        <w:t>Percentage of patients classified as non-Hispanic</w:t>
      </w:r>
    </w:p>
    <w:p w14:paraId="49147CA2" w14:textId="7380E09E" w:rsidR="00155847" w:rsidRPr="00155847" w:rsidRDefault="00155847" w:rsidP="00155847">
      <w:pPr>
        <w:pStyle w:val="ListParagraph"/>
        <w:numPr>
          <w:ilvl w:val="1"/>
          <w:numId w:val="4"/>
        </w:numPr>
        <w:jc w:val="both"/>
        <w:rPr>
          <w:lang w:val="en-US"/>
        </w:rPr>
      </w:pPr>
      <w:r>
        <w:rPr>
          <w:lang w:val="en-US"/>
        </w:rPr>
        <w:t xml:space="preserve">Percentage of patients in the following age categories: </w:t>
      </w:r>
      <w:r w:rsidRPr="00155847">
        <w:rPr>
          <w:lang w:val="en-US"/>
        </w:rPr>
        <w:t>Under 30</w:t>
      </w:r>
      <w:r>
        <w:rPr>
          <w:lang w:val="en-US"/>
        </w:rPr>
        <w:t xml:space="preserve">, </w:t>
      </w:r>
      <w:r w:rsidRPr="00155847">
        <w:rPr>
          <w:lang w:val="en-US"/>
        </w:rPr>
        <w:t>30-49</w:t>
      </w:r>
      <w:r>
        <w:rPr>
          <w:lang w:val="en-US"/>
        </w:rPr>
        <w:t xml:space="preserve">, </w:t>
      </w:r>
      <w:r w:rsidRPr="00155847">
        <w:rPr>
          <w:lang w:val="en-US"/>
        </w:rPr>
        <w:t>50-69</w:t>
      </w:r>
      <w:r>
        <w:rPr>
          <w:lang w:val="en-US"/>
        </w:rPr>
        <w:t xml:space="preserve">, </w:t>
      </w:r>
      <w:r w:rsidRPr="00155847">
        <w:rPr>
          <w:lang w:val="en-US"/>
        </w:rPr>
        <w:t>70-89</w:t>
      </w:r>
      <w:r>
        <w:rPr>
          <w:lang w:val="en-US"/>
        </w:rPr>
        <w:t xml:space="preserve">, </w:t>
      </w:r>
      <w:r w:rsidRPr="00155847">
        <w:rPr>
          <w:lang w:val="en-US"/>
        </w:rPr>
        <w:t>90+</w:t>
      </w:r>
    </w:p>
    <w:p w14:paraId="651BD699" w14:textId="25767232" w:rsidR="00155847" w:rsidRDefault="00155847" w:rsidP="00155847">
      <w:pPr>
        <w:pStyle w:val="ListParagraph"/>
        <w:numPr>
          <w:ilvl w:val="1"/>
          <w:numId w:val="4"/>
        </w:numPr>
        <w:jc w:val="both"/>
        <w:rPr>
          <w:lang w:val="en-US"/>
        </w:rPr>
      </w:pPr>
      <w:r>
        <w:rPr>
          <w:lang w:val="en-US"/>
        </w:rPr>
        <w:t>Number of hospitalizations with an ICU as their admitting ward</w:t>
      </w:r>
    </w:p>
    <w:p w14:paraId="03A4AF6D" w14:textId="16FC27E2" w:rsidR="00155847" w:rsidRDefault="00155847" w:rsidP="00155847">
      <w:pPr>
        <w:pStyle w:val="ListParagraph"/>
        <w:numPr>
          <w:ilvl w:val="1"/>
          <w:numId w:val="4"/>
        </w:numPr>
        <w:jc w:val="both"/>
        <w:rPr>
          <w:lang w:val="en-US"/>
        </w:rPr>
      </w:pPr>
      <w:r>
        <w:rPr>
          <w:lang w:val="en-US"/>
        </w:rPr>
        <w:t xml:space="preserve">Maximum patient days that occur at the facility </w:t>
      </w:r>
    </w:p>
    <w:p w14:paraId="0CE330F4" w14:textId="0A64AF85" w:rsidR="00155847" w:rsidRDefault="00155847" w:rsidP="00155847">
      <w:pPr>
        <w:pStyle w:val="ListParagraph"/>
        <w:numPr>
          <w:ilvl w:val="1"/>
          <w:numId w:val="4"/>
        </w:numPr>
        <w:jc w:val="both"/>
        <w:rPr>
          <w:lang w:val="en-US"/>
        </w:rPr>
      </w:pPr>
      <w:r>
        <w:rPr>
          <w:lang w:val="en-US"/>
        </w:rPr>
        <w:t xml:space="preserve">Number of hospitalizations </w:t>
      </w:r>
      <w:r w:rsidRPr="00155847">
        <w:rPr>
          <w:lang w:val="en-US"/>
        </w:rPr>
        <w:t>with a history of myocardial infarction in the 365 days prior to admission date</w:t>
      </w:r>
    </w:p>
    <w:p w14:paraId="683F9FF7" w14:textId="7258FC9A" w:rsidR="00155847" w:rsidRDefault="00155847" w:rsidP="00155847">
      <w:pPr>
        <w:pStyle w:val="ListParagraph"/>
        <w:numPr>
          <w:ilvl w:val="1"/>
          <w:numId w:val="4"/>
        </w:numPr>
        <w:jc w:val="both"/>
        <w:rPr>
          <w:lang w:val="en-US"/>
        </w:rPr>
      </w:pPr>
      <w:r>
        <w:rPr>
          <w:lang w:val="en-US"/>
        </w:rPr>
        <w:t xml:space="preserve">Number of hospitalizations </w:t>
      </w:r>
      <w:r w:rsidRPr="00155847">
        <w:rPr>
          <w:lang w:val="en-US"/>
        </w:rPr>
        <w:t>with a history of congestive heart failure in the 365 days prior to admission date</w:t>
      </w:r>
    </w:p>
    <w:p w14:paraId="3A3032FB" w14:textId="4E167B70" w:rsidR="00155847" w:rsidRDefault="00155847" w:rsidP="00155847">
      <w:pPr>
        <w:pStyle w:val="ListParagraph"/>
        <w:numPr>
          <w:ilvl w:val="1"/>
          <w:numId w:val="4"/>
        </w:numPr>
        <w:jc w:val="both"/>
        <w:rPr>
          <w:lang w:val="en-US"/>
        </w:rPr>
      </w:pPr>
      <w:r>
        <w:rPr>
          <w:lang w:val="en-US"/>
        </w:rPr>
        <w:t xml:space="preserve">Number of hospitalizations </w:t>
      </w:r>
      <w:r w:rsidRPr="00155847">
        <w:rPr>
          <w:lang w:val="en-US"/>
        </w:rPr>
        <w:t>with a history of cerebrovascular disease</w:t>
      </w:r>
      <w:r>
        <w:rPr>
          <w:lang w:val="en-US"/>
        </w:rPr>
        <w:t xml:space="preserve"> in </w:t>
      </w:r>
      <w:r w:rsidRPr="00155847">
        <w:rPr>
          <w:lang w:val="en-US"/>
        </w:rPr>
        <w:t>the 365 days prior to admission date</w:t>
      </w:r>
    </w:p>
    <w:p w14:paraId="66209BA0" w14:textId="6A579C25" w:rsidR="00155847" w:rsidRDefault="00155847" w:rsidP="00155847">
      <w:pPr>
        <w:pStyle w:val="ListParagraph"/>
        <w:numPr>
          <w:ilvl w:val="1"/>
          <w:numId w:val="4"/>
        </w:numPr>
        <w:jc w:val="both"/>
        <w:rPr>
          <w:lang w:val="en-US"/>
        </w:rPr>
      </w:pPr>
      <w:r>
        <w:rPr>
          <w:lang w:val="en-US"/>
        </w:rPr>
        <w:t xml:space="preserve">Number of hospitalizations </w:t>
      </w:r>
      <w:r w:rsidRPr="00155847">
        <w:rPr>
          <w:lang w:val="en-US"/>
        </w:rPr>
        <w:t>with a history of chronic pulmonary disease</w:t>
      </w:r>
      <w:r>
        <w:rPr>
          <w:lang w:val="en-US"/>
        </w:rPr>
        <w:t xml:space="preserve"> </w:t>
      </w:r>
      <w:r w:rsidRPr="00155847">
        <w:rPr>
          <w:lang w:val="en-US"/>
        </w:rPr>
        <w:t>in the 365 days prior to admission date</w:t>
      </w:r>
    </w:p>
    <w:p w14:paraId="6B511CCA" w14:textId="77CA5D5A" w:rsidR="00155847" w:rsidRDefault="00155847" w:rsidP="00155847">
      <w:pPr>
        <w:pStyle w:val="ListParagraph"/>
        <w:numPr>
          <w:ilvl w:val="1"/>
          <w:numId w:val="4"/>
        </w:numPr>
        <w:jc w:val="both"/>
        <w:rPr>
          <w:lang w:val="en-US"/>
        </w:rPr>
      </w:pPr>
      <w:r>
        <w:rPr>
          <w:lang w:val="en-US"/>
        </w:rPr>
        <w:t xml:space="preserve">Number of hospitalizations </w:t>
      </w:r>
      <w:r w:rsidRPr="00155847">
        <w:rPr>
          <w:lang w:val="en-US"/>
        </w:rPr>
        <w:t>with a history of rheumatologic disease</w:t>
      </w:r>
      <w:r>
        <w:rPr>
          <w:lang w:val="en-US"/>
        </w:rPr>
        <w:t xml:space="preserve"> </w:t>
      </w:r>
      <w:r w:rsidRPr="00155847">
        <w:rPr>
          <w:lang w:val="en-US"/>
        </w:rPr>
        <w:t>in the 365 days prior to admission date</w:t>
      </w:r>
    </w:p>
    <w:p w14:paraId="4784A390" w14:textId="77777777" w:rsidR="00155847" w:rsidRDefault="00155847" w:rsidP="00155847">
      <w:pPr>
        <w:pStyle w:val="ListParagraph"/>
        <w:numPr>
          <w:ilvl w:val="1"/>
          <w:numId w:val="4"/>
        </w:numPr>
        <w:jc w:val="both"/>
        <w:rPr>
          <w:lang w:val="en-US"/>
        </w:rPr>
      </w:pPr>
      <w:r>
        <w:rPr>
          <w:lang w:val="en-US"/>
        </w:rPr>
        <w:t xml:space="preserve">Number of hospitalizations </w:t>
      </w:r>
      <w:r w:rsidRPr="00155847">
        <w:rPr>
          <w:lang w:val="en-US"/>
        </w:rPr>
        <w:t>with a history of dementia</w:t>
      </w:r>
      <w:r>
        <w:rPr>
          <w:lang w:val="en-US"/>
        </w:rPr>
        <w:t xml:space="preserve"> </w:t>
      </w:r>
      <w:r w:rsidRPr="00155847">
        <w:rPr>
          <w:lang w:val="en-US"/>
        </w:rPr>
        <w:t>in the 365 days prior to admission date</w:t>
      </w:r>
    </w:p>
    <w:p w14:paraId="192BE0AC" w14:textId="6EAABC78" w:rsidR="00155847" w:rsidRDefault="00155847" w:rsidP="00155847">
      <w:pPr>
        <w:pStyle w:val="ListParagraph"/>
        <w:numPr>
          <w:ilvl w:val="1"/>
          <w:numId w:val="4"/>
        </w:numPr>
        <w:jc w:val="both"/>
        <w:rPr>
          <w:lang w:val="en-US"/>
        </w:rPr>
      </w:pPr>
      <w:r>
        <w:rPr>
          <w:lang w:val="en-US"/>
        </w:rPr>
        <w:t xml:space="preserve">Number of hospitalizations </w:t>
      </w:r>
      <w:r w:rsidRPr="00155847">
        <w:rPr>
          <w:lang w:val="en-US"/>
        </w:rPr>
        <w:t>with a history of peptic ulcer disease</w:t>
      </w:r>
      <w:r>
        <w:rPr>
          <w:lang w:val="en-US"/>
        </w:rPr>
        <w:t xml:space="preserve"> </w:t>
      </w:r>
      <w:r w:rsidRPr="00155847">
        <w:rPr>
          <w:lang w:val="en-US"/>
        </w:rPr>
        <w:t>in the 365 days prior to admission date</w:t>
      </w:r>
    </w:p>
    <w:p w14:paraId="0DC8DF2E" w14:textId="7086A962" w:rsidR="00125419" w:rsidRPr="00125419" w:rsidRDefault="00125419" w:rsidP="00125419">
      <w:pPr>
        <w:pStyle w:val="ListParagraph"/>
        <w:numPr>
          <w:ilvl w:val="1"/>
          <w:numId w:val="4"/>
        </w:numPr>
        <w:jc w:val="both"/>
        <w:rPr>
          <w:lang w:val="en-US"/>
        </w:rPr>
      </w:pPr>
      <w:r>
        <w:rPr>
          <w:lang w:val="en-US"/>
        </w:rPr>
        <w:t xml:space="preserve">Number of hospitalizations </w:t>
      </w:r>
      <w:r w:rsidRPr="00155847">
        <w:rPr>
          <w:lang w:val="en-US"/>
        </w:rPr>
        <w:t>with a history of mild liver disease</w:t>
      </w:r>
      <w:r>
        <w:rPr>
          <w:lang w:val="en-US"/>
        </w:rPr>
        <w:t xml:space="preserve"> </w:t>
      </w:r>
      <w:r w:rsidRPr="00155847">
        <w:rPr>
          <w:lang w:val="en-US"/>
        </w:rPr>
        <w:t>in the 365 days prior to admission date</w:t>
      </w:r>
    </w:p>
    <w:p w14:paraId="2768E54F" w14:textId="5D4EA213" w:rsidR="00155847" w:rsidRPr="00125419" w:rsidRDefault="00155847" w:rsidP="00125419">
      <w:pPr>
        <w:pStyle w:val="ListParagraph"/>
        <w:numPr>
          <w:ilvl w:val="1"/>
          <w:numId w:val="4"/>
        </w:numPr>
        <w:jc w:val="both"/>
        <w:rPr>
          <w:lang w:val="en-US"/>
        </w:rPr>
      </w:pPr>
      <w:r>
        <w:rPr>
          <w:lang w:val="en-US"/>
        </w:rPr>
        <w:t xml:space="preserve">Number of hospitalizations </w:t>
      </w:r>
      <w:r w:rsidRPr="00155847">
        <w:rPr>
          <w:lang w:val="en-US"/>
        </w:rPr>
        <w:t xml:space="preserve">with a history of </w:t>
      </w:r>
      <w:r w:rsidR="00125419" w:rsidRPr="00125419">
        <w:rPr>
          <w:lang w:val="en-US"/>
        </w:rPr>
        <w:t xml:space="preserve">diabetes without complications </w:t>
      </w:r>
      <w:r w:rsidRPr="00155847">
        <w:rPr>
          <w:lang w:val="en-US"/>
        </w:rPr>
        <w:t>in the 365 days prior to admission date</w:t>
      </w:r>
    </w:p>
    <w:p w14:paraId="27860273" w14:textId="01059823" w:rsidR="00125419" w:rsidRPr="00125419" w:rsidRDefault="00125419" w:rsidP="00125419">
      <w:pPr>
        <w:pStyle w:val="ListParagraph"/>
        <w:numPr>
          <w:ilvl w:val="1"/>
          <w:numId w:val="4"/>
        </w:numPr>
        <w:jc w:val="both"/>
        <w:rPr>
          <w:lang w:val="en-US"/>
        </w:rPr>
      </w:pPr>
      <w:r>
        <w:rPr>
          <w:lang w:val="en-US"/>
        </w:rPr>
        <w:t xml:space="preserve">Number of hospitalizations </w:t>
      </w:r>
      <w:r w:rsidRPr="00155847">
        <w:rPr>
          <w:lang w:val="en-US"/>
        </w:rPr>
        <w:t xml:space="preserve">with a history of </w:t>
      </w:r>
      <w:r w:rsidRPr="00125419">
        <w:rPr>
          <w:lang w:val="en-US"/>
        </w:rPr>
        <w:t xml:space="preserve">diabetes with complications </w:t>
      </w:r>
      <w:r w:rsidRPr="00155847">
        <w:rPr>
          <w:lang w:val="en-US"/>
        </w:rPr>
        <w:t>in the 365 days prior to admission date</w:t>
      </w:r>
    </w:p>
    <w:p w14:paraId="4E321B51" w14:textId="027C4CB3" w:rsidR="00125419" w:rsidRDefault="00125419" w:rsidP="00125419">
      <w:pPr>
        <w:pStyle w:val="ListParagraph"/>
        <w:numPr>
          <w:ilvl w:val="1"/>
          <w:numId w:val="4"/>
        </w:numPr>
        <w:jc w:val="both"/>
        <w:rPr>
          <w:lang w:val="en-US"/>
        </w:rPr>
      </w:pPr>
      <w:r>
        <w:rPr>
          <w:lang w:val="en-US"/>
        </w:rPr>
        <w:t xml:space="preserve">Number of hospitalizations </w:t>
      </w:r>
      <w:r w:rsidRPr="00155847">
        <w:rPr>
          <w:lang w:val="en-US"/>
        </w:rPr>
        <w:t xml:space="preserve">with a history of </w:t>
      </w:r>
      <w:r w:rsidRPr="00125419">
        <w:rPr>
          <w:lang w:val="en-US"/>
        </w:rPr>
        <w:t>hemiplegia or paraplegia</w:t>
      </w:r>
      <w:r>
        <w:rPr>
          <w:lang w:val="en-US"/>
        </w:rPr>
        <w:t xml:space="preserve"> </w:t>
      </w:r>
      <w:r w:rsidRPr="00155847">
        <w:rPr>
          <w:lang w:val="en-US"/>
        </w:rPr>
        <w:t>in the 365 days prior to admission date</w:t>
      </w:r>
    </w:p>
    <w:p w14:paraId="61E838DA" w14:textId="11BD6E29" w:rsidR="00125419" w:rsidRDefault="00125419" w:rsidP="00125419">
      <w:pPr>
        <w:pStyle w:val="ListParagraph"/>
        <w:numPr>
          <w:ilvl w:val="1"/>
          <w:numId w:val="4"/>
        </w:numPr>
        <w:jc w:val="both"/>
        <w:rPr>
          <w:lang w:val="en-US"/>
        </w:rPr>
      </w:pPr>
      <w:r>
        <w:rPr>
          <w:lang w:val="en-US"/>
        </w:rPr>
        <w:t xml:space="preserve">Number of hospitalizations </w:t>
      </w:r>
      <w:r w:rsidRPr="00155847">
        <w:rPr>
          <w:lang w:val="en-US"/>
        </w:rPr>
        <w:t xml:space="preserve">with a history of </w:t>
      </w:r>
      <w:r w:rsidRPr="00125419">
        <w:rPr>
          <w:lang w:val="en-US"/>
        </w:rPr>
        <w:t>renal disease</w:t>
      </w:r>
      <w:r>
        <w:rPr>
          <w:lang w:val="en-US"/>
        </w:rPr>
        <w:t xml:space="preserve"> </w:t>
      </w:r>
      <w:r w:rsidRPr="00155847">
        <w:rPr>
          <w:lang w:val="en-US"/>
        </w:rPr>
        <w:t>in the 365 days prior to admission date</w:t>
      </w:r>
    </w:p>
    <w:p w14:paraId="4C0C494D" w14:textId="156BBFCC" w:rsidR="00125419" w:rsidRDefault="00125419" w:rsidP="00125419">
      <w:pPr>
        <w:pStyle w:val="ListParagraph"/>
        <w:numPr>
          <w:ilvl w:val="1"/>
          <w:numId w:val="4"/>
        </w:numPr>
        <w:jc w:val="both"/>
        <w:rPr>
          <w:lang w:val="en-US"/>
        </w:rPr>
      </w:pPr>
      <w:r>
        <w:rPr>
          <w:lang w:val="en-US"/>
        </w:rPr>
        <w:t xml:space="preserve">Number of hospitalizations </w:t>
      </w:r>
      <w:r w:rsidRPr="00155847">
        <w:rPr>
          <w:lang w:val="en-US"/>
        </w:rPr>
        <w:t xml:space="preserve">with a history </w:t>
      </w:r>
      <w:r w:rsidRPr="00125419">
        <w:rPr>
          <w:lang w:val="en-US"/>
        </w:rPr>
        <w:t xml:space="preserve">malignancy including leukemia </w:t>
      </w:r>
      <w:proofErr w:type="spellStart"/>
      <w:r w:rsidRPr="00125419">
        <w:rPr>
          <w:lang w:val="en-US"/>
        </w:rPr>
        <w:t>lymphona</w:t>
      </w:r>
      <w:proofErr w:type="spellEnd"/>
      <w:r w:rsidRPr="00125419">
        <w:rPr>
          <w:lang w:val="en-US"/>
        </w:rPr>
        <w:t xml:space="preserve"> </w:t>
      </w:r>
      <w:r w:rsidRPr="00155847">
        <w:rPr>
          <w:lang w:val="en-US"/>
        </w:rPr>
        <w:t>in the 365 days prior to admission date</w:t>
      </w:r>
    </w:p>
    <w:p w14:paraId="04D3C7EC" w14:textId="7F72B158" w:rsidR="00125419" w:rsidRDefault="00125419" w:rsidP="00125419">
      <w:pPr>
        <w:pStyle w:val="ListParagraph"/>
        <w:numPr>
          <w:ilvl w:val="1"/>
          <w:numId w:val="4"/>
        </w:numPr>
        <w:jc w:val="both"/>
        <w:rPr>
          <w:lang w:val="en-US"/>
        </w:rPr>
      </w:pPr>
      <w:r>
        <w:rPr>
          <w:lang w:val="en-US"/>
        </w:rPr>
        <w:t xml:space="preserve">Number of hospitalizations </w:t>
      </w:r>
      <w:r w:rsidRPr="00155847">
        <w:rPr>
          <w:lang w:val="en-US"/>
        </w:rPr>
        <w:t xml:space="preserve">with a history of </w:t>
      </w:r>
      <w:r w:rsidRPr="00125419">
        <w:rPr>
          <w:lang w:val="en-US"/>
        </w:rPr>
        <w:t xml:space="preserve">moderate severe liver disease </w:t>
      </w:r>
      <w:r w:rsidRPr="00155847">
        <w:rPr>
          <w:lang w:val="en-US"/>
        </w:rPr>
        <w:t>in the 365 days prior to admission date</w:t>
      </w:r>
    </w:p>
    <w:p w14:paraId="455B6088" w14:textId="206993E0" w:rsidR="00125419" w:rsidRDefault="00125419" w:rsidP="00125419">
      <w:pPr>
        <w:pStyle w:val="ListParagraph"/>
        <w:numPr>
          <w:ilvl w:val="1"/>
          <w:numId w:val="4"/>
        </w:numPr>
        <w:jc w:val="both"/>
        <w:rPr>
          <w:lang w:val="en-US"/>
        </w:rPr>
      </w:pPr>
      <w:r>
        <w:rPr>
          <w:lang w:val="en-US"/>
        </w:rPr>
        <w:t xml:space="preserve">Number of hospitalizations </w:t>
      </w:r>
      <w:r w:rsidRPr="00155847">
        <w:rPr>
          <w:lang w:val="en-US"/>
        </w:rPr>
        <w:t xml:space="preserve">with a history of </w:t>
      </w:r>
      <w:r w:rsidRPr="00125419">
        <w:rPr>
          <w:lang w:val="en-US"/>
        </w:rPr>
        <w:t xml:space="preserve">metastatic solid tumor cancer </w:t>
      </w:r>
      <w:r w:rsidRPr="00155847">
        <w:rPr>
          <w:lang w:val="en-US"/>
        </w:rPr>
        <w:t>in the 365 days prior to admission date</w:t>
      </w:r>
    </w:p>
    <w:p w14:paraId="08F61A57" w14:textId="4CE90C0E" w:rsidR="00125419" w:rsidRPr="00125419" w:rsidRDefault="00125419" w:rsidP="00125419">
      <w:pPr>
        <w:pStyle w:val="ListParagraph"/>
        <w:numPr>
          <w:ilvl w:val="1"/>
          <w:numId w:val="4"/>
        </w:numPr>
        <w:jc w:val="both"/>
        <w:rPr>
          <w:lang w:val="en-US"/>
        </w:rPr>
      </w:pPr>
      <w:r>
        <w:rPr>
          <w:lang w:val="en-US"/>
        </w:rPr>
        <w:t xml:space="preserve">Number of hospitalizations </w:t>
      </w:r>
      <w:r w:rsidRPr="00155847">
        <w:rPr>
          <w:lang w:val="en-US"/>
        </w:rPr>
        <w:t xml:space="preserve">with a history of </w:t>
      </w:r>
      <w:r>
        <w:rPr>
          <w:lang w:val="en-US"/>
        </w:rPr>
        <w:t>aids</w:t>
      </w:r>
      <w:r w:rsidRPr="00125419">
        <w:rPr>
          <w:lang w:val="en-US"/>
        </w:rPr>
        <w:t xml:space="preserve"> </w:t>
      </w:r>
      <w:r w:rsidRPr="00155847">
        <w:rPr>
          <w:lang w:val="en-US"/>
        </w:rPr>
        <w:t>in the 365 days prior to admission date</w:t>
      </w:r>
    </w:p>
    <w:p w14:paraId="609A3E44" w14:textId="209898D5" w:rsidR="00155847" w:rsidRDefault="00155847" w:rsidP="00155847">
      <w:pPr>
        <w:pStyle w:val="ListParagraph"/>
        <w:numPr>
          <w:ilvl w:val="1"/>
          <w:numId w:val="4"/>
        </w:numPr>
        <w:jc w:val="both"/>
        <w:rPr>
          <w:lang w:val="en-US"/>
        </w:rPr>
      </w:pPr>
      <w:r>
        <w:rPr>
          <w:lang w:val="en-US"/>
        </w:rPr>
        <w:t>Total number of admissions</w:t>
      </w:r>
    </w:p>
    <w:p w14:paraId="52D5C2CF" w14:textId="77777777" w:rsidR="006C0883" w:rsidRDefault="006C0883" w:rsidP="00543A86">
      <w:pPr>
        <w:jc w:val="both"/>
        <w:rPr>
          <w:lang w:val="en-US"/>
        </w:rPr>
      </w:pPr>
    </w:p>
    <w:p w14:paraId="68E9EDAF" w14:textId="7873384B" w:rsidR="00F14ABE" w:rsidRPr="0008279F" w:rsidRDefault="00F14ABE" w:rsidP="0008279F">
      <w:pPr>
        <w:pStyle w:val="Heading2"/>
      </w:pPr>
      <w:bookmarkStart w:id="34" w:name="_Toc169512175"/>
      <w:r w:rsidRPr="0008279F">
        <w:t>S</w:t>
      </w:r>
      <w:r w:rsidR="002337EF">
        <w:t>4</w:t>
      </w:r>
      <w:r w:rsidRPr="0008279F">
        <w:t>.2 Assumptions of the Generalized Estimating Equation approach</w:t>
      </w:r>
      <w:bookmarkEnd w:id="34"/>
      <w:r w:rsidRPr="0008279F">
        <w:t xml:space="preserve"> </w:t>
      </w:r>
    </w:p>
    <w:p w14:paraId="77CA10FC" w14:textId="47F48BE0" w:rsidR="00E737A2" w:rsidRPr="00CA466D" w:rsidRDefault="007F5A97" w:rsidP="00060328">
      <w:pPr>
        <w:keepNext/>
        <w:jc w:val="both"/>
        <w:rPr>
          <w:lang w:val="en-US"/>
        </w:rPr>
      </w:pPr>
      <w:r w:rsidRPr="00CA466D">
        <w:rPr>
          <w:lang w:val="en-US"/>
        </w:rPr>
        <w:t xml:space="preserve">We used an autoregressive correlation structure within a facility when deploying the GEE approach. This assumes an exponential decay. In Figure S2, we the autocorrelation for one example: </w:t>
      </w:r>
      <w:r w:rsidRPr="00CA466D">
        <w:rPr>
          <w:i/>
          <w:iCs/>
          <w:lang w:val="en-US"/>
        </w:rPr>
        <w:t>S. aureus</w:t>
      </w:r>
      <w:r w:rsidRPr="00CA466D">
        <w:rPr>
          <w:lang w:val="en-US"/>
        </w:rPr>
        <w:t xml:space="preserve"> hospital-associated infection incidence. We observed a decline in the </w:t>
      </w:r>
    </w:p>
    <w:p w14:paraId="38DA06EF" w14:textId="4B641EFC" w:rsidR="006C0883" w:rsidRPr="00CA466D" w:rsidRDefault="007F5A97" w:rsidP="00060328">
      <w:pPr>
        <w:keepNext/>
        <w:jc w:val="both"/>
        <w:rPr>
          <w:lang w:val="en-US"/>
        </w:rPr>
      </w:pPr>
      <w:r w:rsidRPr="00CA466D">
        <w:rPr>
          <w:lang w:val="en-US"/>
        </w:rPr>
        <w:t xml:space="preserve">autocorrelation over time confirming that an autoregressive correlation structure is suitable. </w:t>
      </w:r>
      <w:r w:rsidR="003959E8" w:rsidRPr="00CA466D">
        <w:rPr>
          <w:rFonts w:ascii="Calibri" w:eastAsia="Times New Roman" w:hAnsi="Calibri" w:cs="Calibri"/>
          <w:color w:val="3D85C6"/>
          <w:shd w:val="clear" w:color="auto" w:fill="FFFFFF"/>
          <w:lang w:eastAsia="en-GB"/>
        </w:rPr>
        <w:t>Additionally, we checked the estimated working correlation from the GEE model, which indicated a positive correlation</w:t>
      </w:r>
      <w:r w:rsidR="003959E8" w:rsidRPr="00CA466D">
        <w:rPr>
          <w:lang w:val="en-US"/>
        </w:rPr>
        <w:t xml:space="preserve"> (Table S3). </w:t>
      </w:r>
      <w:r w:rsidR="00C75FCD" w:rsidRPr="00CA466D">
        <w:rPr>
          <w:lang w:val="en-US"/>
        </w:rPr>
        <w:t xml:space="preserve">Given the large number of facilities and a </w:t>
      </w:r>
      <w:r w:rsidR="00C75FCD" w:rsidRPr="00CA466D">
        <w:rPr>
          <w:lang w:val="en-US"/>
        </w:rPr>
        <w:lastRenderedPageBreak/>
        <w:t xml:space="preserve">substantial number of data points for each facility, the GEE approach remains robust regardless of the working correlation structure chosen. Even if the selected structure deviates from the actual structure, the resulting estimates maintain statistical consistency. This robustness is even more apparent in our data setting where each facility has approximately the same number of observations and few missing data.  </w:t>
      </w:r>
    </w:p>
    <w:p w14:paraId="3D0D065F" w14:textId="1DBAEFF2" w:rsidR="006C0883" w:rsidRDefault="007F5A97" w:rsidP="007F5A97">
      <w:pPr>
        <w:keepNext/>
        <w:rPr>
          <w:lang w:val="en-US"/>
        </w:rPr>
      </w:pPr>
      <w:r>
        <w:rPr>
          <w:lang w:val="en-US"/>
        </w:rPr>
        <w:t xml:space="preserve">  </w:t>
      </w:r>
    </w:p>
    <w:p w14:paraId="0989E0EF" w14:textId="6A7875F9" w:rsidR="007F5A97" w:rsidRDefault="007F5A97" w:rsidP="00E737A2">
      <w:pPr>
        <w:keepNext/>
      </w:pPr>
      <w:r>
        <w:rPr>
          <w:noProof/>
          <w:lang w:val="en-US"/>
        </w:rPr>
        <w:drawing>
          <wp:inline distT="0" distB="0" distL="0" distR="0" wp14:anchorId="752FDB7E" wp14:editId="262A74EB">
            <wp:extent cx="5622202" cy="2811101"/>
            <wp:effectExtent l="0" t="0" r="4445" b="0"/>
            <wp:docPr id="1180549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49951" name="Picture 118054995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7553" cy="2818777"/>
                    </a:xfrm>
                    <a:prstGeom prst="rect">
                      <a:avLst/>
                    </a:prstGeom>
                  </pic:spPr>
                </pic:pic>
              </a:graphicData>
            </a:graphic>
          </wp:inline>
        </w:drawing>
      </w:r>
    </w:p>
    <w:p w14:paraId="6C68FBC0" w14:textId="47F48817" w:rsidR="00F14ABE" w:rsidRDefault="007F5A97" w:rsidP="000344B1">
      <w:pPr>
        <w:pStyle w:val="Caption"/>
      </w:pPr>
      <w:r w:rsidRPr="006C0883">
        <w:t>Figure S</w:t>
      </w:r>
      <w:r w:rsidRPr="006C0883">
        <w:fldChar w:fldCharType="begin"/>
      </w:r>
      <w:r w:rsidRPr="006C0883">
        <w:instrText xml:space="preserve"> SEQ Figure_S \* ARABIC </w:instrText>
      </w:r>
      <w:r w:rsidRPr="006C0883">
        <w:fldChar w:fldCharType="separate"/>
      </w:r>
      <w:r w:rsidR="00546FF0">
        <w:rPr>
          <w:noProof/>
        </w:rPr>
        <w:t>2</w:t>
      </w:r>
      <w:r w:rsidRPr="006C0883">
        <w:fldChar w:fldCharType="end"/>
      </w:r>
      <w:r w:rsidRPr="006C0883">
        <w:t xml:space="preserve">. Autocorrelation plot for </w:t>
      </w:r>
      <w:r w:rsidRPr="00C47E67">
        <w:rPr>
          <w:i/>
        </w:rPr>
        <w:t>Staphylococcus aureus</w:t>
      </w:r>
      <w:r w:rsidRPr="006C0883">
        <w:t xml:space="preserve"> hospital-associated infection incidence for a subset of facilities for 2007-2019.  </w:t>
      </w:r>
    </w:p>
    <w:p w14:paraId="659EA042" w14:textId="77777777" w:rsidR="00C47E67" w:rsidRDefault="00C47E67" w:rsidP="00C47E67"/>
    <w:p w14:paraId="04D70281" w14:textId="575A83BD" w:rsidR="007A08E1" w:rsidRDefault="007A08E1" w:rsidP="000344B1">
      <w:pPr>
        <w:pStyle w:val="Caption"/>
      </w:pPr>
      <w:r>
        <w:t>Table S</w:t>
      </w:r>
      <w:r>
        <w:fldChar w:fldCharType="begin"/>
      </w:r>
      <w:r>
        <w:instrText xml:space="preserve"> SEQ Table_S \* ARABIC </w:instrText>
      </w:r>
      <w:r>
        <w:fldChar w:fldCharType="separate"/>
      </w:r>
      <w:r w:rsidR="00EC4F6F">
        <w:rPr>
          <w:noProof/>
        </w:rPr>
        <w:t>5</w:t>
      </w:r>
      <w:r>
        <w:fldChar w:fldCharType="end"/>
      </w:r>
      <w:r>
        <w:t xml:space="preserve">. Estimated working correlation parameters from the autoregressive correlation structure in the generalized estimating equation analysis for </w:t>
      </w:r>
      <w:r w:rsidR="00CA466D">
        <w:t xml:space="preserve">infection incidence </w:t>
      </w:r>
      <w:r>
        <w:t xml:space="preserve">time trend analyses. </w:t>
      </w:r>
    </w:p>
    <w:tbl>
      <w:tblPr>
        <w:tblStyle w:val="TableGrid"/>
        <w:tblW w:w="0" w:type="auto"/>
        <w:tblInd w:w="3007" w:type="dxa"/>
        <w:tblLook w:val="04A0" w:firstRow="1" w:lastRow="0" w:firstColumn="1" w:lastColumn="0" w:noHBand="0" w:noVBand="1"/>
      </w:tblPr>
      <w:tblGrid>
        <w:gridCol w:w="1803"/>
        <w:gridCol w:w="2737"/>
      </w:tblGrid>
      <w:tr w:rsidR="007A08E1" w:rsidRPr="00507248" w14:paraId="529954EC" w14:textId="77777777" w:rsidTr="00507248">
        <w:tc>
          <w:tcPr>
            <w:tcW w:w="1803" w:type="dxa"/>
            <w:shd w:val="clear" w:color="auto" w:fill="D0CECE" w:themeFill="background2" w:themeFillShade="E6"/>
          </w:tcPr>
          <w:p w14:paraId="4787B2C1" w14:textId="77777777" w:rsidR="007A08E1" w:rsidRPr="00507248" w:rsidRDefault="007A08E1" w:rsidP="00400D57">
            <w:pPr>
              <w:jc w:val="center"/>
              <w:rPr>
                <w:b/>
                <w:bCs/>
                <w:sz w:val="21"/>
                <w:szCs w:val="21"/>
              </w:rPr>
            </w:pPr>
            <w:r w:rsidRPr="00507248">
              <w:rPr>
                <w:b/>
                <w:bCs/>
                <w:sz w:val="21"/>
                <w:szCs w:val="21"/>
              </w:rPr>
              <w:t>Organism</w:t>
            </w:r>
          </w:p>
        </w:tc>
        <w:tc>
          <w:tcPr>
            <w:tcW w:w="2737" w:type="dxa"/>
            <w:shd w:val="clear" w:color="auto" w:fill="D0CECE" w:themeFill="background2" w:themeFillShade="E6"/>
          </w:tcPr>
          <w:p w14:paraId="3BE1702D" w14:textId="77777777" w:rsidR="007A08E1" w:rsidRPr="00507248" w:rsidRDefault="007A08E1" w:rsidP="00400D57">
            <w:pPr>
              <w:jc w:val="center"/>
              <w:rPr>
                <w:b/>
                <w:bCs/>
                <w:sz w:val="21"/>
                <w:szCs w:val="21"/>
              </w:rPr>
            </w:pPr>
            <w:r w:rsidRPr="00507248">
              <w:rPr>
                <w:b/>
                <w:bCs/>
                <w:sz w:val="21"/>
                <w:szCs w:val="21"/>
              </w:rPr>
              <w:t>Estimated correlation parameter</w:t>
            </w:r>
          </w:p>
        </w:tc>
      </w:tr>
      <w:tr w:rsidR="007A08E1" w:rsidRPr="00507248" w14:paraId="23CE6703" w14:textId="77777777" w:rsidTr="00400D57">
        <w:tc>
          <w:tcPr>
            <w:tcW w:w="1803" w:type="dxa"/>
            <w:vAlign w:val="center"/>
          </w:tcPr>
          <w:p w14:paraId="5F5BD51F" w14:textId="77777777" w:rsidR="007A08E1" w:rsidRPr="00507248" w:rsidRDefault="007A08E1" w:rsidP="00400D57">
            <w:pPr>
              <w:rPr>
                <w:sz w:val="21"/>
                <w:szCs w:val="21"/>
              </w:rPr>
            </w:pPr>
            <w:r w:rsidRPr="00507248">
              <w:rPr>
                <w:rFonts w:ascii="Calibri" w:eastAsia="Times New Roman" w:hAnsi="Calibri" w:cs="Calibri"/>
                <w:i/>
                <w:iCs/>
                <w:color w:val="000000"/>
                <w:sz w:val="21"/>
                <w:szCs w:val="21"/>
                <w:lang w:eastAsia="en-GB"/>
              </w:rPr>
              <w:t>S. aureus</w:t>
            </w:r>
          </w:p>
        </w:tc>
        <w:tc>
          <w:tcPr>
            <w:tcW w:w="2737" w:type="dxa"/>
          </w:tcPr>
          <w:p w14:paraId="610BFBF9" w14:textId="77777777" w:rsidR="007A08E1" w:rsidRPr="00507248" w:rsidRDefault="007A08E1" w:rsidP="00400D57">
            <w:pPr>
              <w:jc w:val="center"/>
              <w:rPr>
                <w:sz w:val="21"/>
                <w:szCs w:val="21"/>
              </w:rPr>
            </w:pPr>
            <w:r w:rsidRPr="00507248">
              <w:rPr>
                <w:sz w:val="21"/>
                <w:szCs w:val="21"/>
              </w:rPr>
              <w:t>0.28</w:t>
            </w:r>
          </w:p>
        </w:tc>
      </w:tr>
      <w:tr w:rsidR="007A08E1" w:rsidRPr="00507248" w14:paraId="4429AF31" w14:textId="77777777" w:rsidTr="00400D57">
        <w:tc>
          <w:tcPr>
            <w:tcW w:w="1803" w:type="dxa"/>
            <w:vAlign w:val="center"/>
          </w:tcPr>
          <w:p w14:paraId="4052929D" w14:textId="77777777" w:rsidR="007A08E1" w:rsidRPr="00507248" w:rsidRDefault="007A08E1" w:rsidP="00400D57">
            <w:pPr>
              <w:rPr>
                <w:sz w:val="21"/>
                <w:szCs w:val="21"/>
              </w:rPr>
            </w:pPr>
            <w:r w:rsidRPr="00507248">
              <w:rPr>
                <w:rFonts w:ascii="Calibri" w:eastAsia="Times New Roman" w:hAnsi="Calibri" w:cs="Calibri"/>
                <w:i/>
                <w:iCs/>
                <w:color w:val="000000"/>
                <w:sz w:val="21"/>
                <w:szCs w:val="21"/>
                <w:lang w:eastAsia="en-GB"/>
              </w:rPr>
              <w:t>E. faecalis</w:t>
            </w:r>
          </w:p>
        </w:tc>
        <w:tc>
          <w:tcPr>
            <w:tcW w:w="2737" w:type="dxa"/>
          </w:tcPr>
          <w:p w14:paraId="3ACF778A" w14:textId="77777777" w:rsidR="007A08E1" w:rsidRPr="00507248" w:rsidRDefault="007A08E1" w:rsidP="00400D57">
            <w:pPr>
              <w:jc w:val="center"/>
              <w:rPr>
                <w:sz w:val="21"/>
                <w:szCs w:val="21"/>
              </w:rPr>
            </w:pPr>
            <w:r w:rsidRPr="00507248">
              <w:rPr>
                <w:sz w:val="21"/>
                <w:szCs w:val="21"/>
              </w:rPr>
              <w:t>0.27</w:t>
            </w:r>
          </w:p>
        </w:tc>
      </w:tr>
      <w:tr w:rsidR="007A08E1" w:rsidRPr="00507248" w14:paraId="43D8DCEF" w14:textId="77777777" w:rsidTr="00400D57">
        <w:tc>
          <w:tcPr>
            <w:tcW w:w="1803" w:type="dxa"/>
            <w:vAlign w:val="center"/>
          </w:tcPr>
          <w:p w14:paraId="0E32BE46" w14:textId="77777777" w:rsidR="007A08E1" w:rsidRPr="00507248" w:rsidRDefault="007A08E1" w:rsidP="00400D57">
            <w:pPr>
              <w:rPr>
                <w:sz w:val="21"/>
                <w:szCs w:val="21"/>
              </w:rPr>
            </w:pPr>
            <w:r w:rsidRPr="00507248">
              <w:rPr>
                <w:rFonts w:ascii="Calibri" w:eastAsia="Times New Roman" w:hAnsi="Calibri" w:cs="Calibri"/>
                <w:i/>
                <w:iCs/>
                <w:color w:val="000000"/>
                <w:sz w:val="21"/>
                <w:szCs w:val="21"/>
                <w:lang w:eastAsia="en-GB"/>
              </w:rPr>
              <w:t>E. faecium</w:t>
            </w:r>
          </w:p>
        </w:tc>
        <w:tc>
          <w:tcPr>
            <w:tcW w:w="2737" w:type="dxa"/>
          </w:tcPr>
          <w:p w14:paraId="4BBA443E" w14:textId="77777777" w:rsidR="007A08E1" w:rsidRPr="00507248" w:rsidRDefault="007A08E1" w:rsidP="00400D57">
            <w:pPr>
              <w:jc w:val="center"/>
              <w:rPr>
                <w:sz w:val="21"/>
                <w:szCs w:val="21"/>
              </w:rPr>
            </w:pPr>
            <w:r w:rsidRPr="00507248">
              <w:rPr>
                <w:sz w:val="21"/>
                <w:szCs w:val="21"/>
              </w:rPr>
              <w:t>0.785</w:t>
            </w:r>
          </w:p>
        </w:tc>
      </w:tr>
      <w:tr w:rsidR="007A08E1" w:rsidRPr="00507248" w14:paraId="0C4839F0" w14:textId="77777777" w:rsidTr="00400D57">
        <w:tc>
          <w:tcPr>
            <w:tcW w:w="1803" w:type="dxa"/>
            <w:vAlign w:val="center"/>
          </w:tcPr>
          <w:p w14:paraId="71A09191" w14:textId="77777777" w:rsidR="007A08E1" w:rsidRPr="00507248" w:rsidRDefault="007A08E1" w:rsidP="00400D57">
            <w:pPr>
              <w:rPr>
                <w:sz w:val="21"/>
                <w:szCs w:val="21"/>
              </w:rPr>
            </w:pPr>
            <w:r w:rsidRPr="00507248">
              <w:rPr>
                <w:rFonts w:ascii="Calibri" w:eastAsia="Times New Roman" w:hAnsi="Calibri" w:cs="Calibri"/>
                <w:i/>
                <w:iCs/>
                <w:color w:val="000000"/>
                <w:sz w:val="21"/>
                <w:szCs w:val="21"/>
                <w:lang w:eastAsia="en-GB"/>
              </w:rPr>
              <w:t>E. coli</w:t>
            </w:r>
          </w:p>
        </w:tc>
        <w:tc>
          <w:tcPr>
            <w:tcW w:w="2737" w:type="dxa"/>
          </w:tcPr>
          <w:p w14:paraId="37FD523A" w14:textId="77777777" w:rsidR="007A08E1" w:rsidRPr="00507248" w:rsidRDefault="007A08E1" w:rsidP="00400D57">
            <w:pPr>
              <w:jc w:val="center"/>
              <w:rPr>
                <w:sz w:val="21"/>
                <w:szCs w:val="21"/>
              </w:rPr>
            </w:pPr>
            <w:r w:rsidRPr="00507248">
              <w:rPr>
                <w:sz w:val="21"/>
                <w:szCs w:val="21"/>
              </w:rPr>
              <w:t>0.51</w:t>
            </w:r>
          </w:p>
        </w:tc>
      </w:tr>
      <w:tr w:rsidR="007A08E1" w:rsidRPr="00507248" w14:paraId="5AA72327" w14:textId="77777777" w:rsidTr="00400D57">
        <w:tc>
          <w:tcPr>
            <w:tcW w:w="1803" w:type="dxa"/>
            <w:vAlign w:val="center"/>
          </w:tcPr>
          <w:p w14:paraId="49E36EE0" w14:textId="77777777" w:rsidR="007A08E1" w:rsidRPr="00507248" w:rsidRDefault="007A08E1" w:rsidP="00400D57">
            <w:pPr>
              <w:rPr>
                <w:sz w:val="21"/>
                <w:szCs w:val="21"/>
              </w:rPr>
            </w:pPr>
            <w:r w:rsidRPr="00507248">
              <w:rPr>
                <w:rFonts w:ascii="Calibri" w:eastAsia="Times New Roman" w:hAnsi="Calibri" w:cs="Calibri"/>
                <w:i/>
                <w:iCs/>
                <w:color w:val="000000"/>
                <w:sz w:val="21"/>
                <w:szCs w:val="21"/>
                <w:lang w:eastAsia="en-GB"/>
              </w:rPr>
              <w:t>K. pneumoniae</w:t>
            </w:r>
          </w:p>
        </w:tc>
        <w:tc>
          <w:tcPr>
            <w:tcW w:w="2737" w:type="dxa"/>
          </w:tcPr>
          <w:p w14:paraId="3521542D" w14:textId="77777777" w:rsidR="007A08E1" w:rsidRPr="00507248" w:rsidRDefault="007A08E1" w:rsidP="00400D57">
            <w:pPr>
              <w:jc w:val="center"/>
              <w:rPr>
                <w:sz w:val="21"/>
                <w:szCs w:val="21"/>
              </w:rPr>
            </w:pPr>
            <w:r w:rsidRPr="00507248">
              <w:rPr>
                <w:sz w:val="21"/>
                <w:szCs w:val="21"/>
              </w:rPr>
              <w:t>0.33</w:t>
            </w:r>
          </w:p>
        </w:tc>
      </w:tr>
      <w:tr w:rsidR="007A08E1" w:rsidRPr="00507248" w14:paraId="57BF6B65" w14:textId="77777777" w:rsidTr="00400D57">
        <w:tc>
          <w:tcPr>
            <w:tcW w:w="1803" w:type="dxa"/>
            <w:vAlign w:val="center"/>
          </w:tcPr>
          <w:p w14:paraId="58FC8315" w14:textId="77777777" w:rsidR="007A08E1" w:rsidRPr="00507248" w:rsidRDefault="007A08E1" w:rsidP="00400D57">
            <w:pPr>
              <w:rPr>
                <w:sz w:val="21"/>
                <w:szCs w:val="21"/>
              </w:rPr>
            </w:pPr>
            <w:r w:rsidRPr="00507248">
              <w:rPr>
                <w:rFonts w:ascii="Calibri" w:eastAsia="Times New Roman" w:hAnsi="Calibri" w:cs="Calibri"/>
                <w:i/>
                <w:iCs/>
                <w:color w:val="000000"/>
                <w:sz w:val="21"/>
                <w:szCs w:val="21"/>
                <w:lang w:eastAsia="en-GB"/>
              </w:rPr>
              <w:t>E. cloacae</w:t>
            </w:r>
          </w:p>
        </w:tc>
        <w:tc>
          <w:tcPr>
            <w:tcW w:w="2737" w:type="dxa"/>
          </w:tcPr>
          <w:p w14:paraId="6A3D9664" w14:textId="77777777" w:rsidR="007A08E1" w:rsidRPr="00507248" w:rsidRDefault="007A08E1" w:rsidP="00400D57">
            <w:pPr>
              <w:jc w:val="center"/>
              <w:rPr>
                <w:sz w:val="21"/>
                <w:szCs w:val="21"/>
              </w:rPr>
            </w:pPr>
            <w:r w:rsidRPr="00507248">
              <w:rPr>
                <w:sz w:val="21"/>
                <w:szCs w:val="21"/>
              </w:rPr>
              <w:t>0.35</w:t>
            </w:r>
          </w:p>
        </w:tc>
      </w:tr>
      <w:tr w:rsidR="007A08E1" w:rsidRPr="00507248" w14:paraId="6885974C" w14:textId="77777777" w:rsidTr="00400D57">
        <w:tc>
          <w:tcPr>
            <w:tcW w:w="1803" w:type="dxa"/>
            <w:vAlign w:val="center"/>
          </w:tcPr>
          <w:p w14:paraId="6587DF33" w14:textId="77777777" w:rsidR="007A08E1" w:rsidRPr="00507248" w:rsidRDefault="007A08E1" w:rsidP="00400D57">
            <w:pPr>
              <w:rPr>
                <w:rFonts w:ascii="Calibri" w:eastAsia="Times New Roman" w:hAnsi="Calibri" w:cs="Calibri"/>
                <w:i/>
                <w:iCs/>
                <w:color w:val="000000"/>
                <w:sz w:val="21"/>
                <w:szCs w:val="21"/>
                <w:lang w:eastAsia="en-GB"/>
              </w:rPr>
            </w:pPr>
            <w:r w:rsidRPr="00507248">
              <w:rPr>
                <w:rFonts w:ascii="Calibri" w:eastAsia="Times New Roman" w:hAnsi="Calibri" w:cs="Calibri"/>
                <w:i/>
                <w:iCs/>
                <w:color w:val="000000"/>
                <w:sz w:val="21"/>
                <w:szCs w:val="21"/>
                <w:lang w:eastAsia="en-GB"/>
              </w:rPr>
              <w:t>S. marcescens</w:t>
            </w:r>
          </w:p>
        </w:tc>
        <w:tc>
          <w:tcPr>
            <w:tcW w:w="2737" w:type="dxa"/>
          </w:tcPr>
          <w:p w14:paraId="288A9BBE" w14:textId="77777777" w:rsidR="007A08E1" w:rsidRPr="00507248" w:rsidRDefault="007A08E1" w:rsidP="00400D57">
            <w:pPr>
              <w:jc w:val="center"/>
              <w:rPr>
                <w:sz w:val="21"/>
                <w:szCs w:val="21"/>
              </w:rPr>
            </w:pPr>
            <w:r w:rsidRPr="00507248">
              <w:rPr>
                <w:sz w:val="21"/>
                <w:szCs w:val="21"/>
              </w:rPr>
              <w:t>0.37</w:t>
            </w:r>
          </w:p>
        </w:tc>
      </w:tr>
      <w:tr w:rsidR="007A08E1" w:rsidRPr="00507248" w14:paraId="3B5CE054" w14:textId="77777777" w:rsidTr="00400D57">
        <w:tc>
          <w:tcPr>
            <w:tcW w:w="1803" w:type="dxa"/>
            <w:vAlign w:val="center"/>
          </w:tcPr>
          <w:p w14:paraId="680A1F31" w14:textId="77777777" w:rsidR="007A08E1" w:rsidRPr="00507248" w:rsidRDefault="007A08E1" w:rsidP="00400D57">
            <w:pPr>
              <w:rPr>
                <w:rFonts w:ascii="Calibri" w:eastAsia="Times New Roman" w:hAnsi="Calibri" w:cs="Calibri"/>
                <w:i/>
                <w:iCs/>
                <w:color w:val="000000"/>
                <w:sz w:val="21"/>
                <w:szCs w:val="21"/>
                <w:lang w:eastAsia="en-GB"/>
              </w:rPr>
            </w:pPr>
            <w:r w:rsidRPr="00507248">
              <w:rPr>
                <w:rFonts w:ascii="Calibri" w:eastAsia="Times New Roman" w:hAnsi="Calibri" w:cs="Calibri"/>
                <w:i/>
                <w:iCs/>
                <w:color w:val="000000"/>
                <w:sz w:val="21"/>
                <w:szCs w:val="21"/>
                <w:lang w:eastAsia="en-GB"/>
              </w:rPr>
              <w:t>P. aeruginosa</w:t>
            </w:r>
          </w:p>
        </w:tc>
        <w:tc>
          <w:tcPr>
            <w:tcW w:w="2737" w:type="dxa"/>
          </w:tcPr>
          <w:p w14:paraId="675B79CF" w14:textId="77777777" w:rsidR="007A08E1" w:rsidRPr="00507248" w:rsidRDefault="007A08E1" w:rsidP="00400D57">
            <w:pPr>
              <w:jc w:val="center"/>
              <w:rPr>
                <w:sz w:val="21"/>
                <w:szCs w:val="21"/>
              </w:rPr>
            </w:pPr>
            <w:r w:rsidRPr="00507248">
              <w:rPr>
                <w:sz w:val="21"/>
                <w:szCs w:val="21"/>
              </w:rPr>
              <w:t>0.2</w:t>
            </w:r>
          </w:p>
        </w:tc>
      </w:tr>
      <w:tr w:rsidR="007A08E1" w:rsidRPr="00507248" w14:paraId="5DC6911F" w14:textId="77777777" w:rsidTr="00400D57">
        <w:tc>
          <w:tcPr>
            <w:tcW w:w="1803" w:type="dxa"/>
            <w:vAlign w:val="center"/>
          </w:tcPr>
          <w:p w14:paraId="7516C018" w14:textId="77777777" w:rsidR="007A08E1" w:rsidRPr="00507248" w:rsidRDefault="007A08E1" w:rsidP="00400D57">
            <w:pPr>
              <w:rPr>
                <w:rFonts w:ascii="Calibri" w:eastAsia="Times New Roman" w:hAnsi="Calibri" w:cs="Calibri"/>
                <w:i/>
                <w:iCs/>
                <w:color w:val="000000"/>
                <w:sz w:val="21"/>
                <w:szCs w:val="21"/>
                <w:lang w:eastAsia="en-GB"/>
              </w:rPr>
            </w:pPr>
            <w:r w:rsidRPr="00507248">
              <w:rPr>
                <w:rFonts w:ascii="Calibri" w:eastAsia="Times New Roman" w:hAnsi="Calibri" w:cs="Calibri"/>
                <w:i/>
                <w:iCs/>
                <w:color w:val="000000"/>
                <w:sz w:val="21"/>
                <w:szCs w:val="21"/>
                <w:lang w:eastAsia="en-GB"/>
              </w:rPr>
              <w:t>Acinetobacter sp.</w:t>
            </w:r>
          </w:p>
        </w:tc>
        <w:tc>
          <w:tcPr>
            <w:tcW w:w="2737" w:type="dxa"/>
          </w:tcPr>
          <w:p w14:paraId="04D440CC" w14:textId="77777777" w:rsidR="007A08E1" w:rsidRPr="00507248" w:rsidRDefault="007A08E1" w:rsidP="00400D57">
            <w:pPr>
              <w:jc w:val="center"/>
              <w:rPr>
                <w:sz w:val="21"/>
                <w:szCs w:val="21"/>
              </w:rPr>
            </w:pPr>
            <w:r w:rsidRPr="00507248">
              <w:rPr>
                <w:sz w:val="21"/>
                <w:szCs w:val="21"/>
              </w:rPr>
              <w:t>0.41</w:t>
            </w:r>
          </w:p>
        </w:tc>
      </w:tr>
    </w:tbl>
    <w:p w14:paraId="223D693C" w14:textId="7AA7059C" w:rsidR="00543A86" w:rsidRPr="00543A86" w:rsidRDefault="00543A86" w:rsidP="00543A86">
      <w:pPr>
        <w:pStyle w:val="Heading2"/>
        <w:rPr>
          <w:lang w:val="en-US"/>
        </w:rPr>
      </w:pPr>
      <w:bookmarkStart w:id="35" w:name="_Toc169512176"/>
      <w:r>
        <w:rPr>
          <w:lang w:val="en-US"/>
        </w:rPr>
        <w:t>S</w:t>
      </w:r>
      <w:r w:rsidR="00B31A80">
        <w:rPr>
          <w:lang w:val="en-US"/>
        </w:rPr>
        <w:t>4</w:t>
      </w:r>
      <w:r w:rsidR="00F14ABE">
        <w:rPr>
          <w:lang w:val="en-US"/>
        </w:rPr>
        <w:t>.3</w:t>
      </w:r>
      <w:r>
        <w:rPr>
          <w:lang w:val="en-US"/>
        </w:rPr>
        <w:t xml:space="preserve"> Relative contribution</w:t>
      </w:r>
      <w:r w:rsidR="009A5597">
        <w:rPr>
          <w:lang w:val="en-US"/>
        </w:rPr>
        <w:t xml:space="preserve"> in time trend analyses</w:t>
      </w:r>
      <w:bookmarkEnd w:id="35"/>
      <w:r>
        <w:rPr>
          <w:lang w:val="en-US"/>
        </w:rPr>
        <w:t xml:space="preserve"> </w:t>
      </w:r>
    </w:p>
    <w:p w14:paraId="30971CE2" w14:textId="657BD8DC" w:rsidR="00155847" w:rsidRDefault="00EC5B2E" w:rsidP="00783B4C">
      <w:pPr>
        <w:jc w:val="both"/>
        <w:rPr>
          <w:lang w:val="en-US"/>
        </w:rPr>
      </w:pPr>
      <w:r>
        <w:rPr>
          <w:lang w:val="en-US"/>
        </w:rPr>
        <w:t>We computed the relative contribution of the time trend of community-onset</w:t>
      </w:r>
      <w:r w:rsidR="005A5170">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COI</m:t>
            </m:r>
          </m:sub>
        </m:sSub>
      </m:oMath>
      <w:r w:rsidR="005A5170">
        <w:rPr>
          <w:lang w:val="en-US"/>
        </w:rPr>
        <w:t>)</w:t>
      </w:r>
      <w:r>
        <w:rPr>
          <w:lang w:val="en-US"/>
        </w:rPr>
        <w:t xml:space="preserve"> and hospital-associated infections</w:t>
      </w:r>
      <w:r w:rsidR="005A5170">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HAI</m:t>
            </m:r>
          </m:sub>
        </m:sSub>
      </m:oMath>
      <w:r w:rsidR="005A5170">
        <w:rPr>
          <w:lang w:val="en-US"/>
        </w:rPr>
        <w:t>)</w:t>
      </w:r>
      <w:r>
        <w:rPr>
          <w:lang w:val="en-US"/>
        </w:rPr>
        <w:t xml:space="preserve"> to the overall trend based on the </w:t>
      </w:r>
      <w:r w:rsidR="00F86201">
        <w:rPr>
          <w:lang w:val="en-US"/>
        </w:rPr>
        <w:t>estimated</w:t>
      </w:r>
      <w:r>
        <w:rPr>
          <w:lang w:val="en-US"/>
        </w:rPr>
        <w:t xml:space="preserve"> time trend coefficients</w:t>
      </w:r>
      <w:r w:rsidR="009A5597">
        <w:rPr>
          <w:lang w:val="en-US"/>
        </w:rPr>
        <w:t xml:space="preserve"> using the following </w:t>
      </w:r>
      <w:r w:rsidR="005A5170">
        <w:rPr>
          <w:lang w:val="en-US"/>
        </w:rPr>
        <w:t>formula</w:t>
      </w:r>
      <w:r w:rsidR="00046FD4">
        <w:rPr>
          <w:lang w:val="en-US"/>
        </w:rPr>
        <w:t>:</w:t>
      </w:r>
    </w:p>
    <w:p w14:paraId="7B5713F7" w14:textId="21ECAC54" w:rsidR="009A5597" w:rsidRPr="00055F78" w:rsidRDefault="00000000" w:rsidP="00783B4C">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COI</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time</m:t>
                  </m:r>
                </m:sub>
              </m:sSub>
            </m:num>
            <m:den>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overall</m:t>
                  </m:r>
                </m:sub>
              </m:sSub>
            </m:den>
          </m:f>
        </m:oMath>
      </m:oMathPara>
    </w:p>
    <w:p w14:paraId="33C9473F" w14:textId="02F33CC2" w:rsidR="00055F78" w:rsidRDefault="00000000" w:rsidP="00055F78">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HAI</m:t>
              </m:r>
            </m:sub>
          </m:sSub>
          <m:r>
            <w:rPr>
              <w:rFonts w:ascii="Cambria Math" w:hAnsi="Cambria Math"/>
              <w:lang w:val="en-US"/>
            </w:rPr>
            <m:t>= 1-</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COI</m:t>
              </m:r>
            </m:sub>
          </m:sSub>
        </m:oMath>
      </m:oMathPara>
    </w:p>
    <w:p w14:paraId="4B2A609D" w14:textId="018D7B4F" w:rsidR="00055F78" w:rsidRDefault="00055F78" w:rsidP="00783B4C">
      <w:pPr>
        <w:jc w:val="both"/>
        <w:rPr>
          <w:rFonts w:eastAsiaTheme="minorEastAsia"/>
          <w:lang w:val="en-US"/>
        </w:rPr>
      </w:pPr>
      <w:r>
        <w:rPr>
          <w:lang w:val="en-US"/>
        </w:rPr>
        <w:t>where</w:t>
      </w:r>
      <w:r w:rsidR="00CF2864">
        <w:rPr>
          <w:lang w:val="en-US"/>
        </w:rPr>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overall</m:t>
            </m:r>
          </m:sub>
        </m:sSub>
      </m:oMath>
      <w:r w:rsidR="00CF2864">
        <w:rPr>
          <w:rFonts w:eastAsiaTheme="minorEastAsia"/>
          <w:lang w:val="en-US"/>
        </w:rPr>
        <w:t xml:space="preserve"> is the overall time trend coefficient estimated by </w:t>
      </w:r>
      <w:r w:rsidR="00525FE8">
        <w:rPr>
          <w:rFonts w:eastAsiaTheme="minorEastAsia"/>
          <w:lang w:val="en-US"/>
        </w:rPr>
        <w:t xml:space="preserve">the </w:t>
      </w:r>
      <w:r w:rsidR="00CF2864">
        <w:rPr>
          <w:rFonts w:eastAsiaTheme="minorEastAsia"/>
          <w:lang w:val="en-US"/>
        </w:rPr>
        <w:t>marginalized means</w:t>
      </w:r>
      <w:r w:rsidR="00525FE8">
        <w:rPr>
          <w:rFonts w:eastAsiaTheme="minorEastAsia"/>
          <w:lang w:val="en-US"/>
        </w:rPr>
        <w:t xml:space="preserve"> method</w:t>
      </w:r>
      <w:r w:rsidR="00CF2864">
        <w:rPr>
          <w:rFonts w:eastAsiaTheme="minorEastAsia"/>
          <w:lang w:val="en-US"/>
        </w:rPr>
        <w:t xml:space="preserve">, </w:t>
      </w:r>
      <w:r w:rsidR="00046FD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time</m:t>
            </m:r>
          </m:sub>
        </m:sSub>
      </m:oMath>
      <w:r w:rsidR="00CF2864">
        <w:rPr>
          <w:rFonts w:eastAsiaTheme="minorEastAsia"/>
          <w:lang w:val="en-US"/>
        </w:rPr>
        <w:t xml:space="preserve"> is the estimated time trend coefficient with respect to the reference category (in this case: community-onset)</w:t>
      </w:r>
      <w:r w:rsidR="00DD1365">
        <w:rPr>
          <w:rFonts w:eastAsiaTheme="minorEastAsia"/>
          <w:lang w:val="en-US"/>
        </w:rPr>
        <w:t xml:space="preserve">. </w:t>
      </w:r>
      <w:r w:rsidR="00CF2864">
        <w:rPr>
          <w:rFonts w:eastAsiaTheme="minorEastAsia"/>
          <w:lang w:val="en-US"/>
        </w:rPr>
        <w:t xml:space="preserve"> </w:t>
      </w:r>
    </w:p>
    <w:p w14:paraId="3B05CD0F" w14:textId="77777777" w:rsidR="000F04D0" w:rsidRDefault="000F04D0">
      <w:pPr>
        <w:rPr>
          <w:rFonts w:asciiTheme="majorHAnsi" w:eastAsiaTheme="majorEastAsia" w:hAnsiTheme="majorHAnsi" w:cstheme="majorBidi"/>
          <w:color w:val="2F5496" w:themeColor="accent1" w:themeShade="BF"/>
          <w:sz w:val="32"/>
          <w:szCs w:val="32"/>
          <w:lang w:val="en-US"/>
        </w:rPr>
      </w:pPr>
      <w:r>
        <w:rPr>
          <w:lang w:val="en-US"/>
        </w:rPr>
        <w:br w:type="page"/>
      </w:r>
    </w:p>
    <w:p w14:paraId="709FAE98" w14:textId="12E2BA33" w:rsidR="00D83908" w:rsidRPr="00125419" w:rsidRDefault="00D83908" w:rsidP="00D83908">
      <w:pPr>
        <w:pStyle w:val="Heading1"/>
        <w:rPr>
          <w:lang w:val="en-US"/>
        </w:rPr>
      </w:pPr>
      <w:bookmarkStart w:id="36" w:name="_Toc169512177"/>
      <w:r w:rsidRPr="00125419">
        <w:rPr>
          <w:lang w:val="en-US"/>
        </w:rPr>
        <w:lastRenderedPageBreak/>
        <w:t>S</w:t>
      </w:r>
      <w:r w:rsidR="002337EF">
        <w:rPr>
          <w:lang w:val="en-US"/>
        </w:rPr>
        <w:t>5</w:t>
      </w:r>
      <w:r w:rsidRPr="00125419">
        <w:rPr>
          <w:lang w:val="en-US"/>
        </w:rPr>
        <w:t xml:space="preserve"> Supplementary results</w:t>
      </w:r>
      <w:bookmarkEnd w:id="36"/>
      <w:r w:rsidRPr="00125419">
        <w:rPr>
          <w:lang w:val="en-US"/>
        </w:rPr>
        <w:t xml:space="preserve"> </w:t>
      </w:r>
    </w:p>
    <w:p w14:paraId="7D3A2F16" w14:textId="722A8B27" w:rsidR="00E737A2" w:rsidRPr="00E737A2" w:rsidRDefault="00D83908" w:rsidP="00E737A2">
      <w:pPr>
        <w:pStyle w:val="Heading2"/>
        <w:rPr>
          <w:lang w:val="en-US"/>
        </w:rPr>
      </w:pPr>
      <w:bookmarkStart w:id="37" w:name="_Toc169512178"/>
      <w:r w:rsidRPr="00125419">
        <w:rPr>
          <w:lang w:val="en-US"/>
        </w:rPr>
        <w:t>S</w:t>
      </w:r>
      <w:r w:rsidR="002337EF">
        <w:rPr>
          <w:lang w:val="en-US"/>
        </w:rPr>
        <w:t>5</w:t>
      </w:r>
      <w:r w:rsidRPr="00125419">
        <w:rPr>
          <w:lang w:val="en-US"/>
        </w:rPr>
        <w:t>.1 Temporal trends in infection incidence</w:t>
      </w:r>
      <w:r w:rsidR="00F35FDD">
        <w:rPr>
          <w:lang w:val="en-US"/>
        </w:rPr>
        <w:t xml:space="preserve"> for each pathogen</w:t>
      </w:r>
      <w:bookmarkEnd w:id="37"/>
    </w:p>
    <w:p w14:paraId="65AA95F3" w14:textId="77777777" w:rsidR="00D83908" w:rsidRDefault="00D83908" w:rsidP="00D83908">
      <w:pPr>
        <w:keepNext/>
        <w:jc w:val="both"/>
      </w:pPr>
      <w:r w:rsidRPr="00125419">
        <w:rPr>
          <w:b/>
          <w:bCs/>
          <w:noProof/>
          <w:lang w:val="en-US"/>
        </w:rPr>
        <w:drawing>
          <wp:inline distT="0" distB="0" distL="0" distR="0" wp14:anchorId="3B2226A8" wp14:editId="2831CAFB">
            <wp:extent cx="5731510" cy="3223895"/>
            <wp:effectExtent l="0" t="0" r="0" b="1905"/>
            <wp:docPr id="5" name="Content Placeholder 4">
              <a:extLst xmlns:a="http://schemas.openxmlformats.org/drawingml/2006/main">
                <a:ext uri="{FF2B5EF4-FFF2-40B4-BE49-F238E27FC236}">
                  <a16:creationId xmlns:a16="http://schemas.microsoft.com/office/drawing/2014/main" id="{197E6C7A-2E14-AA89-AC94-0BAB915C06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97E6C7A-2E14-AA89-AC94-0BAB915C06DF}"/>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B51EA6" w14:textId="28C5ECF2" w:rsidR="00E737A2" w:rsidRPr="008C6CA1" w:rsidRDefault="00D83908" w:rsidP="008C6CA1">
      <w:pPr>
        <w:jc w:val="both"/>
        <w:rPr>
          <w:bCs/>
          <w:i/>
          <w:sz w:val="18"/>
          <w:szCs w:val="18"/>
          <w:lang w:val="en-US"/>
        </w:rPr>
      </w:pPr>
      <w:r w:rsidRPr="008C6CA1">
        <w:rPr>
          <w:b/>
          <w:bCs/>
          <w:sz w:val="18"/>
          <w:szCs w:val="18"/>
        </w:rPr>
        <w:t>Figure S</w:t>
      </w:r>
      <w:r w:rsidRPr="008C6CA1">
        <w:rPr>
          <w:b/>
          <w:bCs/>
          <w:sz w:val="18"/>
          <w:szCs w:val="18"/>
        </w:rPr>
        <w:fldChar w:fldCharType="begin"/>
      </w:r>
      <w:r w:rsidRPr="008C6CA1">
        <w:rPr>
          <w:b/>
          <w:bCs/>
          <w:sz w:val="18"/>
          <w:szCs w:val="18"/>
        </w:rPr>
        <w:instrText xml:space="preserve"> SEQ Figure_S \* ARABIC </w:instrText>
      </w:r>
      <w:r w:rsidRPr="008C6CA1">
        <w:rPr>
          <w:b/>
          <w:bCs/>
          <w:sz w:val="18"/>
          <w:szCs w:val="18"/>
        </w:rPr>
        <w:fldChar w:fldCharType="separate"/>
      </w:r>
      <w:r w:rsidR="00546FF0" w:rsidRPr="008C6CA1">
        <w:rPr>
          <w:b/>
          <w:bCs/>
          <w:noProof/>
          <w:sz w:val="18"/>
          <w:szCs w:val="18"/>
        </w:rPr>
        <w:t>3</w:t>
      </w:r>
      <w:r w:rsidRPr="008C6CA1">
        <w:rPr>
          <w:b/>
          <w:bCs/>
          <w:noProof/>
          <w:sz w:val="18"/>
          <w:szCs w:val="18"/>
        </w:rPr>
        <w:fldChar w:fldCharType="end"/>
      </w:r>
      <w:r w:rsidRPr="008C6CA1">
        <w:rPr>
          <w:b/>
          <w:bCs/>
          <w:sz w:val="18"/>
          <w:szCs w:val="18"/>
        </w:rPr>
        <w:t>.</w:t>
      </w:r>
      <w:r w:rsidRPr="008C6CA1">
        <w:rPr>
          <w:b/>
          <w:bCs/>
          <w:sz w:val="18"/>
          <w:szCs w:val="18"/>
          <w:lang w:val="en-US"/>
        </w:rPr>
        <w:t xml:space="preserve"> Infection incidence trends for nine organisms from February 2007 till March 2022. Points represent the number of 30-day incident isolates per quarter. </w:t>
      </w:r>
      <w:r w:rsidRPr="008C6CA1">
        <w:rPr>
          <w:bCs/>
          <w:sz w:val="18"/>
          <w:szCs w:val="18"/>
          <w:lang w:val="en-US"/>
        </w:rPr>
        <w:t xml:space="preserve">Lines and grey bands are smoothing curves using the </w:t>
      </w:r>
      <w:r w:rsidR="00FD6D3B" w:rsidRPr="008C6CA1">
        <w:rPr>
          <w:bCs/>
          <w:i/>
          <w:sz w:val="18"/>
          <w:szCs w:val="18"/>
          <w:lang w:val="en-US"/>
        </w:rPr>
        <w:t xml:space="preserve">locally estimated scatterplot </w:t>
      </w:r>
    </w:p>
    <w:p w14:paraId="5C477FB7" w14:textId="04724670" w:rsidR="00D83908" w:rsidRPr="008C6CA1" w:rsidRDefault="00FD6D3B" w:rsidP="008C6CA1">
      <w:pPr>
        <w:jc w:val="both"/>
        <w:rPr>
          <w:sz w:val="18"/>
          <w:szCs w:val="18"/>
          <w:lang w:val="en-US"/>
        </w:rPr>
      </w:pPr>
      <w:r w:rsidRPr="008C6CA1">
        <w:rPr>
          <w:i/>
          <w:sz w:val="18"/>
          <w:szCs w:val="18"/>
          <w:lang w:val="en-US"/>
        </w:rPr>
        <w:t>smoothing (loess)</w:t>
      </w:r>
      <w:r w:rsidR="00D83908" w:rsidRPr="008C6CA1">
        <w:rPr>
          <w:sz w:val="18"/>
          <w:szCs w:val="18"/>
          <w:lang w:val="en-US"/>
        </w:rPr>
        <w:t xml:space="preserve"> method and corresponding 95% confidence intervals. Dashed vertical lines indicate the start of the COVID-19 pandemic. </w:t>
      </w:r>
    </w:p>
    <w:p w14:paraId="75B9D0BE" w14:textId="77777777" w:rsidR="00E737A2" w:rsidRPr="00E737A2" w:rsidRDefault="00E737A2" w:rsidP="00E737A2">
      <w:pPr>
        <w:rPr>
          <w:lang w:val="en-US"/>
        </w:rPr>
      </w:pPr>
    </w:p>
    <w:p w14:paraId="3DFB73A9" w14:textId="78287EF1" w:rsidR="00D83908" w:rsidRDefault="00D83908" w:rsidP="00D83908">
      <w:pPr>
        <w:pStyle w:val="Heading2"/>
        <w:rPr>
          <w:lang w:val="en-US"/>
        </w:rPr>
      </w:pPr>
      <w:bookmarkStart w:id="38" w:name="_Toc169512179"/>
      <w:r w:rsidRPr="00125419">
        <w:rPr>
          <w:lang w:val="en-US"/>
        </w:rPr>
        <w:t>S</w:t>
      </w:r>
      <w:r w:rsidR="002337EF">
        <w:rPr>
          <w:lang w:val="en-US"/>
        </w:rPr>
        <w:t>5</w:t>
      </w:r>
      <w:r w:rsidRPr="00125419">
        <w:rPr>
          <w:lang w:val="en-US"/>
        </w:rPr>
        <w:t>.2 Infection incidence stratified by source of infection</w:t>
      </w:r>
      <w:r w:rsidR="00F35FDD">
        <w:rPr>
          <w:lang w:val="en-US"/>
        </w:rPr>
        <w:t xml:space="preserve"> and pathogen</w:t>
      </w:r>
      <w:bookmarkEnd w:id="38"/>
    </w:p>
    <w:p w14:paraId="6474575B" w14:textId="77777777" w:rsidR="00E737A2" w:rsidRPr="00E737A2" w:rsidRDefault="00E737A2" w:rsidP="00E737A2">
      <w:pPr>
        <w:rPr>
          <w:lang w:val="en-US"/>
        </w:rPr>
      </w:pPr>
    </w:p>
    <w:p w14:paraId="7290EE9C" w14:textId="77777777" w:rsidR="00D83908" w:rsidRDefault="00D83908" w:rsidP="00D83908">
      <w:pPr>
        <w:keepNext/>
      </w:pPr>
      <w:r w:rsidRPr="00E113A2">
        <w:rPr>
          <w:noProof/>
          <w:lang w:val="en-US"/>
        </w:rPr>
        <w:drawing>
          <wp:inline distT="0" distB="0" distL="0" distR="0" wp14:anchorId="1944D1C2" wp14:editId="002FB966">
            <wp:extent cx="5731510" cy="2865755"/>
            <wp:effectExtent l="0" t="0" r="0" b="4445"/>
            <wp:docPr id="2700523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52332" name="Picture 2700523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D1EDD2B" w14:textId="730F97F7" w:rsidR="00D83908" w:rsidRDefault="00D83908" w:rsidP="000344B1">
      <w:pPr>
        <w:pStyle w:val="Caption"/>
        <w:rPr>
          <w:lang w:val="en-US"/>
        </w:rPr>
      </w:pPr>
      <w:r>
        <w:t>Figure S</w:t>
      </w:r>
      <w:r>
        <w:fldChar w:fldCharType="begin"/>
      </w:r>
      <w:r>
        <w:instrText xml:space="preserve"> SEQ Figure_S \* ARABIC </w:instrText>
      </w:r>
      <w:r>
        <w:fldChar w:fldCharType="separate"/>
      </w:r>
      <w:r w:rsidR="00546FF0">
        <w:rPr>
          <w:noProof/>
        </w:rPr>
        <w:t>4</w:t>
      </w:r>
      <w:r>
        <w:rPr>
          <w:noProof/>
        </w:rPr>
        <w:fldChar w:fldCharType="end"/>
      </w:r>
      <w:r>
        <w:t>.</w:t>
      </w:r>
      <w:r w:rsidRPr="00E113A2">
        <w:rPr>
          <w:lang w:val="en-US"/>
        </w:rPr>
        <w:t xml:space="preserve"> Infection incidence trends for nine organisms stratified by infection category from February 2007 till March 2022. </w:t>
      </w:r>
      <w:r w:rsidRPr="008C6CA1">
        <w:rPr>
          <w:b w:val="0"/>
          <w:lang w:val="en-US"/>
        </w:rPr>
        <w:t xml:space="preserve">Points represent the number of 30-day incident isolates per quarter. Lines and grey bands are smoothing curves using the </w:t>
      </w:r>
      <w:r w:rsidR="00FD6D3B" w:rsidRPr="008C6CA1">
        <w:rPr>
          <w:b w:val="0"/>
          <w:i/>
          <w:lang w:val="en-US"/>
        </w:rPr>
        <w:t>locally estimated scatterplot smoothing (loess)</w:t>
      </w:r>
      <w:r w:rsidRPr="008C6CA1">
        <w:rPr>
          <w:b w:val="0"/>
          <w:lang w:val="en-US"/>
        </w:rPr>
        <w:t xml:space="preserve"> method and corresponding 95% confidence intervals. Dashed vertical lines indicate the start of the COVID-19 pandemic. Colors represent different sources of infection.</w:t>
      </w:r>
      <w:r w:rsidRPr="009B6CD2">
        <w:rPr>
          <w:lang w:val="en-US"/>
        </w:rPr>
        <w:t xml:space="preserve"> </w:t>
      </w:r>
    </w:p>
    <w:p w14:paraId="741D791A" w14:textId="77777777" w:rsidR="00E737A2" w:rsidRPr="00E737A2" w:rsidRDefault="00E737A2" w:rsidP="00E737A2">
      <w:pPr>
        <w:rPr>
          <w:lang w:val="en-US"/>
        </w:rPr>
      </w:pPr>
    </w:p>
    <w:p w14:paraId="64179642" w14:textId="77777777" w:rsidR="00D83908" w:rsidRDefault="00D83908" w:rsidP="00D83908">
      <w:pPr>
        <w:keepNext/>
      </w:pPr>
      <w:r w:rsidRPr="00C63521">
        <w:rPr>
          <w:noProof/>
          <w:lang w:val="en-US"/>
        </w:rPr>
        <w:lastRenderedPageBreak/>
        <w:drawing>
          <wp:inline distT="0" distB="0" distL="0" distR="0" wp14:anchorId="41E84131" wp14:editId="0619C50E">
            <wp:extent cx="5422605" cy="3388978"/>
            <wp:effectExtent l="0" t="0" r="635" b="2540"/>
            <wp:docPr id="768948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4857" name="Picture 768948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7100" cy="3391788"/>
                    </a:xfrm>
                    <a:prstGeom prst="rect">
                      <a:avLst/>
                    </a:prstGeom>
                  </pic:spPr>
                </pic:pic>
              </a:graphicData>
            </a:graphic>
          </wp:inline>
        </w:drawing>
      </w:r>
    </w:p>
    <w:p w14:paraId="77EC416F" w14:textId="2F04FC4C" w:rsidR="00D83908" w:rsidRPr="00E113A2" w:rsidRDefault="00D83908" w:rsidP="000344B1">
      <w:pPr>
        <w:pStyle w:val="Caption"/>
        <w:rPr>
          <w:lang w:val="en-US"/>
        </w:rPr>
      </w:pPr>
      <w:r>
        <w:t>Figure S</w:t>
      </w:r>
      <w:r>
        <w:fldChar w:fldCharType="begin"/>
      </w:r>
      <w:r>
        <w:instrText xml:space="preserve"> SEQ Figure_S \* ARABIC </w:instrText>
      </w:r>
      <w:r>
        <w:fldChar w:fldCharType="separate"/>
      </w:r>
      <w:r w:rsidR="00546FF0">
        <w:rPr>
          <w:noProof/>
        </w:rPr>
        <w:t>5</w:t>
      </w:r>
      <w:r>
        <w:rPr>
          <w:noProof/>
        </w:rPr>
        <w:fldChar w:fldCharType="end"/>
      </w:r>
      <w:r>
        <w:t>.</w:t>
      </w:r>
      <w:r w:rsidRPr="00C63521">
        <w:rPr>
          <w:lang w:val="en-US"/>
        </w:rPr>
        <w:t xml:space="preserve"> </w:t>
      </w:r>
      <w:r w:rsidR="001E7E99">
        <w:rPr>
          <w:lang w:val="en-US"/>
        </w:rPr>
        <w:t xml:space="preserve">Time trend analysis for community-onset infection incidence for nine target pathogens and </w:t>
      </w:r>
      <w:r w:rsidR="001E7E99" w:rsidRPr="00E113A2">
        <w:rPr>
          <w:lang w:val="en-US"/>
        </w:rPr>
        <w:t xml:space="preserve">for pre-pandemic (2007-2019) and pandemic period (2020-2022). </w:t>
      </w:r>
      <w:r w:rsidRPr="001E7E99">
        <w:rPr>
          <w:b w:val="0"/>
          <w:bCs/>
          <w:lang w:val="en-US"/>
        </w:rPr>
        <w:t>Average annual percentage change</w:t>
      </w:r>
      <w:r w:rsidR="001E7E99" w:rsidRPr="001E7E99">
        <w:rPr>
          <w:b w:val="0"/>
          <w:bCs/>
          <w:lang w:val="en-US"/>
        </w:rPr>
        <w:t>s</w:t>
      </w:r>
      <w:r w:rsidRPr="001E7E99">
        <w:rPr>
          <w:b w:val="0"/>
          <w:bCs/>
          <w:lang w:val="en-US"/>
        </w:rPr>
        <w:t xml:space="preserve"> (AAPC) </w:t>
      </w:r>
      <w:r w:rsidR="001E7E99" w:rsidRPr="001E7E99">
        <w:rPr>
          <w:b w:val="0"/>
          <w:bCs/>
          <w:lang w:val="en-US"/>
        </w:rPr>
        <w:t xml:space="preserve">were </w:t>
      </w:r>
      <w:r w:rsidRPr="001E7E99">
        <w:rPr>
          <w:b w:val="0"/>
          <w:bCs/>
          <w:lang w:val="en-US"/>
        </w:rPr>
        <w:t>obtained from generalized estimating equations</w:t>
      </w:r>
      <w:r w:rsidR="001E7E99" w:rsidRPr="001E7E99">
        <w:rPr>
          <w:b w:val="0"/>
          <w:bCs/>
          <w:lang w:val="en-US"/>
        </w:rPr>
        <w:t xml:space="preserve"> analysis</w:t>
      </w:r>
      <w:r w:rsidRPr="001E7E99">
        <w:rPr>
          <w:b w:val="0"/>
          <w:bCs/>
          <w:lang w:val="en-US"/>
        </w:rPr>
        <w:t xml:space="preserve">. AAPC larger than zero indicate an increasing trend, coefficients smaller than zero a declining trend in infection incidence. </w:t>
      </w:r>
    </w:p>
    <w:p w14:paraId="3D9728E6" w14:textId="77777777" w:rsidR="00D83908" w:rsidRPr="00E113A2" w:rsidRDefault="00D83908" w:rsidP="00D83908">
      <w:pPr>
        <w:rPr>
          <w:lang w:val="en-US"/>
        </w:rPr>
      </w:pPr>
    </w:p>
    <w:p w14:paraId="6B08D6D8" w14:textId="77777777" w:rsidR="00D83908" w:rsidRDefault="00D83908" w:rsidP="00D83908">
      <w:pPr>
        <w:keepNext/>
      </w:pPr>
      <w:r w:rsidRPr="00E113A2">
        <w:rPr>
          <w:noProof/>
          <w:lang w:val="en-US"/>
        </w:rPr>
        <w:drawing>
          <wp:inline distT="0" distB="0" distL="0" distR="0" wp14:anchorId="25A95A31" wp14:editId="6CF5D4CD">
            <wp:extent cx="5387402" cy="3366977"/>
            <wp:effectExtent l="0" t="0" r="0" b="0"/>
            <wp:docPr id="52972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24854" name="Picture 5297248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8807" cy="3367855"/>
                    </a:xfrm>
                    <a:prstGeom prst="rect">
                      <a:avLst/>
                    </a:prstGeom>
                  </pic:spPr>
                </pic:pic>
              </a:graphicData>
            </a:graphic>
          </wp:inline>
        </w:drawing>
      </w:r>
    </w:p>
    <w:p w14:paraId="5FDEAFD1" w14:textId="6D4FBFA1" w:rsidR="001E7E99" w:rsidRPr="00E113A2" w:rsidRDefault="00D83908" w:rsidP="001E7E99">
      <w:pPr>
        <w:pStyle w:val="Caption"/>
        <w:rPr>
          <w:lang w:val="en-US"/>
        </w:rPr>
      </w:pPr>
      <w:r>
        <w:t>Figure S</w:t>
      </w:r>
      <w:r>
        <w:fldChar w:fldCharType="begin"/>
      </w:r>
      <w:r>
        <w:instrText xml:space="preserve"> SEQ Figure_S \* ARABIC </w:instrText>
      </w:r>
      <w:r>
        <w:fldChar w:fldCharType="separate"/>
      </w:r>
      <w:r w:rsidR="00546FF0">
        <w:rPr>
          <w:noProof/>
        </w:rPr>
        <w:t>6</w:t>
      </w:r>
      <w:r>
        <w:rPr>
          <w:noProof/>
        </w:rPr>
        <w:fldChar w:fldCharType="end"/>
      </w:r>
      <w:r>
        <w:t>.</w:t>
      </w:r>
      <w:r w:rsidRPr="00C63521">
        <w:rPr>
          <w:lang w:val="en-US"/>
        </w:rPr>
        <w:t xml:space="preserve"> </w:t>
      </w:r>
      <w:r w:rsidR="001E7E99">
        <w:rPr>
          <w:lang w:val="en-US"/>
        </w:rPr>
        <w:t xml:space="preserve">Time trend analysis for hospital-associated infection incidence for nine target pathogens and </w:t>
      </w:r>
      <w:r w:rsidR="001E7E99" w:rsidRPr="00E113A2">
        <w:rPr>
          <w:lang w:val="en-US"/>
        </w:rPr>
        <w:t xml:space="preserve">for pre-pandemic (2007-2019) and pandemic period (2020-2022). </w:t>
      </w:r>
      <w:r w:rsidR="001E7E99" w:rsidRPr="001E7E99">
        <w:rPr>
          <w:b w:val="0"/>
          <w:bCs/>
          <w:lang w:val="en-US"/>
        </w:rPr>
        <w:t xml:space="preserve">Average annual percentage changes (AAPC) were obtained from generalized estimating equations analysis. AAPC larger than zero indicate an increasing trend, coefficients smaller than zero a declining trend in infection incidence. </w:t>
      </w:r>
    </w:p>
    <w:p w14:paraId="3120B4AD" w14:textId="7D0BD41E" w:rsidR="000F208E" w:rsidRDefault="000F208E" w:rsidP="000344B1">
      <w:pPr>
        <w:pStyle w:val="Caption"/>
        <w:rPr>
          <w:bCs/>
          <w:lang w:val="en-US"/>
        </w:rPr>
      </w:pPr>
    </w:p>
    <w:p w14:paraId="3B160BEC" w14:textId="77777777" w:rsidR="000F208E" w:rsidRDefault="000F208E">
      <w:pPr>
        <w:rPr>
          <w:b/>
          <w:bCs/>
          <w:iCs/>
          <w:sz w:val="16"/>
          <w:szCs w:val="11"/>
          <w:lang w:val="en-US"/>
        </w:rPr>
      </w:pPr>
      <w:r>
        <w:rPr>
          <w:bCs/>
          <w:lang w:val="en-US"/>
        </w:rPr>
        <w:br w:type="page"/>
      </w:r>
    </w:p>
    <w:p w14:paraId="618305F9" w14:textId="3BD812D5" w:rsidR="008D7F3B" w:rsidRDefault="008D7F3B" w:rsidP="000344B1">
      <w:pPr>
        <w:pStyle w:val="Caption"/>
      </w:pPr>
      <w:r>
        <w:lastRenderedPageBreak/>
        <w:t>Table S</w:t>
      </w:r>
      <w:r>
        <w:fldChar w:fldCharType="begin"/>
      </w:r>
      <w:r>
        <w:instrText xml:space="preserve"> SEQ Table_S \* ARABIC </w:instrText>
      </w:r>
      <w:r>
        <w:fldChar w:fldCharType="separate"/>
      </w:r>
      <w:r w:rsidR="00EC4F6F">
        <w:rPr>
          <w:noProof/>
        </w:rPr>
        <w:t>6</w:t>
      </w:r>
      <w:r>
        <w:fldChar w:fldCharType="end"/>
      </w:r>
      <w:r w:rsidR="000F04D0">
        <w:t>.</w:t>
      </w:r>
      <w:r w:rsidR="000F04D0" w:rsidRPr="000F04D0">
        <w:t xml:space="preserve"> </w:t>
      </w:r>
      <w:r w:rsidR="000F04D0" w:rsidRPr="009937C3">
        <w:t xml:space="preserve">Change in infection incidence for all nine organisms for pre-pandemic (2007-2019) and pandemic (2020-2022) period. </w:t>
      </w:r>
      <w:r w:rsidR="000F04D0" w:rsidRPr="009937C3">
        <w:rPr>
          <w:b w:val="0"/>
          <w:bCs/>
        </w:rPr>
        <w:t xml:space="preserve">The overall absolute change was calculated by the absolute difference between the start and end year of the respective </w:t>
      </w:r>
      <w:proofErr w:type="gramStart"/>
      <w:r w:rsidR="000F04D0" w:rsidRPr="009937C3">
        <w:rPr>
          <w:b w:val="0"/>
          <w:bCs/>
        </w:rPr>
        <w:t>time period</w:t>
      </w:r>
      <w:proofErr w:type="gramEnd"/>
      <w:r w:rsidR="000F04D0" w:rsidRPr="009937C3">
        <w:rPr>
          <w:b w:val="0"/>
          <w:bCs/>
        </w:rPr>
        <w:t xml:space="preserve">. Average annual percentage change (AAPC) estimates were obtained from time trend coefficients using generalized estimating equations. </w:t>
      </w:r>
      <w:r w:rsidR="007112FD">
        <w:rPr>
          <w:b w:val="0"/>
          <w:bCs/>
        </w:rPr>
        <w:t xml:space="preserve">95% confidence intervals are reported in brackets. </w:t>
      </w:r>
      <w:r w:rsidR="000F04D0" w:rsidRPr="009937C3">
        <w:rPr>
          <w:b w:val="0"/>
          <w:bCs/>
        </w:rPr>
        <w:t>White rows represent results for the pre-pandemic (2007-2019), grey shaded rows for the pandemic (2020-2022) period. Upward or downward pointing arrows indicate statistically significant increasing or decreasing incidence trends.</w:t>
      </w:r>
      <w:r w:rsidR="000F04D0" w:rsidRPr="009937C3">
        <w:rPr>
          <w:b w:val="0"/>
          <w:bCs/>
          <w:lang w:val="en-US"/>
        </w:rPr>
        <w:t xml:space="preserve"> </w:t>
      </w:r>
      <w:r w:rsidR="007112FD">
        <w:rPr>
          <w:b w:val="0"/>
          <w:bCs/>
          <w:lang w:val="en-US"/>
        </w:rPr>
        <w:t>P-values are given for statistically significant time trends if p-value is larger or equal than 0.0001.</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6"/>
        <w:gridCol w:w="992"/>
        <w:gridCol w:w="199"/>
        <w:gridCol w:w="1644"/>
        <w:gridCol w:w="284"/>
        <w:gridCol w:w="2126"/>
        <w:gridCol w:w="425"/>
        <w:gridCol w:w="2080"/>
      </w:tblGrid>
      <w:tr w:rsidR="008D7F3B" w:rsidRPr="00185138" w14:paraId="153D898D" w14:textId="77777777" w:rsidTr="00400D57">
        <w:trPr>
          <w:trHeight w:val="300"/>
        </w:trPr>
        <w:tc>
          <w:tcPr>
            <w:tcW w:w="1276" w:type="dxa"/>
            <w:vMerge w:val="restart"/>
            <w:tcBorders>
              <w:left w:val="nil"/>
            </w:tcBorders>
            <w:shd w:val="clear" w:color="auto" w:fill="auto"/>
            <w:noWrap/>
            <w:tcMar>
              <w:top w:w="15" w:type="dxa"/>
              <w:left w:w="15" w:type="dxa"/>
              <w:bottom w:w="0" w:type="dxa"/>
              <w:right w:w="15" w:type="dxa"/>
            </w:tcMar>
            <w:vAlign w:val="center"/>
          </w:tcPr>
          <w:p w14:paraId="5675441B" w14:textId="77777777" w:rsidR="008D7F3B" w:rsidRPr="00231D2B" w:rsidRDefault="008D7F3B" w:rsidP="00C47E67">
            <w:pPr>
              <w:jc w:val="center"/>
              <w:rPr>
                <w:rFonts w:ascii="Calibri" w:eastAsia="Times New Roman" w:hAnsi="Calibri" w:cs="Calibri"/>
                <w:b/>
                <w:bCs/>
                <w:color w:val="000000"/>
                <w:sz w:val="20"/>
                <w:szCs w:val="20"/>
                <w:lang w:eastAsia="en-GB"/>
              </w:rPr>
            </w:pPr>
            <w:r w:rsidRPr="00231D2B">
              <w:rPr>
                <w:rFonts w:ascii="Calibri" w:eastAsia="Times New Roman" w:hAnsi="Calibri" w:cs="Calibri"/>
                <w:b/>
                <w:bCs/>
                <w:color w:val="000000"/>
                <w:sz w:val="20"/>
                <w:szCs w:val="20"/>
                <w:lang w:eastAsia="en-GB"/>
              </w:rPr>
              <w:t>Organism</w:t>
            </w:r>
          </w:p>
        </w:tc>
        <w:tc>
          <w:tcPr>
            <w:tcW w:w="992" w:type="dxa"/>
            <w:vMerge w:val="restart"/>
            <w:shd w:val="clear" w:color="auto" w:fill="auto"/>
            <w:noWrap/>
            <w:tcMar>
              <w:top w:w="15" w:type="dxa"/>
              <w:left w:w="15" w:type="dxa"/>
              <w:bottom w:w="0" w:type="dxa"/>
              <w:right w:w="15" w:type="dxa"/>
            </w:tcMar>
            <w:vAlign w:val="center"/>
          </w:tcPr>
          <w:p w14:paraId="6BC2ACFA" w14:textId="7B63E425" w:rsidR="008D7F3B" w:rsidRPr="00231D2B" w:rsidRDefault="008D7F3B" w:rsidP="00400D57">
            <w:pPr>
              <w:jc w:val="center"/>
              <w:rPr>
                <w:rFonts w:ascii="Calibri" w:eastAsia="Times New Roman" w:hAnsi="Calibri" w:cs="Calibri"/>
                <w:b/>
                <w:bCs/>
                <w:color w:val="000000"/>
                <w:sz w:val="20"/>
                <w:szCs w:val="20"/>
                <w:lang w:eastAsia="en-GB"/>
              </w:rPr>
            </w:pPr>
            <w:r w:rsidRPr="00231D2B">
              <w:rPr>
                <w:rFonts w:ascii="Calibri" w:eastAsia="Aptos" w:hAnsi="Calibri" w:cs="Calibri"/>
                <w:b/>
                <w:bCs/>
                <w:sz w:val="20"/>
                <w:szCs w:val="20"/>
                <w:lang w:val="en-US"/>
              </w:rPr>
              <w:t>Overall absolute change</w:t>
            </w:r>
            <w:r w:rsidR="00016DC1">
              <w:rPr>
                <w:rFonts w:ascii="Calibri" w:eastAsia="Aptos" w:hAnsi="Calibri" w:cs="Calibri"/>
                <w:b/>
                <w:bCs/>
                <w:sz w:val="20"/>
                <w:szCs w:val="20"/>
                <w:lang w:val="en-US"/>
              </w:rPr>
              <w:t xml:space="preserve"> (%)</w:t>
            </w:r>
          </w:p>
          <w:p w14:paraId="2672E59D"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2007-2019</w:t>
            </w:r>
          </w:p>
          <w:p w14:paraId="20DF7601" w14:textId="77777777" w:rsidR="008D7F3B" w:rsidRPr="00231D2B" w:rsidRDefault="008D7F3B" w:rsidP="00400D57">
            <w:pPr>
              <w:jc w:val="center"/>
              <w:rPr>
                <w:rFonts w:ascii="Calibri" w:eastAsia="Times New Roman" w:hAnsi="Calibri" w:cs="Calibri"/>
                <w:b/>
                <w:bCs/>
                <w:color w:val="000000"/>
                <w:sz w:val="20"/>
                <w:szCs w:val="20"/>
                <w:lang w:eastAsia="en-GB"/>
              </w:rPr>
            </w:pPr>
            <w:r w:rsidRPr="00231D2B">
              <w:rPr>
                <w:rFonts w:ascii="Calibri" w:eastAsia="Times New Roman" w:hAnsi="Calibri" w:cs="Calibri"/>
                <w:color w:val="000000"/>
                <w:sz w:val="20"/>
                <w:szCs w:val="20"/>
                <w:lang w:eastAsia="en-GB"/>
              </w:rPr>
              <w:t>2020-2022</w:t>
            </w:r>
          </w:p>
        </w:tc>
        <w:tc>
          <w:tcPr>
            <w:tcW w:w="6758" w:type="dxa"/>
            <w:gridSpan w:val="6"/>
            <w:tcBorders>
              <w:right w:val="nil"/>
            </w:tcBorders>
          </w:tcPr>
          <w:p w14:paraId="37BEC028" w14:textId="77777777" w:rsidR="008D7F3B" w:rsidRPr="00231D2B" w:rsidRDefault="008D7F3B" w:rsidP="00400D57">
            <w:pPr>
              <w:jc w:val="center"/>
              <w:rPr>
                <w:rFonts w:ascii="Calibri" w:eastAsia="Times New Roman" w:hAnsi="Calibri" w:cs="Calibri"/>
                <w:b/>
                <w:bCs/>
                <w:color w:val="000000"/>
                <w:sz w:val="20"/>
                <w:szCs w:val="20"/>
                <w:lang w:eastAsia="en-GB"/>
              </w:rPr>
            </w:pPr>
            <w:r w:rsidRPr="00231D2B">
              <w:rPr>
                <w:rFonts w:ascii="Calibri" w:eastAsia="Times New Roman" w:hAnsi="Calibri" w:cs="Calibri"/>
                <w:b/>
                <w:bCs/>
                <w:color w:val="000000"/>
                <w:sz w:val="20"/>
                <w:szCs w:val="20"/>
                <w:lang w:eastAsia="en-GB"/>
              </w:rPr>
              <w:t>AAPC (time trend estimates)</w:t>
            </w:r>
          </w:p>
          <w:p w14:paraId="2BDE966C"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Point estimate (95% confidence interval)</w:t>
            </w:r>
          </w:p>
        </w:tc>
      </w:tr>
      <w:tr w:rsidR="008D7F3B" w:rsidRPr="00185138" w14:paraId="4DB659DA" w14:textId="77777777" w:rsidTr="00400D57">
        <w:trPr>
          <w:trHeight w:val="708"/>
        </w:trPr>
        <w:tc>
          <w:tcPr>
            <w:tcW w:w="1276" w:type="dxa"/>
            <w:vMerge/>
            <w:tcBorders>
              <w:left w:val="nil"/>
            </w:tcBorders>
            <w:shd w:val="clear" w:color="auto" w:fill="auto"/>
            <w:noWrap/>
            <w:tcMar>
              <w:top w:w="15" w:type="dxa"/>
              <w:left w:w="15" w:type="dxa"/>
              <w:bottom w:w="0" w:type="dxa"/>
              <w:right w:w="15" w:type="dxa"/>
            </w:tcMar>
            <w:vAlign w:val="bottom"/>
          </w:tcPr>
          <w:p w14:paraId="74D2914E" w14:textId="77777777" w:rsidR="008D7F3B" w:rsidRPr="00231D2B" w:rsidRDefault="008D7F3B" w:rsidP="00400D57">
            <w:pPr>
              <w:rPr>
                <w:rFonts w:ascii="Calibri" w:eastAsia="Times New Roman" w:hAnsi="Calibri" w:cs="Calibri"/>
                <w:color w:val="000000"/>
                <w:sz w:val="20"/>
                <w:szCs w:val="20"/>
                <w:lang w:eastAsia="en-GB"/>
              </w:rPr>
            </w:pPr>
          </w:p>
        </w:tc>
        <w:tc>
          <w:tcPr>
            <w:tcW w:w="992" w:type="dxa"/>
            <w:vMerge/>
            <w:shd w:val="clear" w:color="auto" w:fill="auto"/>
            <w:noWrap/>
            <w:tcMar>
              <w:top w:w="15" w:type="dxa"/>
              <w:left w:w="15" w:type="dxa"/>
              <w:bottom w:w="0" w:type="dxa"/>
              <w:right w:w="15" w:type="dxa"/>
            </w:tcMar>
            <w:vAlign w:val="center"/>
          </w:tcPr>
          <w:p w14:paraId="4D1D482F" w14:textId="77777777" w:rsidR="008D7F3B" w:rsidRPr="00231D2B" w:rsidRDefault="008D7F3B" w:rsidP="00400D57">
            <w:pPr>
              <w:jc w:val="center"/>
              <w:rPr>
                <w:rFonts w:ascii="Calibri" w:eastAsia="Aptos" w:hAnsi="Calibri" w:cs="Calibri"/>
                <w:sz w:val="20"/>
                <w:szCs w:val="20"/>
                <w:lang w:val="en-US"/>
              </w:rPr>
            </w:pPr>
          </w:p>
        </w:tc>
        <w:tc>
          <w:tcPr>
            <w:tcW w:w="1843" w:type="dxa"/>
            <w:gridSpan w:val="2"/>
          </w:tcPr>
          <w:p w14:paraId="77670DCF"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Overall</w:t>
            </w:r>
          </w:p>
          <w:p w14:paraId="4789BD21"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2007-2019</w:t>
            </w:r>
          </w:p>
          <w:p w14:paraId="0A296971"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color w:val="000000"/>
                <w:sz w:val="20"/>
                <w:szCs w:val="20"/>
                <w:lang w:eastAsia="en-GB"/>
              </w:rPr>
              <w:t>2020-2022</w:t>
            </w:r>
          </w:p>
        </w:tc>
        <w:tc>
          <w:tcPr>
            <w:tcW w:w="2410" w:type="dxa"/>
            <w:gridSpan w:val="2"/>
          </w:tcPr>
          <w:p w14:paraId="71BECE58"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Community-onset</w:t>
            </w:r>
          </w:p>
          <w:p w14:paraId="3FFEEBF2"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2007-2019</w:t>
            </w:r>
          </w:p>
          <w:p w14:paraId="31AE84FF"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color w:val="000000"/>
                <w:sz w:val="20"/>
                <w:szCs w:val="20"/>
                <w:lang w:eastAsia="en-GB"/>
              </w:rPr>
              <w:t>2020-2022</w:t>
            </w:r>
          </w:p>
        </w:tc>
        <w:tc>
          <w:tcPr>
            <w:tcW w:w="2505" w:type="dxa"/>
            <w:gridSpan w:val="2"/>
            <w:tcBorders>
              <w:right w:val="nil"/>
            </w:tcBorders>
          </w:tcPr>
          <w:p w14:paraId="0F30FB90"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Hospital-associated</w:t>
            </w:r>
          </w:p>
          <w:p w14:paraId="652F7D61"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2007-2019</w:t>
            </w:r>
          </w:p>
          <w:p w14:paraId="69E9E9AC"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color w:val="000000"/>
                <w:sz w:val="20"/>
                <w:szCs w:val="20"/>
                <w:lang w:eastAsia="en-GB"/>
              </w:rPr>
              <w:t>2020-2022</w:t>
            </w:r>
          </w:p>
        </w:tc>
      </w:tr>
      <w:tr w:rsidR="008D7F3B" w:rsidRPr="00185138" w14:paraId="2E595078" w14:textId="77777777" w:rsidTr="00400D57">
        <w:trPr>
          <w:trHeight w:val="300"/>
        </w:trPr>
        <w:tc>
          <w:tcPr>
            <w:tcW w:w="1276" w:type="dxa"/>
            <w:vMerge w:val="restart"/>
            <w:tcBorders>
              <w:left w:val="nil"/>
            </w:tcBorders>
            <w:shd w:val="clear" w:color="auto" w:fill="auto"/>
            <w:noWrap/>
            <w:tcMar>
              <w:top w:w="15" w:type="dxa"/>
              <w:left w:w="15" w:type="dxa"/>
              <w:bottom w:w="0" w:type="dxa"/>
              <w:right w:w="15" w:type="dxa"/>
            </w:tcMar>
            <w:vAlign w:val="center"/>
            <w:hideMark/>
          </w:tcPr>
          <w:p w14:paraId="67A1EF63"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S. aureus</w:t>
            </w:r>
          </w:p>
        </w:tc>
        <w:tc>
          <w:tcPr>
            <w:tcW w:w="992" w:type="dxa"/>
            <w:shd w:val="clear" w:color="auto" w:fill="auto"/>
            <w:noWrap/>
            <w:tcMar>
              <w:top w:w="15" w:type="dxa"/>
              <w:left w:w="15" w:type="dxa"/>
              <w:bottom w:w="0" w:type="dxa"/>
              <w:right w:w="15" w:type="dxa"/>
            </w:tcMar>
            <w:vAlign w:val="center"/>
            <w:hideMark/>
          </w:tcPr>
          <w:p w14:paraId="4A699815"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-18.5</w:t>
            </w:r>
          </w:p>
        </w:tc>
        <w:tc>
          <w:tcPr>
            <w:tcW w:w="199" w:type="dxa"/>
            <w:tcBorders>
              <w:right w:val="nil"/>
            </w:tcBorders>
            <w:vAlign w:val="center"/>
          </w:tcPr>
          <w:p w14:paraId="4FFC45C7"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hAnsi="Calibri" w:cs="Calibri"/>
                <w:b/>
                <w:bCs/>
                <w:color w:val="000000"/>
                <w:sz w:val="20"/>
                <w:szCs w:val="20"/>
              </w:rPr>
              <w:sym w:font="Symbol" w:char="F0AF"/>
            </w:r>
          </w:p>
        </w:tc>
        <w:tc>
          <w:tcPr>
            <w:tcW w:w="1644" w:type="dxa"/>
            <w:tcBorders>
              <w:left w:val="nil"/>
            </w:tcBorders>
            <w:shd w:val="clear" w:color="auto" w:fill="auto"/>
            <w:noWrap/>
            <w:tcMar>
              <w:top w:w="15" w:type="dxa"/>
              <w:left w:w="15" w:type="dxa"/>
              <w:bottom w:w="0" w:type="dxa"/>
              <w:right w:w="15" w:type="dxa"/>
            </w:tcMar>
            <w:vAlign w:val="center"/>
            <w:hideMark/>
          </w:tcPr>
          <w:p w14:paraId="1C0DCF91"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-3.8% ( -4.7, -2.9)*</w:t>
            </w:r>
          </w:p>
        </w:tc>
        <w:tc>
          <w:tcPr>
            <w:tcW w:w="284" w:type="dxa"/>
            <w:tcBorders>
              <w:right w:val="nil"/>
            </w:tcBorders>
            <w:vAlign w:val="center"/>
          </w:tcPr>
          <w:p w14:paraId="58E0B335"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hAnsi="Calibri" w:cs="Calibri"/>
                <w:b/>
                <w:bCs/>
                <w:color w:val="000000"/>
                <w:sz w:val="20"/>
                <w:szCs w:val="20"/>
              </w:rPr>
              <w:sym w:font="Symbol" w:char="F0AF"/>
            </w:r>
          </w:p>
        </w:tc>
        <w:tc>
          <w:tcPr>
            <w:tcW w:w="2126" w:type="dxa"/>
            <w:tcBorders>
              <w:left w:val="nil"/>
            </w:tcBorders>
            <w:vAlign w:val="center"/>
          </w:tcPr>
          <w:p w14:paraId="7C86B4FF" w14:textId="27A0F1E3" w:rsidR="008D7F3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-1.8% ( -2.9, -0.6)</w:t>
            </w:r>
          </w:p>
          <w:p w14:paraId="3F47E7AC" w14:textId="7F1882D7" w:rsidR="004C1975" w:rsidRPr="00231D2B" w:rsidRDefault="004C1975" w:rsidP="00400D57">
            <w:pPr>
              <w:jc w:val="center"/>
              <w:rPr>
                <w:rFonts w:ascii="Calibri" w:eastAsia="Times New Roman" w:hAnsi="Calibri" w:cs="Calibri"/>
                <w:color w:val="000000"/>
                <w:sz w:val="20"/>
                <w:szCs w:val="20"/>
                <w:lang w:eastAsia="en-GB"/>
              </w:rPr>
            </w:pPr>
            <w:r w:rsidRPr="00DD39CF">
              <w:rPr>
                <w:rFonts w:ascii="Calibri" w:eastAsia="Times New Roman" w:hAnsi="Calibri" w:cs="Calibri"/>
                <w:color w:val="000000"/>
                <w:sz w:val="16"/>
                <w:szCs w:val="16"/>
                <w:lang w:eastAsia="en-GB"/>
              </w:rPr>
              <w:t>p-value = 0.0029</w:t>
            </w:r>
          </w:p>
        </w:tc>
        <w:tc>
          <w:tcPr>
            <w:tcW w:w="425" w:type="dxa"/>
            <w:tcBorders>
              <w:right w:val="nil"/>
            </w:tcBorders>
            <w:vAlign w:val="center"/>
          </w:tcPr>
          <w:p w14:paraId="448F8F25"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080" w:type="dxa"/>
            <w:tcBorders>
              <w:left w:val="nil"/>
              <w:right w:val="nil"/>
            </w:tcBorders>
            <w:vAlign w:val="center"/>
          </w:tcPr>
          <w:p w14:paraId="52735A3A"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-5.8% (-6.8, -4.7)*</w:t>
            </w:r>
          </w:p>
        </w:tc>
      </w:tr>
      <w:tr w:rsidR="008D7F3B" w:rsidRPr="00185138" w14:paraId="08B5EE12" w14:textId="77777777" w:rsidTr="00400D57">
        <w:trPr>
          <w:trHeight w:val="300"/>
        </w:trPr>
        <w:tc>
          <w:tcPr>
            <w:tcW w:w="1276" w:type="dxa"/>
            <w:vMerge/>
            <w:tcBorders>
              <w:left w:val="nil"/>
            </w:tcBorders>
            <w:shd w:val="clear" w:color="auto" w:fill="auto"/>
            <w:noWrap/>
            <w:tcMar>
              <w:top w:w="15" w:type="dxa"/>
              <w:left w:w="15" w:type="dxa"/>
              <w:bottom w:w="0" w:type="dxa"/>
              <w:right w:w="15" w:type="dxa"/>
            </w:tcMar>
            <w:vAlign w:val="center"/>
            <w:hideMark/>
          </w:tcPr>
          <w:p w14:paraId="3370C690" w14:textId="77777777" w:rsidR="008D7F3B" w:rsidRPr="00231D2B" w:rsidRDefault="008D7F3B" w:rsidP="00400D57">
            <w:pPr>
              <w:jc w:val="center"/>
              <w:rPr>
                <w:rFonts w:ascii="Calibri" w:eastAsia="Times New Roman" w:hAnsi="Calibri" w:cs="Calibri"/>
                <w:i/>
                <w:iCs/>
                <w:color w:val="000000"/>
                <w:sz w:val="20"/>
                <w:szCs w:val="20"/>
                <w:lang w:eastAsia="en-GB"/>
              </w:rPr>
            </w:pPr>
          </w:p>
        </w:tc>
        <w:tc>
          <w:tcPr>
            <w:tcW w:w="992" w:type="dxa"/>
            <w:shd w:val="clear" w:color="auto" w:fill="D0CECE" w:themeFill="background2" w:themeFillShade="E6"/>
            <w:noWrap/>
            <w:tcMar>
              <w:top w:w="15" w:type="dxa"/>
              <w:left w:w="15" w:type="dxa"/>
              <w:bottom w:w="0" w:type="dxa"/>
              <w:right w:w="15" w:type="dxa"/>
            </w:tcMar>
            <w:vAlign w:val="center"/>
            <w:hideMark/>
          </w:tcPr>
          <w:p w14:paraId="087E5A48"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-4.6</w:t>
            </w:r>
          </w:p>
        </w:tc>
        <w:tc>
          <w:tcPr>
            <w:tcW w:w="199" w:type="dxa"/>
            <w:tcBorders>
              <w:right w:val="nil"/>
            </w:tcBorders>
            <w:shd w:val="clear" w:color="auto" w:fill="D0CECE" w:themeFill="background2" w:themeFillShade="E6"/>
            <w:vAlign w:val="center"/>
          </w:tcPr>
          <w:p w14:paraId="725A3912"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D0CECE" w:themeFill="background2" w:themeFillShade="E6"/>
            <w:noWrap/>
            <w:tcMar>
              <w:top w:w="15" w:type="dxa"/>
              <w:left w:w="15" w:type="dxa"/>
              <w:bottom w:w="0" w:type="dxa"/>
              <w:right w:w="15" w:type="dxa"/>
            </w:tcMar>
            <w:vAlign w:val="center"/>
            <w:hideMark/>
          </w:tcPr>
          <w:p w14:paraId="0A4C5B3B"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-2.9% (-5.9, 0.2)</w:t>
            </w:r>
          </w:p>
        </w:tc>
        <w:tc>
          <w:tcPr>
            <w:tcW w:w="284" w:type="dxa"/>
            <w:tcBorders>
              <w:right w:val="nil"/>
            </w:tcBorders>
            <w:shd w:val="clear" w:color="auto" w:fill="D0CECE" w:themeFill="background2" w:themeFillShade="E6"/>
            <w:vAlign w:val="center"/>
          </w:tcPr>
          <w:p w14:paraId="2E54AB4B"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126" w:type="dxa"/>
            <w:tcBorders>
              <w:left w:val="nil"/>
            </w:tcBorders>
            <w:shd w:val="clear" w:color="auto" w:fill="D0CECE" w:themeFill="background2" w:themeFillShade="E6"/>
            <w:vAlign w:val="center"/>
          </w:tcPr>
          <w:p w14:paraId="013C3351"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-10.5% (-13.8, -7.1)*</w:t>
            </w:r>
          </w:p>
        </w:tc>
        <w:tc>
          <w:tcPr>
            <w:tcW w:w="425" w:type="dxa"/>
            <w:tcBorders>
              <w:right w:val="nil"/>
            </w:tcBorders>
            <w:shd w:val="clear" w:color="auto" w:fill="D0CECE" w:themeFill="background2" w:themeFillShade="E6"/>
            <w:vAlign w:val="center"/>
          </w:tcPr>
          <w:p w14:paraId="7D896072"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D"/>
            </w:r>
          </w:p>
        </w:tc>
        <w:tc>
          <w:tcPr>
            <w:tcW w:w="2080" w:type="dxa"/>
            <w:tcBorders>
              <w:left w:val="nil"/>
              <w:right w:val="nil"/>
            </w:tcBorders>
            <w:shd w:val="clear" w:color="auto" w:fill="D0CECE" w:themeFill="background2" w:themeFillShade="E6"/>
            <w:vAlign w:val="center"/>
          </w:tcPr>
          <w:p w14:paraId="316117BC" w14:textId="77777777" w:rsidR="008D7F3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5.3% (0.6, 10.1)</w:t>
            </w:r>
          </w:p>
          <w:p w14:paraId="1A45F432" w14:textId="491A2AD4" w:rsidR="004C1975" w:rsidRPr="00231D2B" w:rsidRDefault="004C1975" w:rsidP="00400D57">
            <w:pPr>
              <w:jc w:val="center"/>
              <w:rPr>
                <w:rFonts w:ascii="Calibri" w:eastAsia="Times New Roman" w:hAnsi="Calibri" w:cs="Calibri"/>
                <w:color w:val="000000"/>
                <w:sz w:val="20"/>
                <w:szCs w:val="20"/>
                <w:lang w:eastAsia="en-GB"/>
              </w:rPr>
            </w:pPr>
            <w:r w:rsidRPr="00DD39CF">
              <w:rPr>
                <w:rFonts w:ascii="Calibri" w:eastAsia="Times New Roman" w:hAnsi="Calibri" w:cs="Calibri"/>
                <w:color w:val="000000"/>
                <w:sz w:val="16"/>
                <w:szCs w:val="16"/>
                <w:lang w:eastAsia="en-GB"/>
              </w:rPr>
              <w:t>p-value = 0.025</w:t>
            </w:r>
          </w:p>
        </w:tc>
      </w:tr>
      <w:tr w:rsidR="008D7F3B" w:rsidRPr="00185138" w14:paraId="10F20AD7" w14:textId="77777777" w:rsidTr="00400D57">
        <w:trPr>
          <w:trHeight w:val="300"/>
        </w:trPr>
        <w:tc>
          <w:tcPr>
            <w:tcW w:w="1276" w:type="dxa"/>
            <w:vMerge w:val="restart"/>
            <w:tcBorders>
              <w:left w:val="nil"/>
            </w:tcBorders>
            <w:shd w:val="clear" w:color="auto" w:fill="auto"/>
            <w:noWrap/>
            <w:tcMar>
              <w:top w:w="15" w:type="dxa"/>
              <w:left w:w="15" w:type="dxa"/>
              <w:bottom w:w="0" w:type="dxa"/>
              <w:right w:w="15" w:type="dxa"/>
            </w:tcMar>
            <w:vAlign w:val="center"/>
            <w:hideMark/>
          </w:tcPr>
          <w:p w14:paraId="467ADC17"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E. faecalis</w:t>
            </w:r>
          </w:p>
        </w:tc>
        <w:tc>
          <w:tcPr>
            <w:tcW w:w="992" w:type="dxa"/>
            <w:shd w:val="clear" w:color="auto" w:fill="auto"/>
            <w:noWrap/>
            <w:tcMar>
              <w:top w:w="15" w:type="dxa"/>
              <w:left w:w="15" w:type="dxa"/>
              <w:bottom w:w="0" w:type="dxa"/>
              <w:right w:w="15" w:type="dxa"/>
            </w:tcMar>
            <w:vAlign w:val="center"/>
            <w:hideMark/>
          </w:tcPr>
          <w:p w14:paraId="725A36FE"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-38.9</w:t>
            </w:r>
          </w:p>
        </w:tc>
        <w:tc>
          <w:tcPr>
            <w:tcW w:w="199" w:type="dxa"/>
            <w:tcBorders>
              <w:right w:val="nil"/>
            </w:tcBorders>
            <w:vAlign w:val="center"/>
          </w:tcPr>
          <w:p w14:paraId="09FCA9E9"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auto"/>
            <w:noWrap/>
            <w:tcMar>
              <w:top w:w="15" w:type="dxa"/>
              <w:left w:w="15" w:type="dxa"/>
              <w:bottom w:w="0" w:type="dxa"/>
              <w:right w:w="15" w:type="dxa"/>
            </w:tcMar>
            <w:vAlign w:val="center"/>
            <w:hideMark/>
          </w:tcPr>
          <w:p w14:paraId="3D0EF808"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-0.1% (-1.8, 1.7)</w:t>
            </w:r>
          </w:p>
        </w:tc>
        <w:tc>
          <w:tcPr>
            <w:tcW w:w="284" w:type="dxa"/>
            <w:tcBorders>
              <w:right w:val="nil"/>
            </w:tcBorders>
            <w:vAlign w:val="center"/>
          </w:tcPr>
          <w:p w14:paraId="024E2114" w14:textId="77777777" w:rsidR="008D7F3B" w:rsidRPr="00231D2B" w:rsidRDefault="008D7F3B" w:rsidP="00400D57">
            <w:pPr>
              <w:jc w:val="center"/>
              <w:rPr>
                <w:rFonts w:ascii="Calibri" w:eastAsia="Aptos" w:hAnsi="Calibri" w:cs="Calibri"/>
                <w:color w:val="000000"/>
                <w:sz w:val="20"/>
                <w:szCs w:val="20"/>
              </w:rPr>
            </w:pPr>
          </w:p>
        </w:tc>
        <w:tc>
          <w:tcPr>
            <w:tcW w:w="2126" w:type="dxa"/>
            <w:tcBorders>
              <w:left w:val="nil"/>
            </w:tcBorders>
            <w:vAlign w:val="center"/>
          </w:tcPr>
          <w:p w14:paraId="0A57AB66" w14:textId="77777777" w:rsidR="008D7F3B" w:rsidRPr="00231D2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1.1% ( -0.9, 3.1)</w:t>
            </w:r>
          </w:p>
        </w:tc>
        <w:tc>
          <w:tcPr>
            <w:tcW w:w="425" w:type="dxa"/>
            <w:tcBorders>
              <w:right w:val="nil"/>
            </w:tcBorders>
            <w:vAlign w:val="center"/>
          </w:tcPr>
          <w:p w14:paraId="60572532" w14:textId="77777777" w:rsidR="008D7F3B" w:rsidRPr="00231D2B" w:rsidRDefault="008D7F3B" w:rsidP="00400D57">
            <w:pPr>
              <w:jc w:val="center"/>
              <w:rPr>
                <w:rFonts w:ascii="Calibri" w:eastAsia="Aptos" w:hAnsi="Calibri" w:cs="Calibri"/>
                <w:color w:val="000000"/>
                <w:sz w:val="20"/>
                <w:szCs w:val="20"/>
              </w:rPr>
            </w:pPr>
          </w:p>
        </w:tc>
        <w:tc>
          <w:tcPr>
            <w:tcW w:w="2080" w:type="dxa"/>
            <w:tcBorders>
              <w:left w:val="nil"/>
              <w:right w:val="nil"/>
            </w:tcBorders>
            <w:vAlign w:val="center"/>
          </w:tcPr>
          <w:p w14:paraId="0A3AE864"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-1.2% (-2.9, 0.5)</w:t>
            </w:r>
          </w:p>
        </w:tc>
      </w:tr>
      <w:tr w:rsidR="008D7F3B" w:rsidRPr="00185138" w14:paraId="11DB44C3" w14:textId="77777777" w:rsidTr="00400D57">
        <w:trPr>
          <w:trHeight w:val="300"/>
        </w:trPr>
        <w:tc>
          <w:tcPr>
            <w:tcW w:w="1276" w:type="dxa"/>
            <w:vMerge/>
            <w:tcBorders>
              <w:left w:val="nil"/>
            </w:tcBorders>
            <w:shd w:val="clear" w:color="auto" w:fill="auto"/>
            <w:noWrap/>
            <w:tcMar>
              <w:top w:w="15" w:type="dxa"/>
              <w:left w:w="15" w:type="dxa"/>
              <w:bottom w:w="0" w:type="dxa"/>
              <w:right w:w="15" w:type="dxa"/>
            </w:tcMar>
            <w:vAlign w:val="center"/>
            <w:hideMark/>
          </w:tcPr>
          <w:p w14:paraId="30968AA9" w14:textId="77777777" w:rsidR="008D7F3B" w:rsidRPr="00231D2B" w:rsidRDefault="008D7F3B" w:rsidP="00400D57">
            <w:pPr>
              <w:jc w:val="center"/>
              <w:rPr>
                <w:rFonts w:ascii="Calibri" w:eastAsia="Times New Roman" w:hAnsi="Calibri" w:cs="Calibri"/>
                <w:i/>
                <w:iCs/>
                <w:color w:val="000000"/>
                <w:sz w:val="20"/>
                <w:szCs w:val="20"/>
                <w:lang w:eastAsia="en-GB"/>
              </w:rPr>
            </w:pPr>
          </w:p>
        </w:tc>
        <w:tc>
          <w:tcPr>
            <w:tcW w:w="992" w:type="dxa"/>
            <w:shd w:val="clear" w:color="auto" w:fill="D0CECE" w:themeFill="background2" w:themeFillShade="E6"/>
            <w:noWrap/>
            <w:tcMar>
              <w:top w:w="15" w:type="dxa"/>
              <w:left w:w="15" w:type="dxa"/>
              <w:bottom w:w="0" w:type="dxa"/>
              <w:right w:w="15" w:type="dxa"/>
            </w:tcMar>
            <w:vAlign w:val="center"/>
            <w:hideMark/>
          </w:tcPr>
          <w:p w14:paraId="1A5243D9"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-7.75</w:t>
            </w:r>
          </w:p>
        </w:tc>
        <w:tc>
          <w:tcPr>
            <w:tcW w:w="199" w:type="dxa"/>
            <w:tcBorders>
              <w:right w:val="nil"/>
            </w:tcBorders>
            <w:shd w:val="clear" w:color="auto" w:fill="D0CECE" w:themeFill="background2" w:themeFillShade="E6"/>
            <w:vAlign w:val="center"/>
          </w:tcPr>
          <w:p w14:paraId="61019620"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D0CECE" w:themeFill="background2" w:themeFillShade="E6"/>
            <w:noWrap/>
            <w:tcMar>
              <w:top w:w="15" w:type="dxa"/>
              <w:left w:w="15" w:type="dxa"/>
              <w:bottom w:w="0" w:type="dxa"/>
              <w:right w:w="15" w:type="dxa"/>
            </w:tcMar>
            <w:vAlign w:val="center"/>
            <w:hideMark/>
          </w:tcPr>
          <w:p w14:paraId="14E92F9B"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1.3% (-3.8, 6.7)</w:t>
            </w:r>
          </w:p>
        </w:tc>
        <w:tc>
          <w:tcPr>
            <w:tcW w:w="284" w:type="dxa"/>
            <w:tcBorders>
              <w:right w:val="nil"/>
            </w:tcBorders>
            <w:shd w:val="clear" w:color="auto" w:fill="D0CECE" w:themeFill="background2" w:themeFillShade="E6"/>
            <w:vAlign w:val="center"/>
          </w:tcPr>
          <w:p w14:paraId="50D408F3" w14:textId="77777777" w:rsidR="008D7F3B" w:rsidRPr="00231D2B" w:rsidRDefault="008D7F3B" w:rsidP="00400D57">
            <w:pPr>
              <w:jc w:val="center"/>
              <w:rPr>
                <w:rFonts w:ascii="Calibri" w:eastAsia="Aptos" w:hAnsi="Calibri" w:cs="Calibri"/>
                <w:color w:val="000000"/>
                <w:sz w:val="20"/>
                <w:szCs w:val="20"/>
              </w:rPr>
            </w:pPr>
          </w:p>
        </w:tc>
        <w:tc>
          <w:tcPr>
            <w:tcW w:w="2126" w:type="dxa"/>
            <w:tcBorders>
              <w:left w:val="nil"/>
            </w:tcBorders>
            <w:shd w:val="clear" w:color="auto" w:fill="D0CECE" w:themeFill="background2" w:themeFillShade="E6"/>
            <w:vAlign w:val="center"/>
          </w:tcPr>
          <w:p w14:paraId="71684298" w14:textId="77777777" w:rsidR="008D7F3B" w:rsidRPr="00231D2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-3.4% ( -8.8, 2.2)</w:t>
            </w:r>
          </w:p>
        </w:tc>
        <w:tc>
          <w:tcPr>
            <w:tcW w:w="425" w:type="dxa"/>
            <w:tcBorders>
              <w:right w:val="nil"/>
            </w:tcBorders>
            <w:shd w:val="clear" w:color="auto" w:fill="D0CECE" w:themeFill="background2" w:themeFillShade="E6"/>
            <w:vAlign w:val="center"/>
          </w:tcPr>
          <w:p w14:paraId="47CFA5C6" w14:textId="77777777" w:rsidR="008D7F3B" w:rsidRPr="00231D2B" w:rsidRDefault="008D7F3B" w:rsidP="00400D57">
            <w:pPr>
              <w:jc w:val="center"/>
              <w:rPr>
                <w:rFonts w:ascii="Calibri" w:eastAsia="Aptos" w:hAnsi="Calibri" w:cs="Calibri"/>
                <w:color w:val="000000"/>
                <w:sz w:val="20"/>
                <w:szCs w:val="20"/>
              </w:rPr>
            </w:pPr>
          </w:p>
        </w:tc>
        <w:tc>
          <w:tcPr>
            <w:tcW w:w="2080" w:type="dxa"/>
            <w:tcBorders>
              <w:left w:val="nil"/>
              <w:right w:val="nil"/>
            </w:tcBorders>
            <w:shd w:val="clear" w:color="auto" w:fill="D0CECE" w:themeFill="background2" w:themeFillShade="E6"/>
            <w:vAlign w:val="center"/>
          </w:tcPr>
          <w:p w14:paraId="04176DC8"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6.3% (-0.4, 13.5)</w:t>
            </w:r>
          </w:p>
        </w:tc>
      </w:tr>
      <w:tr w:rsidR="008D7F3B" w:rsidRPr="00185138" w14:paraId="26BFED36" w14:textId="77777777" w:rsidTr="00400D57">
        <w:trPr>
          <w:trHeight w:val="300"/>
        </w:trPr>
        <w:tc>
          <w:tcPr>
            <w:tcW w:w="1276" w:type="dxa"/>
            <w:vMerge w:val="restart"/>
            <w:tcBorders>
              <w:left w:val="nil"/>
            </w:tcBorders>
            <w:shd w:val="clear" w:color="auto" w:fill="auto"/>
            <w:noWrap/>
            <w:tcMar>
              <w:top w:w="15" w:type="dxa"/>
              <w:left w:w="15" w:type="dxa"/>
              <w:bottom w:w="0" w:type="dxa"/>
              <w:right w:w="15" w:type="dxa"/>
            </w:tcMar>
            <w:vAlign w:val="center"/>
            <w:hideMark/>
          </w:tcPr>
          <w:p w14:paraId="23E99BAC"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E. faecium</w:t>
            </w:r>
          </w:p>
        </w:tc>
        <w:tc>
          <w:tcPr>
            <w:tcW w:w="992" w:type="dxa"/>
            <w:shd w:val="clear" w:color="auto" w:fill="auto"/>
            <w:noWrap/>
            <w:tcMar>
              <w:top w:w="15" w:type="dxa"/>
              <w:left w:w="15" w:type="dxa"/>
              <w:bottom w:w="0" w:type="dxa"/>
              <w:right w:w="15" w:type="dxa"/>
            </w:tcMar>
            <w:vAlign w:val="center"/>
            <w:hideMark/>
          </w:tcPr>
          <w:p w14:paraId="5405DD1D"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+6.5</w:t>
            </w:r>
          </w:p>
        </w:tc>
        <w:tc>
          <w:tcPr>
            <w:tcW w:w="199" w:type="dxa"/>
            <w:tcBorders>
              <w:right w:val="nil"/>
            </w:tcBorders>
            <w:vAlign w:val="center"/>
          </w:tcPr>
          <w:p w14:paraId="00009441"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hAnsi="Calibri" w:cs="Calibri"/>
                <w:b/>
                <w:bCs/>
                <w:color w:val="000000"/>
                <w:sz w:val="20"/>
                <w:szCs w:val="20"/>
              </w:rPr>
              <w:sym w:font="Symbol" w:char="F0AF"/>
            </w:r>
          </w:p>
        </w:tc>
        <w:tc>
          <w:tcPr>
            <w:tcW w:w="1644" w:type="dxa"/>
            <w:tcBorders>
              <w:left w:val="nil"/>
            </w:tcBorders>
            <w:shd w:val="clear" w:color="auto" w:fill="auto"/>
            <w:noWrap/>
            <w:tcMar>
              <w:top w:w="15" w:type="dxa"/>
              <w:left w:w="15" w:type="dxa"/>
              <w:bottom w:w="0" w:type="dxa"/>
              <w:right w:w="15" w:type="dxa"/>
            </w:tcMar>
            <w:vAlign w:val="center"/>
            <w:hideMark/>
          </w:tcPr>
          <w:p w14:paraId="3144389D" w14:textId="03F6EC0A" w:rsidR="00016DC1" w:rsidRPr="00231D2B" w:rsidRDefault="008D7F3B" w:rsidP="00016DC1">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-7.5% (-10.2, -4.7)*</w:t>
            </w:r>
          </w:p>
        </w:tc>
        <w:tc>
          <w:tcPr>
            <w:tcW w:w="284" w:type="dxa"/>
            <w:tcBorders>
              <w:right w:val="nil"/>
            </w:tcBorders>
            <w:vAlign w:val="center"/>
          </w:tcPr>
          <w:p w14:paraId="213C9EF4"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126" w:type="dxa"/>
            <w:tcBorders>
              <w:left w:val="nil"/>
            </w:tcBorders>
            <w:vAlign w:val="center"/>
          </w:tcPr>
          <w:p w14:paraId="175C5FE2" w14:textId="77777777" w:rsidR="008D7F3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-7.1% (-10.5, -3.7)</w:t>
            </w:r>
          </w:p>
          <w:p w14:paraId="2DAAB595" w14:textId="5FA982BF" w:rsidR="004C1975" w:rsidRPr="00231D2B" w:rsidRDefault="004C1975" w:rsidP="00400D57">
            <w:pPr>
              <w:jc w:val="center"/>
              <w:rPr>
                <w:rFonts w:ascii="Calibri" w:eastAsia="Aptos" w:hAnsi="Calibri" w:cs="Calibri"/>
                <w:color w:val="000000"/>
                <w:sz w:val="20"/>
                <w:szCs w:val="20"/>
              </w:rPr>
            </w:pPr>
            <w:r w:rsidRPr="00DD39CF">
              <w:rPr>
                <w:rFonts w:ascii="Calibri" w:eastAsia="Aptos" w:hAnsi="Calibri" w:cs="Calibri"/>
                <w:color w:val="000000"/>
                <w:sz w:val="16"/>
                <w:szCs w:val="16"/>
              </w:rPr>
              <w:t>p-value = 0.0001</w:t>
            </w:r>
          </w:p>
        </w:tc>
        <w:tc>
          <w:tcPr>
            <w:tcW w:w="425" w:type="dxa"/>
            <w:tcBorders>
              <w:right w:val="nil"/>
            </w:tcBorders>
            <w:vAlign w:val="center"/>
          </w:tcPr>
          <w:p w14:paraId="0904DEC9"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080" w:type="dxa"/>
            <w:tcBorders>
              <w:left w:val="nil"/>
              <w:right w:val="nil"/>
            </w:tcBorders>
            <w:vAlign w:val="center"/>
          </w:tcPr>
          <w:p w14:paraId="1AE38DB4"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-7.8% (-10.7, -4.9)*</w:t>
            </w:r>
          </w:p>
        </w:tc>
      </w:tr>
      <w:tr w:rsidR="008D7F3B" w:rsidRPr="00185138" w14:paraId="7F2738EB" w14:textId="77777777" w:rsidTr="00400D57">
        <w:trPr>
          <w:trHeight w:val="300"/>
        </w:trPr>
        <w:tc>
          <w:tcPr>
            <w:tcW w:w="1276" w:type="dxa"/>
            <w:vMerge/>
            <w:tcBorders>
              <w:left w:val="nil"/>
            </w:tcBorders>
            <w:shd w:val="clear" w:color="auto" w:fill="auto"/>
            <w:noWrap/>
            <w:tcMar>
              <w:top w:w="15" w:type="dxa"/>
              <w:left w:w="15" w:type="dxa"/>
              <w:bottom w:w="0" w:type="dxa"/>
              <w:right w:w="15" w:type="dxa"/>
            </w:tcMar>
            <w:vAlign w:val="center"/>
            <w:hideMark/>
          </w:tcPr>
          <w:p w14:paraId="2BFBFAA6" w14:textId="77777777" w:rsidR="008D7F3B" w:rsidRPr="00231D2B" w:rsidRDefault="008D7F3B" w:rsidP="00400D57">
            <w:pPr>
              <w:jc w:val="center"/>
              <w:rPr>
                <w:rFonts w:ascii="Calibri" w:eastAsia="Times New Roman" w:hAnsi="Calibri" w:cs="Calibri"/>
                <w:i/>
                <w:iCs/>
                <w:color w:val="000000"/>
                <w:sz w:val="20"/>
                <w:szCs w:val="20"/>
                <w:lang w:eastAsia="en-GB"/>
              </w:rPr>
            </w:pPr>
          </w:p>
        </w:tc>
        <w:tc>
          <w:tcPr>
            <w:tcW w:w="992" w:type="dxa"/>
            <w:shd w:val="clear" w:color="auto" w:fill="D0CECE" w:themeFill="background2" w:themeFillShade="E6"/>
            <w:noWrap/>
            <w:tcMar>
              <w:top w:w="15" w:type="dxa"/>
              <w:left w:w="15" w:type="dxa"/>
              <w:bottom w:w="0" w:type="dxa"/>
              <w:right w:w="15" w:type="dxa"/>
            </w:tcMar>
            <w:vAlign w:val="center"/>
            <w:hideMark/>
          </w:tcPr>
          <w:p w14:paraId="7CCB7776"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+2.0</w:t>
            </w:r>
          </w:p>
        </w:tc>
        <w:tc>
          <w:tcPr>
            <w:tcW w:w="199" w:type="dxa"/>
            <w:tcBorders>
              <w:right w:val="nil"/>
            </w:tcBorders>
            <w:shd w:val="clear" w:color="auto" w:fill="D0CECE" w:themeFill="background2" w:themeFillShade="E6"/>
            <w:vAlign w:val="center"/>
          </w:tcPr>
          <w:p w14:paraId="24B2DCCF"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hAnsi="Calibri" w:cs="Calibri"/>
                <w:b/>
                <w:bCs/>
                <w:color w:val="000000"/>
                <w:sz w:val="20"/>
                <w:szCs w:val="20"/>
              </w:rPr>
              <w:sym w:font="Symbol" w:char="F0AD"/>
            </w:r>
          </w:p>
        </w:tc>
        <w:tc>
          <w:tcPr>
            <w:tcW w:w="1644" w:type="dxa"/>
            <w:tcBorders>
              <w:left w:val="nil"/>
            </w:tcBorders>
            <w:shd w:val="clear" w:color="auto" w:fill="D0CECE" w:themeFill="background2" w:themeFillShade="E6"/>
            <w:noWrap/>
            <w:tcMar>
              <w:top w:w="15" w:type="dxa"/>
              <w:left w:w="15" w:type="dxa"/>
              <w:bottom w:w="0" w:type="dxa"/>
              <w:right w:w="15" w:type="dxa"/>
            </w:tcMar>
            <w:vAlign w:val="center"/>
            <w:hideMark/>
          </w:tcPr>
          <w:p w14:paraId="48F5C72F" w14:textId="77777777" w:rsidR="008D7F3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23.8% (10.4, 38.8)</w:t>
            </w:r>
          </w:p>
          <w:p w14:paraId="7CCDBD40" w14:textId="7EBE1778" w:rsidR="00016DC1" w:rsidRPr="00231D2B" w:rsidRDefault="00016DC1" w:rsidP="00400D57">
            <w:pPr>
              <w:jc w:val="center"/>
              <w:rPr>
                <w:rFonts w:ascii="Calibri" w:eastAsia="Times New Roman" w:hAnsi="Calibri" w:cs="Calibri"/>
                <w:color w:val="000000"/>
                <w:sz w:val="20"/>
                <w:szCs w:val="20"/>
                <w:lang w:eastAsia="en-GB"/>
              </w:rPr>
            </w:pPr>
            <w:r w:rsidRPr="00DD39CF">
              <w:rPr>
                <w:rFonts w:ascii="Calibri" w:eastAsia="Times New Roman" w:hAnsi="Calibri" w:cs="Calibri"/>
                <w:color w:val="000000"/>
                <w:sz w:val="16"/>
                <w:szCs w:val="16"/>
                <w:lang w:eastAsia="en-GB"/>
              </w:rPr>
              <w:t>p-value = 0.0002</w:t>
            </w:r>
          </w:p>
        </w:tc>
        <w:tc>
          <w:tcPr>
            <w:tcW w:w="284" w:type="dxa"/>
            <w:tcBorders>
              <w:right w:val="nil"/>
            </w:tcBorders>
            <w:shd w:val="clear" w:color="auto" w:fill="D0CECE" w:themeFill="background2" w:themeFillShade="E6"/>
            <w:vAlign w:val="center"/>
          </w:tcPr>
          <w:p w14:paraId="7BE22819"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D"/>
            </w:r>
          </w:p>
        </w:tc>
        <w:tc>
          <w:tcPr>
            <w:tcW w:w="2126" w:type="dxa"/>
            <w:tcBorders>
              <w:left w:val="nil"/>
            </w:tcBorders>
            <w:shd w:val="clear" w:color="auto" w:fill="D0CECE" w:themeFill="background2" w:themeFillShade="E6"/>
            <w:vAlign w:val="center"/>
          </w:tcPr>
          <w:p w14:paraId="161A80F0" w14:textId="77777777" w:rsidR="008D7F3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15.5% (1.0, 32.0)</w:t>
            </w:r>
          </w:p>
          <w:p w14:paraId="2E293DFF" w14:textId="02812E7A" w:rsidR="004C1975" w:rsidRPr="00231D2B" w:rsidRDefault="004C1975" w:rsidP="00400D57">
            <w:pPr>
              <w:jc w:val="center"/>
              <w:rPr>
                <w:rFonts w:ascii="Calibri" w:eastAsia="Aptos" w:hAnsi="Calibri" w:cs="Calibri"/>
                <w:color w:val="000000"/>
                <w:sz w:val="20"/>
                <w:szCs w:val="20"/>
              </w:rPr>
            </w:pPr>
            <w:r w:rsidRPr="00DD39CF">
              <w:rPr>
                <w:rFonts w:ascii="Calibri" w:eastAsia="Aptos" w:hAnsi="Calibri" w:cs="Calibri"/>
                <w:color w:val="000000"/>
                <w:sz w:val="16"/>
                <w:szCs w:val="16"/>
              </w:rPr>
              <w:t>p-value = 0.0358</w:t>
            </w:r>
          </w:p>
        </w:tc>
        <w:tc>
          <w:tcPr>
            <w:tcW w:w="425" w:type="dxa"/>
            <w:tcBorders>
              <w:right w:val="nil"/>
            </w:tcBorders>
            <w:shd w:val="clear" w:color="auto" w:fill="D0CECE" w:themeFill="background2" w:themeFillShade="E6"/>
            <w:vAlign w:val="center"/>
          </w:tcPr>
          <w:p w14:paraId="7F3C1D4D"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D"/>
            </w:r>
          </w:p>
        </w:tc>
        <w:tc>
          <w:tcPr>
            <w:tcW w:w="2080" w:type="dxa"/>
            <w:tcBorders>
              <w:left w:val="nil"/>
              <w:right w:val="nil"/>
            </w:tcBorders>
            <w:shd w:val="clear" w:color="auto" w:fill="D0CECE" w:themeFill="background2" w:themeFillShade="E6"/>
            <w:vAlign w:val="center"/>
          </w:tcPr>
          <w:p w14:paraId="403CFF9E"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32.8% (16.1, 51.7)*</w:t>
            </w:r>
          </w:p>
        </w:tc>
      </w:tr>
      <w:tr w:rsidR="008D7F3B" w:rsidRPr="00185138" w14:paraId="115F7D62" w14:textId="77777777" w:rsidTr="00400D57">
        <w:trPr>
          <w:trHeight w:val="300"/>
        </w:trPr>
        <w:tc>
          <w:tcPr>
            <w:tcW w:w="1276" w:type="dxa"/>
            <w:vMerge w:val="restart"/>
            <w:tcBorders>
              <w:left w:val="nil"/>
            </w:tcBorders>
            <w:shd w:val="clear" w:color="auto" w:fill="auto"/>
            <w:noWrap/>
            <w:tcMar>
              <w:top w:w="15" w:type="dxa"/>
              <w:left w:w="15" w:type="dxa"/>
              <w:bottom w:w="0" w:type="dxa"/>
              <w:right w:w="15" w:type="dxa"/>
            </w:tcMar>
            <w:vAlign w:val="center"/>
            <w:hideMark/>
          </w:tcPr>
          <w:p w14:paraId="1EBF9E7D"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E. coli</w:t>
            </w:r>
          </w:p>
        </w:tc>
        <w:tc>
          <w:tcPr>
            <w:tcW w:w="992" w:type="dxa"/>
            <w:shd w:val="clear" w:color="auto" w:fill="auto"/>
            <w:noWrap/>
            <w:tcMar>
              <w:top w:w="15" w:type="dxa"/>
              <w:left w:w="15" w:type="dxa"/>
              <w:bottom w:w="0" w:type="dxa"/>
              <w:right w:w="15" w:type="dxa"/>
            </w:tcMar>
            <w:vAlign w:val="center"/>
            <w:hideMark/>
          </w:tcPr>
          <w:p w14:paraId="382FD27D"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-60.4</w:t>
            </w:r>
          </w:p>
        </w:tc>
        <w:tc>
          <w:tcPr>
            <w:tcW w:w="199" w:type="dxa"/>
            <w:tcBorders>
              <w:right w:val="nil"/>
            </w:tcBorders>
            <w:vAlign w:val="center"/>
          </w:tcPr>
          <w:p w14:paraId="1DAADE47"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hAnsi="Calibri" w:cs="Calibri"/>
                <w:b/>
                <w:bCs/>
                <w:color w:val="000000"/>
                <w:sz w:val="20"/>
                <w:szCs w:val="20"/>
              </w:rPr>
              <w:sym w:font="Symbol" w:char="F0AF"/>
            </w:r>
          </w:p>
        </w:tc>
        <w:tc>
          <w:tcPr>
            <w:tcW w:w="1644" w:type="dxa"/>
            <w:tcBorders>
              <w:left w:val="nil"/>
            </w:tcBorders>
            <w:shd w:val="clear" w:color="auto" w:fill="auto"/>
            <w:noWrap/>
            <w:tcMar>
              <w:top w:w="15" w:type="dxa"/>
              <w:left w:w="15" w:type="dxa"/>
              <w:bottom w:w="0" w:type="dxa"/>
              <w:right w:w="15" w:type="dxa"/>
            </w:tcMar>
            <w:vAlign w:val="center"/>
            <w:hideMark/>
          </w:tcPr>
          <w:p w14:paraId="23F11678" w14:textId="77777777" w:rsidR="008D7F3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-1.5% (-2.2, -0.7)</w:t>
            </w:r>
          </w:p>
          <w:p w14:paraId="3F1E0D9A" w14:textId="62E7175C" w:rsidR="00016DC1" w:rsidRPr="00231D2B" w:rsidRDefault="00016DC1" w:rsidP="00400D57">
            <w:pPr>
              <w:jc w:val="center"/>
              <w:rPr>
                <w:rFonts w:ascii="Calibri" w:eastAsia="Times New Roman" w:hAnsi="Calibri" w:cs="Calibri"/>
                <w:color w:val="000000"/>
                <w:sz w:val="20"/>
                <w:szCs w:val="20"/>
                <w:lang w:eastAsia="en-GB"/>
              </w:rPr>
            </w:pPr>
            <w:r w:rsidRPr="00DD39CF">
              <w:rPr>
                <w:rFonts w:ascii="Calibri" w:eastAsia="Times New Roman" w:hAnsi="Calibri" w:cs="Calibri"/>
                <w:color w:val="000000"/>
                <w:sz w:val="16"/>
                <w:szCs w:val="16"/>
                <w:lang w:eastAsia="en-GB"/>
              </w:rPr>
              <w:t>p-value = 0.0001</w:t>
            </w:r>
          </w:p>
        </w:tc>
        <w:tc>
          <w:tcPr>
            <w:tcW w:w="284" w:type="dxa"/>
            <w:tcBorders>
              <w:right w:val="nil"/>
            </w:tcBorders>
            <w:vAlign w:val="center"/>
          </w:tcPr>
          <w:p w14:paraId="7EFCB58B" w14:textId="77777777" w:rsidR="008D7F3B" w:rsidRPr="00231D2B" w:rsidRDefault="008D7F3B" w:rsidP="00400D57">
            <w:pPr>
              <w:jc w:val="center"/>
              <w:rPr>
                <w:rFonts w:ascii="Calibri" w:eastAsia="Aptos" w:hAnsi="Calibri" w:cs="Calibri"/>
                <w:color w:val="000000"/>
                <w:sz w:val="20"/>
                <w:szCs w:val="20"/>
              </w:rPr>
            </w:pPr>
          </w:p>
        </w:tc>
        <w:tc>
          <w:tcPr>
            <w:tcW w:w="2126" w:type="dxa"/>
            <w:tcBorders>
              <w:left w:val="nil"/>
            </w:tcBorders>
            <w:vAlign w:val="center"/>
          </w:tcPr>
          <w:p w14:paraId="3FCD8537" w14:textId="77777777" w:rsidR="008D7F3B" w:rsidRPr="00231D2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-0.6% ( -1.4, 0.3)</w:t>
            </w:r>
          </w:p>
        </w:tc>
        <w:tc>
          <w:tcPr>
            <w:tcW w:w="425" w:type="dxa"/>
            <w:tcBorders>
              <w:right w:val="nil"/>
            </w:tcBorders>
            <w:vAlign w:val="center"/>
          </w:tcPr>
          <w:p w14:paraId="4A7C623A"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080" w:type="dxa"/>
            <w:tcBorders>
              <w:left w:val="nil"/>
              <w:right w:val="nil"/>
            </w:tcBorders>
            <w:vAlign w:val="center"/>
          </w:tcPr>
          <w:p w14:paraId="20D11D58"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-2.3% (-3.2, -1.5)*</w:t>
            </w:r>
          </w:p>
        </w:tc>
      </w:tr>
      <w:tr w:rsidR="008D7F3B" w:rsidRPr="00185138" w14:paraId="5A8A7BDB" w14:textId="77777777" w:rsidTr="00400D57">
        <w:trPr>
          <w:trHeight w:val="300"/>
        </w:trPr>
        <w:tc>
          <w:tcPr>
            <w:tcW w:w="1276" w:type="dxa"/>
            <w:vMerge/>
            <w:tcBorders>
              <w:left w:val="nil"/>
            </w:tcBorders>
            <w:shd w:val="clear" w:color="auto" w:fill="auto"/>
            <w:noWrap/>
            <w:tcMar>
              <w:top w:w="15" w:type="dxa"/>
              <w:left w:w="15" w:type="dxa"/>
              <w:bottom w:w="0" w:type="dxa"/>
              <w:right w:w="15" w:type="dxa"/>
            </w:tcMar>
            <w:vAlign w:val="center"/>
            <w:hideMark/>
          </w:tcPr>
          <w:p w14:paraId="1759C5DC" w14:textId="77777777" w:rsidR="008D7F3B" w:rsidRPr="00231D2B" w:rsidRDefault="008D7F3B" w:rsidP="00400D57">
            <w:pPr>
              <w:jc w:val="center"/>
              <w:rPr>
                <w:rFonts w:ascii="Calibri" w:eastAsia="Times New Roman" w:hAnsi="Calibri" w:cs="Calibri"/>
                <w:i/>
                <w:iCs/>
                <w:color w:val="000000"/>
                <w:sz w:val="20"/>
                <w:szCs w:val="20"/>
                <w:lang w:eastAsia="en-GB"/>
              </w:rPr>
            </w:pPr>
          </w:p>
        </w:tc>
        <w:tc>
          <w:tcPr>
            <w:tcW w:w="992" w:type="dxa"/>
            <w:shd w:val="clear" w:color="auto" w:fill="D0CECE" w:themeFill="background2" w:themeFillShade="E6"/>
            <w:noWrap/>
            <w:tcMar>
              <w:top w:w="15" w:type="dxa"/>
              <w:left w:w="15" w:type="dxa"/>
              <w:bottom w:w="0" w:type="dxa"/>
              <w:right w:w="15" w:type="dxa"/>
            </w:tcMar>
            <w:vAlign w:val="center"/>
            <w:hideMark/>
          </w:tcPr>
          <w:p w14:paraId="6A0857AB"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+26.5</w:t>
            </w:r>
          </w:p>
        </w:tc>
        <w:tc>
          <w:tcPr>
            <w:tcW w:w="199" w:type="dxa"/>
            <w:tcBorders>
              <w:right w:val="nil"/>
            </w:tcBorders>
            <w:shd w:val="clear" w:color="auto" w:fill="D0CECE" w:themeFill="background2" w:themeFillShade="E6"/>
            <w:vAlign w:val="center"/>
          </w:tcPr>
          <w:p w14:paraId="5D1837A7"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D0CECE" w:themeFill="background2" w:themeFillShade="E6"/>
            <w:noWrap/>
            <w:tcMar>
              <w:top w:w="15" w:type="dxa"/>
              <w:left w:w="15" w:type="dxa"/>
              <w:bottom w:w="0" w:type="dxa"/>
              <w:right w:w="15" w:type="dxa"/>
            </w:tcMar>
            <w:vAlign w:val="center"/>
            <w:hideMark/>
          </w:tcPr>
          <w:p w14:paraId="051BD72A"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-1.1% (-4.3, 2.2)</w:t>
            </w:r>
          </w:p>
        </w:tc>
        <w:tc>
          <w:tcPr>
            <w:tcW w:w="284" w:type="dxa"/>
            <w:tcBorders>
              <w:right w:val="nil"/>
            </w:tcBorders>
            <w:shd w:val="clear" w:color="auto" w:fill="D0CECE" w:themeFill="background2" w:themeFillShade="E6"/>
            <w:vAlign w:val="center"/>
          </w:tcPr>
          <w:p w14:paraId="181A2367"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126" w:type="dxa"/>
            <w:tcBorders>
              <w:left w:val="nil"/>
            </w:tcBorders>
            <w:shd w:val="clear" w:color="auto" w:fill="D0CECE" w:themeFill="background2" w:themeFillShade="E6"/>
            <w:vAlign w:val="center"/>
          </w:tcPr>
          <w:p w14:paraId="0E3ACAD6" w14:textId="77777777" w:rsidR="008D7F3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-6.5% (-10.1, -2.8)</w:t>
            </w:r>
          </w:p>
          <w:p w14:paraId="3DCCE249" w14:textId="667ACCF3" w:rsidR="004C1975" w:rsidRPr="00231D2B" w:rsidRDefault="004C1975" w:rsidP="00400D57">
            <w:pPr>
              <w:jc w:val="center"/>
              <w:rPr>
                <w:rFonts w:ascii="Calibri" w:eastAsia="Aptos" w:hAnsi="Calibri" w:cs="Calibri"/>
                <w:color w:val="000000"/>
                <w:sz w:val="20"/>
                <w:szCs w:val="20"/>
              </w:rPr>
            </w:pPr>
            <w:r w:rsidRPr="00DD39CF">
              <w:rPr>
                <w:rFonts w:ascii="Calibri" w:eastAsia="Aptos" w:hAnsi="Calibri" w:cs="Calibri"/>
                <w:color w:val="000000"/>
                <w:sz w:val="16"/>
                <w:szCs w:val="16"/>
              </w:rPr>
              <w:t>p-value = 0.0007</w:t>
            </w:r>
          </w:p>
        </w:tc>
        <w:tc>
          <w:tcPr>
            <w:tcW w:w="425" w:type="dxa"/>
            <w:tcBorders>
              <w:right w:val="nil"/>
            </w:tcBorders>
            <w:shd w:val="clear" w:color="auto" w:fill="D0CECE" w:themeFill="background2" w:themeFillShade="E6"/>
            <w:vAlign w:val="center"/>
          </w:tcPr>
          <w:p w14:paraId="7811E960" w14:textId="77777777" w:rsidR="008D7F3B" w:rsidRPr="00231D2B" w:rsidRDefault="008D7F3B" w:rsidP="00400D57">
            <w:pPr>
              <w:jc w:val="center"/>
              <w:rPr>
                <w:rFonts w:ascii="Calibri" w:eastAsia="Aptos" w:hAnsi="Calibri" w:cs="Calibri"/>
                <w:color w:val="000000"/>
                <w:sz w:val="20"/>
                <w:szCs w:val="20"/>
              </w:rPr>
            </w:pPr>
          </w:p>
        </w:tc>
        <w:tc>
          <w:tcPr>
            <w:tcW w:w="2080" w:type="dxa"/>
            <w:tcBorders>
              <w:left w:val="nil"/>
              <w:right w:val="nil"/>
            </w:tcBorders>
            <w:shd w:val="clear" w:color="auto" w:fill="D0CECE" w:themeFill="background2" w:themeFillShade="E6"/>
            <w:vAlign w:val="center"/>
          </w:tcPr>
          <w:p w14:paraId="6233066D"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4.6% (-0.1, 9.5)</w:t>
            </w:r>
          </w:p>
        </w:tc>
      </w:tr>
      <w:tr w:rsidR="008D7F3B" w:rsidRPr="00185138" w14:paraId="71947D1E" w14:textId="77777777" w:rsidTr="00400D57">
        <w:trPr>
          <w:trHeight w:val="300"/>
        </w:trPr>
        <w:tc>
          <w:tcPr>
            <w:tcW w:w="1276" w:type="dxa"/>
            <w:vMerge w:val="restart"/>
            <w:tcBorders>
              <w:left w:val="nil"/>
            </w:tcBorders>
            <w:shd w:val="clear" w:color="auto" w:fill="auto"/>
            <w:noWrap/>
            <w:tcMar>
              <w:top w:w="15" w:type="dxa"/>
              <w:left w:w="15" w:type="dxa"/>
              <w:bottom w:w="0" w:type="dxa"/>
              <w:right w:w="15" w:type="dxa"/>
            </w:tcMar>
            <w:vAlign w:val="center"/>
            <w:hideMark/>
          </w:tcPr>
          <w:p w14:paraId="0DBE6EDB"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K. pneumoniae</w:t>
            </w:r>
          </w:p>
        </w:tc>
        <w:tc>
          <w:tcPr>
            <w:tcW w:w="992" w:type="dxa"/>
            <w:shd w:val="clear" w:color="auto" w:fill="auto"/>
            <w:noWrap/>
            <w:tcMar>
              <w:top w:w="15" w:type="dxa"/>
              <w:left w:w="15" w:type="dxa"/>
              <w:bottom w:w="0" w:type="dxa"/>
              <w:right w:w="15" w:type="dxa"/>
            </w:tcMar>
            <w:vAlign w:val="center"/>
            <w:hideMark/>
          </w:tcPr>
          <w:p w14:paraId="5DAF896B"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-5.0</w:t>
            </w:r>
          </w:p>
        </w:tc>
        <w:tc>
          <w:tcPr>
            <w:tcW w:w="199" w:type="dxa"/>
            <w:tcBorders>
              <w:right w:val="nil"/>
            </w:tcBorders>
            <w:vAlign w:val="center"/>
          </w:tcPr>
          <w:p w14:paraId="3237C11D"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auto"/>
            <w:noWrap/>
            <w:tcMar>
              <w:top w:w="15" w:type="dxa"/>
              <w:left w:w="15" w:type="dxa"/>
              <w:bottom w:w="0" w:type="dxa"/>
              <w:right w:w="15" w:type="dxa"/>
            </w:tcMar>
            <w:vAlign w:val="center"/>
            <w:hideMark/>
          </w:tcPr>
          <w:p w14:paraId="1FF836F3"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-0.5% (-1.6, 0.5)</w:t>
            </w:r>
          </w:p>
        </w:tc>
        <w:tc>
          <w:tcPr>
            <w:tcW w:w="284" w:type="dxa"/>
            <w:tcBorders>
              <w:right w:val="nil"/>
            </w:tcBorders>
            <w:vAlign w:val="center"/>
          </w:tcPr>
          <w:p w14:paraId="1060D1B6" w14:textId="77777777" w:rsidR="008D7F3B" w:rsidRPr="00231D2B" w:rsidRDefault="008D7F3B" w:rsidP="00400D57">
            <w:pPr>
              <w:jc w:val="center"/>
              <w:rPr>
                <w:rFonts w:ascii="Calibri" w:eastAsia="Aptos" w:hAnsi="Calibri" w:cs="Calibri"/>
                <w:color w:val="000000"/>
                <w:sz w:val="20"/>
                <w:szCs w:val="20"/>
              </w:rPr>
            </w:pPr>
          </w:p>
        </w:tc>
        <w:tc>
          <w:tcPr>
            <w:tcW w:w="2126" w:type="dxa"/>
            <w:tcBorders>
              <w:left w:val="nil"/>
            </w:tcBorders>
            <w:vAlign w:val="center"/>
          </w:tcPr>
          <w:p w14:paraId="6D59E6E4" w14:textId="77777777" w:rsidR="008D7F3B" w:rsidRPr="00231D2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1.0% ( -0.2,  2.3)</w:t>
            </w:r>
          </w:p>
        </w:tc>
        <w:tc>
          <w:tcPr>
            <w:tcW w:w="425" w:type="dxa"/>
            <w:tcBorders>
              <w:right w:val="nil"/>
            </w:tcBorders>
            <w:vAlign w:val="center"/>
          </w:tcPr>
          <w:p w14:paraId="2CFBA660"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080" w:type="dxa"/>
            <w:tcBorders>
              <w:left w:val="nil"/>
              <w:right w:val="nil"/>
            </w:tcBorders>
            <w:vAlign w:val="center"/>
          </w:tcPr>
          <w:p w14:paraId="1BB7CC90" w14:textId="77777777" w:rsidR="008D7F3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-2.0% (-3.3, -0.8)</w:t>
            </w:r>
          </w:p>
          <w:p w14:paraId="4D2A79EE" w14:textId="62E61976" w:rsidR="004C1975" w:rsidRPr="00231D2B" w:rsidRDefault="004C1975" w:rsidP="00400D57">
            <w:pPr>
              <w:jc w:val="center"/>
              <w:rPr>
                <w:rFonts w:ascii="Calibri" w:eastAsia="Times New Roman" w:hAnsi="Calibri" w:cs="Calibri"/>
                <w:color w:val="000000"/>
                <w:sz w:val="20"/>
                <w:szCs w:val="20"/>
                <w:lang w:eastAsia="en-GB"/>
              </w:rPr>
            </w:pPr>
            <w:r w:rsidRPr="00DD39CF">
              <w:rPr>
                <w:rFonts w:ascii="Calibri" w:eastAsia="Times New Roman" w:hAnsi="Calibri" w:cs="Calibri"/>
                <w:color w:val="000000"/>
                <w:sz w:val="16"/>
                <w:szCs w:val="16"/>
                <w:lang w:eastAsia="en-GB"/>
              </w:rPr>
              <w:t>p-value = 0.0017</w:t>
            </w:r>
          </w:p>
        </w:tc>
      </w:tr>
      <w:tr w:rsidR="008D7F3B" w:rsidRPr="00185138" w14:paraId="7ED21A54" w14:textId="77777777" w:rsidTr="00400D57">
        <w:trPr>
          <w:trHeight w:val="300"/>
        </w:trPr>
        <w:tc>
          <w:tcPr>
            <w:tcW w:w="1276" w:type="dxa"/>
            <w:vMerge/>
            <w:tcBorders>
              <w:left w:val="nil"/>
            </w:tcBorders>
            <w:shd w:val="clear" w:color="auto" w:fill="auto"/>
            <w:noWrap/>
            <w:tcMar>
              <w:top w:w="15" w:type="dxa"/>
              <w:left w:w="15" w:type="dxa"/>
              <w:bottom w:w="0" w:type="dxa"/>
              <w:right w:w="15" w:type="dxa"/>
            </w:tcMar>
            <w:vAlign w:val="center"/>
            <w:hideMark/>
          </w:tcPr>
          <w:p w14:paraId="6890EA0C" w14:textId="77777777" w:rsidR="008D7F3B" w:rsidRPr="00231D2B" w:rsidRDefault="008D7F3B" w:rsidP="00400D57">
            <w:pPr>
              <w:jc w:val="center"/>
              <w:rPr>
                <w:rFonts w:ascii="Calibri" w:eastAsia="Times New Roman" w:hAnsi="Calibri" w:cs="Calibri"/>
                <w:i/>
                <w:iCs/>
                <w:color w:val="000000"/>
                <w:sz w:val="20"/>
                <w:szCs w:val="20"/>
                <w:lang w:eastAsia="en-GB"/>
              </w:rPr>
            </w:pPr>
          </w:p>
        </w:tc>
        <w:tc>
          <w:tcPr>
            <w:tcW w:w="992" w:type="dxa"/>
            <w:shd w:val="clear" w:color="auto" w:fill="D0CECE" w:themeFill="background2" w:themeFillShade="E6"/>
            <w:noWrap/>
            <w:tcMar>
              <w:top w:w="15" w:type="dxa"/>
              <w:left w:w="15" w:type="dxa"/>
              <w:bottom w:w="0" w:type="dxa"/>
              <w:right w:w="15" w:type="dxa"/>
            </w:tcMar>
            <w:vAlign w:val="center"/>
            <w:hideMark/>
          </w:tcPr>
          <w:p w14:paraId="1A6FBBD5"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-6.1</w:t>
            </w:r>
          </w:p>
        </w:tc>
        <w:tc>
          <w:tcPr>
            <w:tcW w:w="199" w:type="dxa"/>
            <w:tcBorders>
              <w:right w:val="nil"/>
            </w:tcBorders>
            <w:shd w:val="clear" w:color="auto" w:fill="D0CECE" w:themeFill="background2" w:themeFillShade="E6"/>
            <w:vAlign w:val="center"/>
          </w:tcPr>
          <w:p w14:paraId="4B859C51"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D0CECE" w:themeFill="background2" w:themeFillShade="E6"/>
            <w:noWrap/>
            <w:tcMar>
              <w:top w:w="15" w:type="dxa"/>
              <w:left w:w="15" w:type="dxa"/>
              <w:bottom w:w="0" w:type="dxa"/>
              <w:right w:w="15" w:type="dxa"/>
            </w:tcMar>
            <w:vAlign w:val="center"/>
            <w:hideMark/>
          </w:tcPr>
          <w:p w14:paraId="5FCAA345"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-2.2% (-5.8, 1.6)</w:t>
            </w:r>
          </w:p>
        </w:tc>
        <w:tc>
          <w:tcPr>
            <w:tcW w:w="284" w:type="dxa"/>
            <w:tcBorders>
              <w:right w:val="nil"/>
            </w:tcBorders>
            <w:shd w:val="clear" w:color="auto" w:fill="D0CECE" w:themeFill="background2" w:themeFillShade="E6"/>
            <w:vAlign w:val="center"/>
          </w:tcPr>
          <w:p w14:paraId="7BE671B8"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126" w:type="dxa"/>
            <w:tcBorders>
              <w:left w:val="nil"/>
            </w:tcBorders>
            <w:shd w:val="clear" w:color="auto" w:fill="D0CECE" w:themeFill="background2" w:themeFillShade="E6"/>
            <w:vAlign w:val="center"/>
          </w:tcPr>
          <w:p w14:paraId="05F3FA85" w14:textId="77777777" w:rsidR="008D7F3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-5.5% ( -9.7, -1.1)</w:t>
            </w:r>
          </w:p>
          <w:p w14:paraId="52A59003" w14:textId="1FA8A697" w:rsidR="004C1975" w:rsidRPr="00231D2B" w:rsidRDefault="004C1975" w:rsidP="00400D57">
            <w:pPr>
              <w:jc w:val="center"/>
              <w:rPr>
                <w:rFonts w:ascii="Calibri" w:eastAsia="Aptos" w:hAnsi="Calibri" w:cs="Calibri"/>
                <w:color w:val="000000"/>
                <w:sz w:val="20"/>
                <w:szCs w:val="20"/>
              </w:rPr>
            </w:pPr>
            <w:r w:rsidRPr="00DD39CF">
              <w:rPr>
                <w:rFonts w:ascii="Calibri" w:eastAsia="Aptos" w:hAnsi="Calibri" w:cs="Calibri"/>
                <w:color w:val="000000"/>
                <w:sz w:val="16"/>
                <w:szCs w:val="16"/>
              </w:rPr>
              <w:t>p-value = 0.014</w:t>
            </w:r>
          </w:p>
        </w:tc>
        <w:tc>
          <w:tcPr>
            <w:tcW w:w="425" w:type="dxa"/>
            <w:tcBorders>
              <w:right w:val="nil"/>
            </w:tcBorders>
            <w:shd w:val="clear" w:color="auto" w:fill="D0CECE" w:themeFill="background2" w:themeFillShade="E6"/>
            <w:vAlign w:val="center"/>
          </w:tcPr>
          <w:p w14:paraId="349299C8" w14:textId="77777777" w:rsidR="008D7F3B" w:rsidRPr="00231D2B" w:rsidRDefault="008D7F3B" w:rsidP="00400D57">
            <w:pPr>
              <w:jc w:val="center"/>
              <w:rPr>
                <w:rFonts w:ascii="Calibri" w:eastAsia="Aptos" w:hAnsi="Calibri" w:cs="Calibri"/>
                <w:color w:val="000000"/>
                <w:sz w:val="20"/>
                <w:szCs w:val="20"/>
              </w:rPr>
            </w:pPr>
          </w:p>
        </w:tc>
        <w:tc>
          <w:tcPr>
            <w:tcW w:w="2080" w:type="dxa"/>
            <w:tcBorders>
              <w:left w:val="nil"/>
              <w:right w:val="nil"/>
            </w:tcBorders>
            <w:shd w:val="clear" w:color="auto" w:fill="D0CECE" w:themeFill="background2" w:themeFillShade="E6"/>
            <w:vAlign w:val="center"/>
          </w:tcPr>
          <w:p w14:paraId="77226D90"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1.3% (-3.8, 6.7)</w:t>
            </w:r>
          </w:p>
        </w:tc>
      </w:tr>
      <w:tr w:rsidR="008D7F3B" w:rsidRPr="00185138" w14:paraId="69110725" w14:textId="77777777" w:rsidTr="00400D57">
        <w:trPr>
          <w:trHeight w:val="300"/>
        </w:trPr>
        <w:tc>
          <w:tcPr>
            <w:tcW w:w="1276" w:type="dxa"/>
            <w:vMerge w:val="restart"/>
            <w:tcBorders>
              <w:left w:val="nil"/>
            </w:tcBorders>
            <w:shd w:val="clear" w:color="auto" w:fill="auto"/>
            <w:noWrap/>
            <w:tcMar>
              <w:top w:w="15" w:type="dxa"/>
              <w:left w:w="15" w:type="dxa"/>
              <w:bottom w:w="0" w:type="dxa"/>
              <w:right w:w="15" w:type="dxa"/>
            </w:tcMar>
            <w:vAlign w:val="center"/>
            <w:hideMark/>
          </w:tcPr>
          <w:p w14:paraId="5D4913CE"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E. cloacae</w:t>
            </w:r>
          </w:p>
        </w:tc>
        <w:tc>
          <w:tcPr>
            <w:tcW w:w="992" w:type="dxa"/>
            <w:shd w:val="clear" w:color="auto" w:fill="auto"/>
            <w:noWrap/>
            <w:tcMar>
              <w:top w:w="15" w:type="dxa"/>
              <w:left w:w="15" w:type="dxa"/>
              <w:bottom w:w="0" w:type="dxa"/>
              <w:right w:w="15" w:type="dxa"/>
            </w:tcMar>
            <w:vAlign w:val="center"/>
            <w:hideMark/>
          </w:tcPr>
          <w:p w14:paraId="5789B973"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+0.03</w:t>
            </w:r>
          </w:p>
        </w:tc>
        <w:tc>
          <w:tcPr>
            <w:tcW w:w="199" w:type="dxa"/>
            <w:tcBorders>
              <w:right w:val="nil"/>
            </w:tcBorders>
            <w:vAlign w:val="center"/>
          </w:tcPr>
          <w:p w14:paraId="599C5508"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auto"/>
            <w:noWrap/>
            <w:tcMar>
              <w:top w:w="15" w:type="dxa"/>
              <w:left w:w="15" w:type="dxa"/>
              <w:bottom w:w="0" w:type="dxa"/>
              <w:right w:w="15" w:type="dxa"/>
            </w:tcMar>
            <w:vAlign w:val="center"/>
            <w:hideMark/>
          </w:tcPr>
          <w:p w14:paraId="5D76EF18"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-1.2% (-2.6, 0.1)</w:t>
            </w:r>
          </w:p>
        </w:tc>
        <w:tc>
          <w:tcPr>
            <w:tcW w:w="284" w:type="dxa"/>
            <w:tcBorders>
              <w:right w:val="nil"/>
            </w:tcBorders>
            <w:vAlign w:val="center"/>
          </w:tcPr>
          <w:p w14:paraId="36BF47BB" w14:textId="77777777" w:rsidR="008D7F3B" w:rsidRPr="00231D2B" w:rsidRDefault="008D7F3B" w:rsidP="00400D57">
            <w:pPr>
              <w:jc w:val="center"/>
              <w:rPr>
                <w:rFonts w:ascii="Calibri" w:eastAsia="Aptos" w:hAnsi="Calibri" w:cs="Calibri"/>
                <w:color w:val="000000"/>
                <w:sz w:val="20"/>
                <w:szCs w:val="20"/>
              </w:rPr>
            </w:pPr>
          </w:p>
        </w:tc>
        <w:tc>
          <w:tcPr>
            <w:tcW w:w="2126" w:type="dxa"/>
            <w:tcBorders>
              <w:left w:val="nil"/>
            </w:tcBorders>
            <w:vAlign w:val="center"/>
          </w:tcPr>
          <w:p w14:paraId="632FACDE" w14:textId="77777777" w:rsidR="008D7F3B" w:rsidRPr="00231D2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0.8% ( -0.9, 2.5)</w:t>
            </w:r>
          </w:p>
        </w:tc>
        <w:tc>
          <w:tcPr>
            <w:tcW w:w="425" w:type="dxa"/>
            <w:tcBorders>
              <w:right w:val="nil"/>
            </w:tcBorders>
            <w:vAlign w:val="center"/>
          </w:tcPr>
          <w:p w14:paraId="3707BBFB"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080" w:type="dxa"/>
            <w:tcBorders>
              <w:left w:val="nil"/>
              <w:right w:val="nil"/>
            </w:tcBorders>
            <w:vAlign w:val="center"/>
          </w:tcPr>
          <w:p w14:paraId="3EC36546"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-3.2% (-4.7, -1.7)*</w:t>
            </w:r>
          </w:p>
        </w:tc>
      </w:tr>
      <w:tr w:rsidR="008D7F3B" w:rsidRPr="00185138" w14:paraId="51CBAC6C" w14:textId="77777777" w:rsidTr="00400D57">
        <w:trPr>
          <w:trHeight w:val="300"/>
        </w:trPr>
        <w:tc>
          <w:tcPr>
            <w:tcW w:w="1276" w:type="dxa"/>
            <w:vMerge/>
            <w:tcBorders>
              <w:left w:val="nil"/>
            </w:tcBorders>
            <w:shd w:val="clear" w:color="auto" w:fill="auto"/>
            <w:noWrap/>
            <w:tcMar>
              <w:top w:w="15" w:type="dxa"/>
              <w:left w:w="15" w:type="dxa"/>
              <w:bottom w:w="0" w:type="dxa"/>
              <w:right w:w="15" w:type="dxa"/>
            </w:tcMar>
            <w:vAlign w:val="center"/>
            <w:hideMark/>
          </w:tcPr>
          <w:p w14:paraId="4D4BF2AD" w14:textId="77777777" w:rsidR="008D7F3B" w:rsidRPr="00231D2B" w:rsidRDefault="008D7F3B" w:rsidP="00400D57">
            <w:pPr>
              <w:jc w:val="center"/>
              <w:rPr>
                <w:rFonts w:ascii="Calibri" w:eastAsia="Times New Roman" w:hAnsi="Calibri" w:cs="Calibri"/>
                <w:i/>
                <w:iCs/>
                <w:color w:val="000000"/>
                <w:sz w:val="20"/>
                <w:szCs w:val="20"/>
                <w:lang w:eastAsia="en-GB"/>
              </w:rPr>
            </w:pPr>
          </w:p>
        </w:tc>
        <w:tc>
          <w:tcPr>
            <w:tcW w:w="992" w:type="dxa"/>
            <w:shd w:val="clear" w:color="auto" w:fill="D0CECE" w:themeFill="background2" w:themeFillShade="E6"/>
            <w:noWrap/>
            <w:tcMar>
              <w:top w:w="15" w:type="dxa"/>
              <w:left w:w="15" w:type="dxa"/>
              <w:bottom w:w="0" w:type="dxa"/>
              <w:right w:w="15" w:type="dxa"/>
            </w:tcMar>
            <w:vAlign w:val="center"/>
            <w:hideMark/>
          </w:tcPr>
          <w:p w14:paraId="75A9C7B0"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-5.5</w:t>
            </w:r>
          </w:p>
        </w:tc>
        <w:tc>
          <w:tcPr>
            <w:tcW w:w="199" w:type="dxa"/>
            <w:tcBorders>
              <w:right w:val="nil"/>
            </w:tcBorders>
            <w:shd w:val="clear" w:color="auto" w:fill="D0CECE" w:themeFill="background2" w:themeFillShade="E6"/>
            <w:vAlign w:val="center"/>
          </w:tcPr>
          <w:p w14:paraId="0D5E99E9"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D0CECE" w:themeFill="background2" w:themeFillShade="E6"/>
            <w:noWrap/>
            <w:tcMar>
              <w:top w:w="15" w:type="dxa"/>
              <w:left w:w="15" w:type="dxa"/>
              <w:bottom w:w="0" w:type="dxa"/>
              <w:right w:w="15" w:type="dxa"/>
            </w:tcMar>
            <w:vAlign w:val="center"/>
            <w:hideMark/>
          </w:tcPr>
          <w:p w14:paraId="01433393"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2.6% (-3.0, 8.4)</w:t>
            </w:r>
          </w:p>
        </w:tc>
        <w:tc>
          <w:tcPr>
            <w:tcW w:w="284" w:type="dxa"/>
            <w:tcBorders>
              <w:right w:val="nil"/>
            </w:tcBorders>
            <w:shd w:val="clear" w:color="auto" w:fill="D0CECE" w:themeFill="background2" w:themeFillShade="E6"/>
            <w:vAlign w:val="center"/>
          </w:tcPr>
          <w:p w14:paraId="0A1E3D29" w14:textId="77777777" w:rsidR="008D7F3B" w:rsidRPr="00231D2B" w:rsidRDefault="008D7F3B" w:rsidP="00400D57">
            <w:pPr>
              <w:jc w:val="center"/>
              <w:rPr>
                <w:rFonts w:ascii="Calibri" w:eastAsia="Aptos" w:hAnsi="Calibri" w:cs="Calibri"/>
                <w:color w:val="000000"/>
                <w:sz w:val="20"/>
                <w:szCs w:val="20"/>
              </w:rPr>
            </w:pPr>
          </w:p>
        </w:tc>
        <w:tc>
          <w:tcPr>
            <w:tcW w:w="2126" w:type="dxa"/>
            <w:tcBorders>
              <w:left w:val="nil"/>
            </w:tcBorders>
            <w:shd w:val="clear" w:color="auto" w:fill="D0CECE" w:themeFill="background2" w:themeFillShade="E6"/>
            <w:vAlign w:val="center"/>
          </w:tcPr>
          <w:p w14:paraId="451D0E8F" w14:textId="77777777" w:rsidR="008D7F3B" w:rsidRPr="00231D2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0.5% ( -6.3, 7.9)</w:t>
            </w:r>
          </w:p>
        </w:tc>
        <w:tc>
          <w:tcPr>
            <w:tcW w:w="425" w:type="dxa"/>
            <w:tcBorders>
              <w:right w:val="nil"/>
            </w:tcBorders>
            <w:shd w:val="clear" w:color="auto" w:fill="D0CECE" w:themeFill="background2" w:themeFillShade="E6"/>
            <w:vAlign w:val="center"/>
          </w:tcPr>
          <w:p w14:paraId="06C45FED" w14:textId="77777777" w:rsidR="008D7F3B" w:rsidRPr="00231D2B" w:rsidRDefault="008D7F3B" w:rsidP="00400D57">
            <w:pPr>
              <w:jc w:val="center"/>
              <w:rPr>
                <w:rFonts w:ascii="Calibri" w:eastAsia="Aptos" w:hAnsi="Calibri" w:cs="Calibri"/>
                <w:color w:val="000000"/>
                <w:sz w:val="20"/>
                <w:szCs w:val="20"/>
              </w:rPr>
            </w:pPr>
          </w:p>
        </w:tc>
        <w:tc>
          <w:tcPr>
            <w:tcW w:w="2080" w:type="dxa"/>
            <w:tcBorders>
              <w:left w:val="nil"/>
              <w:right w:val="nil"/>
            </w:tcBorders>
            <w:shd w:val="clear" w:color="auto" w:fill="D0CECE" w:themeFill="background2" w:themeFillShade="E6"/>
            <w:vAlign w:val="center"/>
          </w:tcPr>
          <w:p w14:paraId="36A0CC55"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4.7% (-3.1, 13.0)</w:t>
            </w:r>
          </w:p>
        </w:tc>
      </w:tr>
      <w:tr w:rsidR="008D7F3B" w:rsidRPr="00185138" w14:paraId="031B97F5" w14:textId="77777777" w:rsidTr="00400D57">
        <w:trPr>
          <w:trHeight w:val="300"/>
        </w:trPr>
        <w:tc>
          <w:tcPr>
            <w:tcW w:w="1276" w:type="dxa"/>
            <w:vMerge w:val="restart"/>
            <w:tcBorders>
              <w:left w:val="nil"/>
            </w:tcBorders>
            <w:shd w:val="clear" w:color="auto" w:fill="auto"/>
            <w:noWrap/>
            <w:tcMar>
              <w:top w:w="15" w:type="dxa"/>
              <w:left w:w="15" w:type="dxa"/>
              <w:bottom w:w="0" w:type="dxa"/>
              <w:right w:w="15" w:type="dxa"/>
            </w:tcMar>
            <w:vAlign w:val="center"/>
            <w:hideMark/>
          </w:tcPr>
          <w:p w14:paraId="0DA29962"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S. marcescens</w:t>
            </w:r>
          </w:p>
        </w:tc>
        <w:tc>
          <w:tcPr>
            <w:tcW w:w="992" w:type="dxa"/>
            <w:shd w:val="clear" w:color="auto" w:fill="auto"/>
            <w:noWrap/>
            <w:tcMar>
              <w:top w:w="15" w:type="dxa"/>
              <w:left w:w="15" w:type="dxa"/>
              <w:bottom w:w="0" w:type="dxa"/>
              <w:right w:w="15" w:type="dxa"/>
            </w:tcMar>
            <w:vAlign w:val="center"/>
            <w:hideMark/>
          </w:tcPr>
          <w:p w14:paraId="31E2F887"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-2.85</w:t>
            </w:r>
          </w:p>
        </w:tc>
        <w:tc>
          <w:tcPr>
            <w:tcW w:w="199" w:type="dxa"/>
            <w:tcBorders>
              <w:right w:val="nil"/>
            </w:tcBorders>
            <w:vAlign w:val="center"/>
          </w:tcPr>
          <w:p w14:paraId="6B652829"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auto"/>
            <w:noWrap/>
            <w:tcMar>
              <w:top w:w="15" w:type="dxa"/>
              <w:left w:w="15" w:type="dxa"/>
              <w:bottom w:w="0" w:type="dxa"/>
              <w:right w:w="15" w:type="dxa"/>
            </w:tcMar>
            <w:vAlign w:val="center"/>
            <w:hideMark/>
          </w:tcPr>
          <w:p w14:paraId="22C293EC"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0.0% (-1.3, 1.4)</w:t>
            </w:r>
          </w:p>
        </w:tc>
        <w:tc>
          <w:tcPr>
            <w:tcW w:w="284" w:type="dxa"/>
            <w:tcBorders>
              <w:right w:val="nil"/>
            </w:tcBorders>
            <w:vAlign w:val="center"/>
          </w:tcPr>
          <w:p w14:paraId="1DB19549"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D"/>
            </w:r>
          </w:p>
        </w:tc>
        <w:tc>
          <w:tcPr>
            <w:tcW w:w="2126" w:type="dxa"/>
            <w:tcBorders>
              <w:left w:val="nil"/>
            </w:tcBorders>
            <w:vAlign w:val="center"/>
          </w:tcPr>
          <w:p w14:paraId="5849837D" w14:textId="77777777" w:rsidR="008D7F3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1.9% (0.2, 3.6)</w:t>
            </w:r>
          </w:p>
          <w:p w14:paraId="40B8CF1C" w14:textId="03629D40" w:rsidR="004C1975" w:rsidRPr="00231D2B" w:rsidRDefault="004C1975" w:rsidP="00400D57">
            <w:pPr>
              <w:jc w:val="center"/>
              <w:rPr>
                <w:rFonts w:ascii="Calibri" w:eastAsia="Aptos" w:hAnsi="Calibri" w:cs="Calibri"/>
                <w:color w:val="000000"/>
                <w:sz w:val="20"/>
                <w:szCs w:val="20"/>
              </w:rPr>
            </w:pPr>
            <w:r w:rsidRPr="00DD39CF">
              <w:rPr>
                <w:rFonts w:ascii="Calibri" w:eastAsia="Aptos" w:hAnsi="Calibri" w:cs="Calibri"/>
                <w:color w:val="000000"/>
                <w:sz w:val="16"/>
                <w:szCs w:val="16"/>
              </w:rPr>
              <w:t>p-value = -0.0268</w:t>
            </w:r>
          </w:p>
        </w:tc>
        <w:tc>
          <w:tcPr>
            <w:tcW w:w="425" w:type="dxa"/>
            <w:tcBorders>
              <w:right w:val="nil"/>
            </w:tcBorders>
            <w:vAlign w:val="center"/>
          </w:tcPr>
          <w:p w14:paraId="0CEE4ADA"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080" w:type="dxa"/>
            <w:tcBorders>
              <w:left w:val="nil"/>
              <w:right w:val="nil"/>
            </w:tcBorders>
            <w:vAlign w:val="center"/>
          </w:tcPr>
          <w:p w14:paraId="2CBA5354"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-1.8% (-3.6, 0.0)*</w:t>
            </w:r>
          </w:p>
        </w:tc>
      </w:tr>
      <w:tr w:rsidR="008D7F3B" w:rsidRPr="00185138" w14:paraId="155F1755" w14:textId="77777777" w:rsidTr="00400D57">
        <w:trPr>
          <w:trHeight w:val="300"/>
        </w:trPr>
        <w:tc>
          <w:tcPr>
            <w:tcW w:w="1276" w:type="dxa"/>
            <w:vMerge/>
            <w:tcBorders>
              <w:left w:val="nil"/>
            </w:tcBorders>
            <w:shd w:val="clear" w:color="auto" w:fill="auto"/>
            <w:noWrap/>
            <w:tcMar>
              <w:top w:w="15" w:type="dxa"/>
              <w:left w:w="15" w:type="dxa"/>
              <w:bottom w:w="0" w:type="dxa"/>
              <w:right w:w="15" w:type="dxa"/>
            </w:tcMar>
            <w:vAlign w:val="center"/>
            <w:hideMark/>
          </w:tcPr>
          <w:p w14:paraId="54A14EB2" w14:textId="77777777" w:rsidR="008D7F3B" w:rsidRPr="00231D2B" w:rsidRDefault="008D7F3B" w:rsidP="00400D57">
            <w:pPr>
              <w:jc w:val="center"/>
              <w:rPr>
                <w:rFonts w:ascii="Calibri" w:eastAsia="Times New Roman" w:hAnsi="Calibri" w:cs="Calibri"/>
                <w:i/>
                <w:iCs/>
                <w:color w:val="000000"/>
                <w:sz w:val="20"/>
                <w:szCs w:val="20"/>
                <w:lang w:eastAsia="en-GB"/>
              </w:rPr>
            </w:pPr>
          </w:p>
        </w:tc>
        <w:tc>
          <w:tcPr>
            <w:tcW w:w="992" w:type="dxa"/>
            <w:shd w:val="clear" w:color="auto" w:fill="D0CECE" w:themeFill="background2" w:themeFillShade="E6"/>
            <w:noWrap/>
            <w:tcMar>
              <w:top w:w="15" w:type="dxa"/>
              <w:left w:w="15" w:type="dxa"/>
              <w:bottom w:w="0" w:type="dxa"/>
              <w:right w:w="15" w:type="dxa"/>
            </w:tcMar>
            <w:vAlign w:val="center"/>
            <w:hideMark/>
          </w:tcPr>
          <w:p w14:paraId="4B54E173"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-12.8</w:t>
            </w:r>
          </w:p>
        </w:tc>
        <w:tc>
          <w:tcPr>
            <w:tcW w:w="199" w:type="dxa"/>
            <w:tcBorders>
              <w:right w:val="nil"/>
            </w:tcBorders>
            <w:shd w:val="clear" w:color="auto" w:fill="D0CECE" w:themeFill="background2" w:themeFillShade="E6"/>
            <w:vAlign w:val="center"/>
          </w:tcPr>
          <w:p w14:paraId="1259E101"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D0CECE" w:themeFill="background2" w:themeFillShade="E6"/>
            <w:noWrap/>
            <w:tcMar>
              <w:top w:w="15" w:type="dxa"/>
              <w:left w:w="15" w:type="dxa"/>
              <w:bottom w:w="0" w:type="dxa"/>
              <w:right w:w="15" w:type="dxa"/>
            </w:tcMar>
            <w:vAlign w:val="center"/>
            <w:hideMark/>
          </w:tcPr>
          <w:p w14:paraId="1D19B03E"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3.4% (-2.9, 10.2)</w:t>
            </w:r>
          </w:p>
        </w:tc>
        <w:tc>
          <w:tcPr>
            <w:tcW w:w="284" w:type="dxa"/>
            <w:tcBorders>
              <w:right w:val="nil"/>
            </w:tcBorders>
            <w:shd w:val="clear" w:color="auto" w:fill="D0CECE" w:themeFill="background2" w:themeFillShade="E6"/>
            <w:vAlign w:val="center"/>
          </w:tcPr>
          <w:p w14:paraId="7D8AFBEF" w14:textId="77777777" w:rsidR="008D7F3B" w:rsidRPr="00231D2B" w:rsidRDefault="008D7F3B" w:rsidP="00400D57">
            <w:pPr>
              <w:jc w:val="center"/>
              <w:rPr>
                <w:rFonts w:ascii="Calibri" w:eastAsia="Aptos" w:hAnsi="Calibri" w:cs="Calibri"/>
                <w:color w:val="000000"/>
                <w:sz w:val="20"/>
                <w:szCs w:val="20"/>
              </w:rPr>
            </w:pPr>
          </w:p>
        </w:tc>
        <w:tc>
          <w:tcPr>
            <w:tcW w:w="2126" w:type="dxa"/>
            <w:tcBorders>
              <w:left w:val="nil"/>
            </w:tcBorders>
            <w:shd w:val="clear" w:color="auto" w:fill="D0CECE" w:themeFill="background2" w:themeFillShade="E6"/>
            <w:vAlign w:val="center"/>
          </w:tcPr>
          <w:p w14:paraId="57EFEF9E" w14:textId="77777777" w:rsidR="008D7F3B" w:rsidRPr="00231D2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1.9% (-5.8, 10.1)</w:t>
            </w:r>
          </w:p>
        </w:tc>
        <w:tc>
          <w:tcPr>
            <w:tcW w:w="425" w:type="dxa"/>
            <w:tcBorders>
              <w:right w:val="nil"/>
            </w:tcBorders>
            <w:shd w:val="clear" w:color="auto" w:fill="D0CECE" w:themeFill="background2" w:themeFillShade="E6"/>
            <w:vAlign w:val="center"/>
          </w:tcPr>
          <w:p w14:paraId="2AC85A8A" w14:textId="77777777" w:rsidR="008D7F3B" w:rsidRPr="00231D2B" w:rsidRDefault="008D7F3B" w:rsidP="00400D57">
            <w:pPr>
              <w:jc w:val="center"/>
              <w:rPr>
                <w:rFonts w:ascii="Calibri" w:eastAsia="Aptos" w:hAnsi="Calibri" w:cs="Calibri"/>
                <w:color w:val="000000"/>
                <w:sz w:val="20"/>
                <w:szCs w:val="20"/>
              </w:rPr>
            </w:pPr>
          </w:p>
        </w:tc>
        <w:tc>
          <w:tcPr>
            <w:tcW w:w="2080" w:type="dxa"/>
            <w:tcBorders>
              <w:left w:val="nil"/>
              <w:right w:val="nil"/>
            </w:tcBorders>
            <w:shd w:val="clear" w:color="auto" w:fill="D0CECE" w:themeFill="background2" w:themeFillShade="E6"/>
            <w:vAlign w:val="center"/>
          </w:tcPr>
          <w:p w14:paraId="63462750"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5.0% (-5.0, 16.1)</w:t>
            </w:r>
          </w:p>
        </w:tc>
      </w:tr>
      <w:tr w:rsidR="008D7F3B" w:rsidRPr="00185138" w14:paraId="02739A98" w14:textId="77777777" w:rsidTr="00400D57">
        <w:trPr>
          <w:trHeight w:val="300"/>
        </w:trPr>
        <w:tc>
          <w:tcPr>
            <w:tcW w:w="1276" w:type="dxa"/>
            <w:vMerge w:val="restart"/>
            <w:tcBorders>
              <w:left w:val="nil"/>
            </w:tcBorders>
            <w:shd w:val="clear" w:color="auto" w:fill="auto"/>
            <w:noWrap/>
            <w:tcMar>
              <w:top w:w="15" w:type="dxa"/>
              <w:left w:w="15" w:type="dxa"/>
              <w:bottom w:w="0" w:type="dxa"/>
              <w:right w:w="15" w:type="dxa"/>
            </w:tcMar>
            <w:vAlign w:val="center"/>
            <w:hideMark/>
          </w:tcPr>
          <w:p w14:paraId="7C0EE799"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P. aeruginosa</w:t>
            </w:r>
          </w:p>
        </w:tc>
        <w:tc>
          <w:tcPr>
            <w:tcW w:w="992" w:type="dxa"/>
            <w:shd w:val="clear" w:color="auto" w:fill="auto"/>
            <w:noWrap/>
            <w:tcMar>
              <w:top w:w="15" w:type="dxa"/>
              <w:left w:w="15" w:type="dxa"/>
              <w:bottom w:w="0" w:type="dxa"/>
              <w:right w:w="15" w:type="dxa"/>
            </w:tcMar>
            <w:vAlign w:val="center"/>
            <w:hideMark/>
          </w:tcPr>
          <w:p w14:paraId="62D7E2F9"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-16.2</w:t>
            </w:r>
          </w:p>
        </w:tc>
        <w:tc>
          <w:tcPr>
            <w:tcW w:w="199" w:type="dxa"/>
            <w:tcBorders>
              <w:right w:val="nil"/>
            </w:tcBorders>
            <w:vAlign w:val="center"/>
          </w:tcPr>
          <w:p w14:paraId="0F2B572E"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hAnsi="Calibri" w:cs="Calibri"/>
                <w:b/>
                <w:bCs/>
                <w:color w:val="000000"/>
                <w:sz w:val="20"/>
                <w:szCs w:val="20"/>
              </w:rPr>
              <w:sym w:font="Symbol" w:char="F0AF"/>
            </w:r>
          </w:p>
        </w:tc>
        <w:tc>
          <w:tcPr>
            <w:tcW w:w="1644" w:type="dxa"/>
            <w:tcBorders>
              <w:left w:val="nil"/>
            </w:tcBorders>
            <w:shd w:val="clear" w:color="auto" w:fill="auto"/>
            <w:noWrap/>
            <w:tcMar>
              <w:top w:w="15" w:type="dxa"/>
              <w:left w:w="15" w:type="dxa"/>
              <w:bottom w:w="0" w:type="dxa"/>
              <w:right w:w="15" w:type="dxa"/>
            </w:tcMar>
            <w:vAlign w:val="center"/>
            <w:hideMark/>
          </w:tcPr>
          <w:p w14:paraId="0CBC48B2"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-2.3% (-3.4, -1.2)*</w:t>
            </w:r>
          </w:p>
        </w:tc>
        <w:tc>
          <w:tcPr>
            <w:tcW w:w="284" w:type="dxa"/>
            <w:tcBorders>
              <w:right w:val="nil"/>
            </w:tcBorders>
            <w:vAlign w:val="center"/>
          </w:tcPr>
          <w:p w14:paraId="2E3D84FF" w14:textId="77777777" w:rsidR="008D7F3B" w:rsidRPr="00231D2B" w:rsidRDefault="008D7F3B" w:rsidP="00400D57">
            <w:pPr>
              <w:jc w:val="center"/>
              <w:rPr>
                <w:rFonts w:ascii="Calibri" w:eastAsia="Aptos" w:hAnsi="Calibri" w:cs="Calibri"/>
                <w:color w:val="000000"/>
                <w:sz w:val="20"/>
                <w:szCs w:val="20"/>
              </w:rPr>
            </w:pPr>
          </w:p>
        </w:tc>
        <w:tc>
          <w:tcPr>
            <w:tcW w:w="2126" w:type="dxa"/>
            <w:tcBorders>
              <w:left w:val="nil"/>
            </w:tcBorders>
            <w:vAlign w:val="center"/>
          </w:tcPr>
          <w:p w14:paraId="0923E42F" w14:textId="77777777" w:rsidR="008D7F3B" w:rsidRPr="00231D2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-0.8% (-2.2, 0.6)</w:t>
            </w:r>
          </w:p>
        </w:tc>
        <w:tc>
          <w:tcPr>
            <w:tcW w:w="425" w:type="dxa"/>
            <w:tcBorders>
              <w:right w:val="nil"/>
            </w:tcBorders>
            <w:vAlign w:val="center"/>
          </w:tcPr>
          <w:p w14:paraId="40F5A5BB"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080" w:type="dxa"/>
            <w:tcBorders>
              <w:left w:val="nil"/>
              <w:right w:val="nil"/>
            </w:tcBorders>
            <w:vAlign w:val="center"/>
          </w:tcPr>
          <w:p w14:paraId="2AE3DBCA"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-3.8% (-5.0, -2.6)*</w:t>
            </w:r>
          </w:p>
        </w:tc>
      </w:tr>
      <w:tr w:rsidR="008D7F3B" w:rsidRPr="00185138" w14:paraId="4F2E695E" w14:textId="77777777" w:rsidTr="00400D57">
        <w:trPr>
          <w:trHeight w:val="300"/>
        </w:trPr>
        <w:tc>
          <w:tcPr>
            <w:tcW w:w="1276" w:type="dxa"/>
            <w:vMerge/>
            <w:tcBorders>
              <w:left w:val="nil"/>
            </w:tcBorders>
            <w:shd w:val="clear" w:color="auto" w:fill="auto"/>
            <w:noWrap/>
            <w:tcMar>
              <w:top w:w="15" w:type="dxa"/>
              <w:left w:w="15" w:type="dxa"/>
              <w:bottom w:w="0" w:type="dxa"/>
              <w:right w:w="15" w:type="dxa"/>
            </w:tcMar>
            <w:vAlign w:val="center"/>
            <w:hideMark/>
          </w:tcPr>
          <w:p w14:paraId="27FE7444" w14:textId="77777777" w:rsidR="008D7F3B" w:rsidRPr="00231D2B" w:rsidRDefault="008D7F3B" w:rsidP="00400D57">
            <w:pPr>
              <w:jc w:val="center"/>
              <w:rPr>
                <w:rFonts w:ascii="Calibri" w:eastAsia="Times New Roman" w:hAnsi="Calibri" w:cs="Calibri"/>
                <w:i/>
                <w:iCs/>
                <w:color w:val="000000"/>
                <w:sz w:val="20"/>
                <w:szCs w:val="20"/>
                <w:lang w:eastAsia="en-GB"/>
              </w:rPr>
            </w:pPr>
          </w:p>
        </w:tc>
        <w:tc>
          <w:tcPr>
            <w:tcW w:w="992" w:type="dxa"/>
            <w:shd w:val="clear" w:color="auto" w:fill="D0CECE" w:themeFill="background2" w:themeFillShade="E6"/>
            <w:noWrap/>
            <w:tcMar>
              <w:top w:w="15" w:type="dxa"/>
              <w:left w:w="15" w:type="dxa"/>
              <w:bottom w:w="0" w:type="dxa"/>
              <w:right w:w="15" w:type="dxa"/>
            </w:tcMar>
            <w:vAlign w:val="center"/>
            <w:hideMark/>
          </w:tcPr>
          <w:p w14:paraId="67BF0D46"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-4.7</w:t>
            </w:r>
          </w:p>
        </w:tc>
        <w:tc>
          <w:tcPr>
            <w:tcW w:w="199" w:type="dxa"/>
            <w:tcBorders>
              <w:right w:val="nil"/>
            </w:tcBorders>
            <w:shd w:val="clear" w:color="auto" w:fill="D0CECE" w:themeFill="background2" w:themeFillShade="E6"/>
            <w:vAlign w:val="center"/>
          </w:tcPr>
          <w:p w14:paraId="276D2C98"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D0CECE" w:themeFill="background2" w:themeFillShade="E6"/>
            <w:noWrap/>
            <w:tcMar>
              <w:top w:w="15" w:type="dxa"/>
              <w:left w:w="15" w:type="dxa"/>
              <w:bottom w:w="0" w:type="dxa"/>
              <w:right w:w="15" w:type="dxa"/>
            </w:tcMar>
            <w:vAlign w:val="center"/>
            <w:hideMark/>
          </w:tcPr>
          <w:p w14:paraId="225487DB"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-1.2% (-5.1, 2.9)</w:t>
            </w:r>
          </w:p>
        </w:tc>
        <w:tc>
          <w:tcPr>
            <w:tcW w:w="284" w:type="dxa"/>
            <w:tcBorders>
              <w:right w:val="nil"/>
            </w:tcBorders>
            <w:shd w:val="clear" w:color="auto" w:fill="D0CECE" w:themeFill="background2" w:themeFillShade="E6"/>
            <w:vAlign w:val="center"/>
          </w:tcPr>
          <w:p w14:paraId="1FEC9EB9"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126" w:type="dxa"/>
            <w:tcBorders>
              <w:left w:val="nil"/>
            </w:tcBorders>
            <w:shd w:val="clear" w:color="auto" w:fill="D0CECE" w:themeFill="background2" w:themeFillShade="E6"/>
            <w:vAlign w:val="center"/>
          </w:tcPr>
          <w:p w14:paraId="6C937CB1" w14:textId="39DC277B" w:rsidR="008D7F3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-8.8% (-13.6, -3.8)</w:t>
            </w:r>
          </w:p>
          <w:p w14:paraId="5391E198" w14:textId="17C4CA91" w:rsidR="004C1975" w:rsidRPr="00231D2B" w:rsidRDefault="004C1975" w:rsidP="00400D57">
            <w:pPr>
              <w:jc w:val="center"/>
              <w:rPr>
                <w:rFonts w:ascii="Calibri" w:eastAsia="Aptos" w:hAnsi="Calibri" w:cs="Calibri"/>
                <w:color w:val="000000"/>
                <w:sz w:val="20"/>
                <w:szCs w:val="20"/>
              </w:rPr>
            </w:pPr>
            <w:r w:rsidRPr="00DD39CF">
              <w:rPr>
                <w:rFonts w:ascii="Calibri" w:eastAsia="Aptos" w:hAnsi="Calibri" w:cs="Calibri"/>
                <w:color w:val="000000"/>
                <w:sz w:val="16"/>
                <w:szCs w:val="16"/>
              </w:rPr>
              <w:t>p-value = 0.0007</w:t>
            </w:r>
          </w:p>
        </w:tc>
        <w:tc>
          <w:tcPr>
            <w:tcW w:w="425" w:type="dxa"/>
            <w:tcBorders>
              <w:right w:val="nil"/>
            </w:tcBorders>
            <w:shd w:val="clear" w:color="auto" w:fill="D0CECE" w:themeFill="background2" w:themeFillShade="E6"/>
            <w:vAlign w:val="center"/>
          </w:tcPr>
          <w:p w14:paraId="1E885B83"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D"/>
            </w:r>
          </w:p>
        </w:tc>
        <w:tc>
          <w:tcPr>
            <w:tcW w:w="2080" w:type="dxa"/>
            <w:tcBorders>
              <w:left w:val="nil"/>
              <w:right w:val="nil"/>
            </w:tcBorders>
            <w:shd w:val="clear" w:color="auto" w:fill="D0CECE" w:themeFill="background2" w:themeFillShade="E6"/>
            <w:vAlign w:val="center"/>
          </w:tcPr>
          <w:p w14:paraId="7F911647" w14:textId="77777777" w:rsidR="008D7F3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7.1% (1.6, 12.9)</w:t>
            </w:r>
          </w:p>
          <w:p w14:paraId="702B7B84" w14:textId="122A2A3C" w:rsidR="004C1975" w:rsidRPr="00231D2B" w:rsidRDefault="004C1975" w:rsidP="00400D57">
            <w:pPr>
              <w:jc w:val="center"/>
              <w:rPr>
                <w:rFonts w:ascii="Calibri" w:eastAsia="Times New Roman" w:hAnsi="Calibri" w:cs="Calibri"/>
                <w:color w:val="000000"/>
                <w:sz w:val="20"/>
                <w:szCs w:val="20"/>
                <w:lang w:eastAsia="en-GB"/>
              </w:rPr>
            </w:pPr>
            <w:r w:rsidRPr="00DD39CF">
              <w:rPr>
                <w:rFonts w:ascii="Calibri" w:eastAsia="Times New Roman" w:hAnsi="Calibri" w:cs="Calibri"/>
                <w:color w:val="000000"/>
                <w:sz w:val="16"/>
                <w:szCs w:val="16"/>
                <w:lang w:eastAsia="en-GB"/>
              </w:rPr>
              <w:t>p-value = 0.0108</w:t>
            </w:r>
          </w:p>
        </w:tc>
      </w:tr>
      <w:tr w:rsidR="008D7F3B" w:rsidRPr="00185138" w14:paraId="173AEBA0" w14:textId="77777777" w:rsidTr="00400D57">
        <w:trPr>
          <w:trHeight w:val="300"/>
        </w:trPr>
        <w:tc>
          <w:tcPr>
            <w:tcW w:w="1276" w:type="dxa"/>
            <w:vMerge w:val="restart"/>
            <w:tcBorders>
              <w:left w:val="nil"/>
            </w:tcBorders>
            <w:shd w:val="clear" w:color="auto" w:fill="auto"/>
            <w:noWrap/>
            <w:tcMar>
              <w:top w:w="15" w:type="dxa"/>
              <w:left w:w="15" w:type="dxa"/>
              <w:bottom w:w="0" w:type="dxa"/>
              <w:right w:w="15" w:type="dxa"/>
            </w:tcMar>
            <w:vAlign w:val="center"/>
            <w:hideMark/>
          </w:tcPr>
          <w:p w14:paraId="428D2313" w14:textId="77777777" w:rsidR="008D7F3B" w:rsidRPr="00231D2B" w:rsidRDefault="008D7F3B" w:rsidP="00400D57">
            <w:pPr>
              <w:jc w:val="center"/>
              <w:rPr>
                <w:rFonts w:ascii="Calibri" w:eastAsia="Times New Roman" w:hAnsi="Calibri" w:cs="Calibri"/>
                <w:i/>
                <w:iCs/>
                <w:color w:val="000000"/>
                <w:sz w:val="20"/>
                <w:szCs w:val="20"/>
                <w:lang w:eastAsia="en-GB"/>
              </w:rPr>
            </w:pPr>
            <w:r w:rsidRPr="00231D2B">
              <w:rPr>
                <w:rFonts w:ascii="Calibri" w:eastAsia="Times New Roman" w:hAnsi="Calibri" w:cs="Calibri"/>
                <w:i/>
                <w:iCs/>
                <w:color w:val="000000"/>
                <w:sz w:val="20"/>
                <w:szCs w:val="20"/>
                <w:lang w:eastAsia="en-GB"/>
              </w:rPr>
              <w:t>Acinetobacter sp.</w:t>
            </w:r>
          </w:p>
        </w:tc>
        <w:tc>
          <w:tcPr>
            <w:tcW w:w="992" w:type="dxa"/>
            <w:shd w:val="clear" w:color="auto" w:fill="auto"/>
            <w:noWrap/>
            <w:tcMar>
              <w:top w:w="15" w:type="dxa"/>
              <w:left w:w="15" w:type="dxa"/>
              <w:bottom w:w="0" w:type="dxa"/>
              <w:right w:w="15" w:type="dxa"/>
            </w:tcMar>
            <w:vAlign w:val="center"/>
            <w:hideMark/>
          </w:tcPr>
          <w:p w14:paraId="3B876745"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-17.1</w:t>
            </w:r>
          </w:p>
        </w:tc>
        <w:tc>
          <w:tcPr>
            <w:tcW w:w="199" w:type="dxa"/>
            <w:tcBorders>
              <w:right w:val="nil"/>
            </w:tcBorders>
            <w:vAlign w:val="center"/>
          </w:tcPr>
          <w:p w14:paraId="549193F6"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1644" w:type="dxa"/>
            <w:tcBorders>
              <w:left w:val="nil"/>
            </w:tcBorders>
            <w:shd w:val="clear" w:color="auto" w:fill="auto"/>
            <w:noWrap/>
            <w:tcMar>
              <w:top w:w="15" w:type="dxa"/>
              <w:left w:w="15" w:type="dxa"/>
              <w:bottom w:w="0" w:type="dxa"/>
              <w:right w:w="15" w:type="dxa"/>
            </w:tcMar>
            <w:vAlign w:val="center"/>
            <w:hideMark/>
          </w:tcPr>
          <w:p w14:paraId="6FE632A9"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-2.2% (-4.7, 0.5)</w:t>
            </w:r>
          </w:p>
        </w:tc>
        <w:tc>
          <w:tcPr>
            <w:tcW w:w="284" w:type="dxa"/>
            <w:tcBorders>
              <w:right w:val="nil"/>
            </w:tcBorders>
            <w:vAlign w:val="center"/>
          </w:tcPr>
          <w:p w14:paraId="6D32659E" w14:textId="77777777" w:rsidR="008D7F3B" w:rsidRPr="00231D2B" w:rsidRDefault="008D7F3B" w:rsidP="00400D57">
            <w:pPr>
              <w:jc w:val="center"/>
              <w:rPr>
                <w:rFonts w:ascii="Calibri" w:eastAsia="Aptos" w:hAnsi="Calibri" w:cs="Calibri"/>
                <w:color w:val="000000"/>
                <w:sz w:val="20"/>
                <w:szCs w:val="20"/>
              </w:rPr>
            </w:pPr>
          </w:p>
        </w:tc>
        <w:tc>
          <w:tcPr>
            <w:tcW w:w="2126" w:type="dxa"/>
            <w:tcBorders>
              <w:left w:val="nil"/>
            </w:tcBorders>
            <w:vAlign w:val="center"/>
          </w:tcPr>
          <w:p w14:paraId="417151B7" w14:textId="77777777" w:rsidR="008D7F3B" w:rsidRPr="00231D2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0.0% (-3.3, 3.4)</w:t>
            </w:r>
          </w:p>
        </w:tc>
        <w:tc>
          <w:tcPr>
            <w:tcW w:w="425" w:type="dxa"/>
            <w:tcBorders>
              <w:right w:val="nil"/>
            </w:tcBorders>
            <w:vAlign w:val="center"/>
          </w:tcPr>
          <w:p w14:paraId="3358A1F0" w14:textId="77777777" w:rsidR="008D7F3B" w:rsidRPr="00231D2B" w:rsidRDefault="008D7F3B" w:rsidP="00400D57">
            <w:pPr>
              <w:jc w:val="center"/>
              <w:rPr>
                <w:rFonts w:ascii="Calibri" w:eastAsia="Aptos" w:hAnsi="Calibri" w:cs="Calibri"/>
                <w:color w:val="000000"/>
                <w:sz w:val="20"/>
                <w:szCs w:val="20"/>
              </w:rPr>
            </w:pPr>
            <w:r w:rsidRPr="00231D2B">
              <w:rPr>
                <w:rFonts w:ascii="Calibri" w:hAnsi="Calibri" w:cs="Calibri"/>
                <w:b/>
                <w:bCs/>
                <w:color w:val="000000"/>
                <w:sz w:val="20"/>
                <w:szCs w:val="20"/>
              </w:rPr>
              <w:sym w:font="Symbol" w:char="F0AF"/>
            </w:r>
          </w:p>
        </w:tc>
        <w:tc>
          <w:tcPr>
            <w:tcW w:w="2080" w:type="dxa"/>
            <w:tcBorders>
              <w:left w:val="nil"/>
              <w:right w:val="nil"/>
            </w:tcBorders>
            <w:vAlign w:val="center"/>
          </w:tcPr>
          <w:p w14:paraId="32267981" w14:textId="77777777" w:rsidR="008D7F3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-4.2% (-7.3, -1.1)</w:t>
            </w:r>
          </w:p>
          <w:p w14:paraId="6A494076" w14:textId="35BF8CDB" w:rsidR="004C1975" w:rsidRPr="00231D2B" w:rsidRDefault="004C1975" w:rsidP="00400D57">
            <w:pPr>
              <w:jc w:val="center"/>
              <w:rPr>
                <w:rFonts w:ascii="Calibri" w:eastAsia="Times New Roman" w:hAnsi="Calibri" w:cs="Calibri"/>
                <w:color w:val="000000"/>
                <w:sz w:val="20"/>
                <w:szCs w:val="20"/>
                <w:lang w:eastAsia="en-GB"/>
              </w:rPr>
            </w:pPr>
            <w:r w:rsidRPr="00DD39CF">
              <w:rPr>
                <w:rFonts w:ascii="Calibri" w:eastAsia="Times New Roman" w:hAnsi="Calibri" w:cs="Calibri"/>
                <w:color w:val="000000"/>
                <w:sz w:val="16"/>
                <w:szCs w:val="16"/>
                <w:lang w:eastAsia="en-GB"/>
              </w:rPr>
              <w:t>p-value = 0.0092</w:t>
            </w:r>
          </w:p>
        </w:tc>
      </w:tr>
      <w:tr w:rsidR="008D7F3B" w:rsidRPr="00185138" w14:paraId="386B8869" w14:textId="77777777" w:rsidTr="00400D57">
        <w:trPr>
          <w:trHeight w:val="300"/>
        </w:trPr>
        <w:tc>
          <w:tcPr>
            <w:tcW w:w="1276" w:type="dxa"/>
            <w:vMerge/>
            <w:tcBorders>
              <w:left w:val="nil"/>
            </w:tcBorders>
            <w:shd w:val="clear" w:color="auto" w:fill="auto"/>
            <w:noWrap/>
            <w:tcMar>
              <w:top w:w="15" w:type="dxa"/>
              <w:left w:w="15" w:type="dxa"/>
              <w:bottom w:w="0" w:type="dxa"/>
              <w:right w:w="15" w:type="dxa"/>
            </w:tcMar>
            <w:vAlign w:val="center"/>
            <w:hideMark/>
          </w:tcPr>
          <w:p w14:paraId="4A6E1D29" w14:textId="77777777" w:rsidR="008D7F3B" w:rsidRPr="00231D2B" w:rsidRDefault="008D7F3B" w:rsidP="00400D57">
            <w:pPr>
              <w:jc w:val="center"/>
              <w:rPr>
                <w:rFonts w:ascii="Calibri" w:eastAsia="Times New Roman" w:hAnsi="Calibri" w:cs="Calibri"/>
                <w:color w:val="000000"/>
                <w:sz w:val="20"/>
                <w:szCs w:val="20"/>
                <w:lang w:eastAsia="en-GB"/>
              </w:rPr>
            </w:pPr>
          </w:p>
        </w:tc>
        <w:tc>
          <w:tcPr>
            <w:tcW w:w="992" w:type="dxa"/>
            <w:shd w:val="clear" w:color="auto" w:fill="D0CECE" w:themeFill="background2" w:themeFillShade="E6"/>
            <w:noWrap/>
            <w:tcMar>
              <w:top w:w="15" w:type="dxa"/>
              <w:left w:w="15" w:type="dxa"/>
              <w:bottom w:w="0" w:type="dxa"/>
              <w:right w:w="15" w:type="dxa"/>
            </w:tcMar>
            <w:vAlign w:val="center"/>
            <w:hideMark/>
          </w:tcPr>
          <w:p w14:paraId="7D618508"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sz w:val="20"/>
                <w:szCs w:val="20"/>
                <w:lang w:val="en-US"/>
              </w:rPr>
              <w:t>-3.9</w:t>
            </w:r>
          </w:p>
        </w:tc>
        <w:tc>
          <w:tcPr>
            <w:tcW w:w="199" w:type="dxa"/>
            <w:tcBorders>
              <w:right w:val="nil"/>
            </w:tcBorders>
            <w:shd w:val="clear" w:color="auto" w:fill="D0CECE" w:themeFill="background2" w:themeFillShade="E6"/>
            <w:vAlign w:val="center"/>
          </w:tcPr>
          <w:p w14:paraId="21398DA0"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hAnsi="Calibri" w:cs="Calibri"/>
                <w:b/>
                <w:bCs/>
                <w:color w:val="000000"/>
                <w:sz w:val="20"/>
                <w:szCs w:val="20"/>
              </w:rPr>
              <w:sym w:font="Symbol" w:char="F0AD"/>
            </w:r>
          </w:p>
        </w:tc>
        <w:tc>
          <w:tcPr>
            <w:tcW w:w="1644" w:type="dxa"/>
            <w:tcBorders>
              <w:left w:val="nil"/>
            </w:tcBorders>
            <w:shd w:val="clear" w:color="auto" w:fill="D0CECE" w:themeFill="background2" w:themeFillShade="E6"/>
            <w:noWrap/>
            <w:tcMar>
              <w:top w:w="15" w:type="dxa"/>
              <w:left w:w="15" w:type="dxa"/>
              <w:bottom w:w="0" w:type="dxa"/>
              <w:right w:w="15" w:type="dxa"/>
            </w:tcMar>
            <w:vAlign w:val="center"/>
            <w:hideMark/>
          </w:tcPr>
          <w:p w14:paraId="0AFE8514" w14:textId="66598BF3" w:rsidR="008D7F3B" w:rsidRDefault="008D7F3B" w:rsidP="00400D57">
            <w:pPr>
              <w:jc w:val="center"/>
              <w:rPr>
                <w:rFonts w:ascii="Calibri" w:eastAsia="Times New Roman" w:hAnsi="Calibri" w:cs="Calibri"/>
                <w:color w:val="000000"/>
                <w:sz w:val="20"/>
                <w:szCs w:val="20"/>
                <w:lang w:eastAsia="en-GB"/>
              </w:rPr>
            </w:pPr>
            <w:r w:rsidRPr="00231D2B">
              <w:rPr>
                <w:rFonts w:ascii="Calibri" w:eastAsia="Times New Roman" w:hAnsi="Calibri" w:cs="Calibri"/>
                <w:color w:val="000000"/>
                <w:sz w:val="20"/>
                <w:szCs w:val="20"/>
                <w:lang w:eastAsia="en-GB"/>
              </w:rPr>
              <w:t>11.5% (0.9, 23.3)</w:t>
            </w:r>
          </w:p>
          <w:p w14:paraId="37FB0792" w14:textId="2A2C4A6C" w:rsidR="00016DC1" w:rsidRPr="00231D2B" w:rsidRDefault="00016DC1" w:rsidP="00400D57">
            <w:pPr>
              <w:jc w:val="center"/>
              <w:rPr>
                <w:rFonts w:ascii="Calibri" w:eastAsia="Times New Roman" w:hAnsi="Calibri" w:cs="Calibri"/>
                <w:color w:val="000000"/>
                <w:sz w:val="20"/>
                <w:szCs w:val="20"/>
                <w:lang w:eastAsia="en-GB"/>
              </w:rPr>
            </w:pPr>
            <w:r w:rsidRPr="00DD39CF">
              <w:rPr>
                <w:rFonts w:ascii="Calibri" w:eastAsia="Times New Roman" w:hAnsi="Calibri" w:cs="Calibri"/>
                <w:color w:val="000000"/>
                <w:sz w:val="16"/>
                <w:szCs w:val="16"/>
                <w:lang w:eastAsia="en-GB"/>
              </w:rPr>
              <w:t>p-value = 0.0335</w:t>
            </w:r>
          </w:p>
        </w:tc>
        <w:tc>
          <w:tcPr>
            <w:tcW w:w="284" w:type="dxa"/>
            <w:tcBorders>
              <w:right w:val="nil"/>
            </w:tcBorders>
            <w:shd w:val="clear" w:color="auto" w:fill="D0CECE" w:themeFill="background2" w:themeFillShade="E6"/>
            <w:vAlign w:val="center"/>
          </w:tcPr>
          <w:p w14:paraId="345E3AB7" w14:textId="77777777" w:rsidR="008D7F3B" w:rsidRPr="00231D2B" w:rsidRDefault="008D7F3B" w:rsidP="00400D57">
            <w:pPr>
              <w:jc w:val="center"/>
              <w:rPr>
                <w:rFonts w:ascii="Calibri" w:eastAsia="Aptos" w:hAnsi="Calibri" w:cs="Calibri"/>
                <w:color w:val="000000"/>
                <w:sz w:val="20"/>
                <w:szCs w:val="20"/>
              </w:rPr>
            </w:pPr>
          </w:p>
        </w:tc>
        <w:tc>
          <w:tcPr>
            <w:tcW w:w="2126" w:type="dxa"/>
            <w:tcBorders>
              <w:left w:val="nil"/>
            </w:tcBorders>
            <w:shd w:val="clear" w:color="auto" w:fill="D0CECE" w:themeFill="background2" w:themeFillShade="E6"/>
            <w:vAlign w:val="center"/>
          </w:tcPr>
          <w:p w14:paraId="1DFF4DAF" w14:textId="77777777" w:rsidR="008D7F3B" w:rsidRPr="00231D2B" w:rsidRDefault="008D7F3B" w:rsidP="00400D57">
            <w:pPr>
              <w:jc w:val="center"/>
              <w:rPr>
                <w:rFonts w:ascii="Calibri" w:eastAsia="Aptos" w:hAnsi="Calibri" w:cs="Calibri"/>
                <w:color w:val="000000"/>
                <w:sz w:val="20"/>
                <w:szCs w:val="20"/>
              </w:rPr>
            </w:pPr>
            <w:r w:rsidRPr="00231D2B">
              <w:rPr>
                <w:rFonts w:ascii="Calibri" w:eastAsia="Aptos" w:hAnsi="Calibri" w:cs="Calibri"/>
                <w:color w:val="000000"/>
                <w:sz w:val="20"/>
                <w:szCs w:val="20"/>
              </w:rPr>
              <w:t>9.2% (-3.2, 23.2)</w:t>
            </w:r>
          </w:p>
        </w:tc>
        <w:tc>
          <w:tcPr>
            <w:tcW w:w="425" w:type="dxa"/>
            <w:tcBorders>
              <w:right w:val="nil"/>
            </w:tcBorders>
            <w:shd w:val="clear" w:color="auto" w:fill="D0CECE" w:themeFill="background2" w:themeFillShade="E6"/>
            <w:vAlign w:val="center"/>
          </w:tcPr>
          <w:p w14:paraId="6653E5D3" w14:textId="77777777" w:rsidR="008D7F3B" w:rsidRPr="00231D2B" w:rsidRDefault="008D7F3B" w:rsidP="00400D57">
            <w:pPr>
              <w:jc w:val="center"/>
              <w:rPr>
                <w:rFonts w:ascii="Calibri" w:eastAsia="Aptos" w:hAnsi="Calibri" w:cs="Calibri"/>
                <w:color w:val="000000"/>
                <w:sz w:val="20"/>
                <w:szCs w:val="20"/>
              </w:rPr>
            </w:pPr>
          </w:p>
        </w:tc>
        <w:tc>
          <w:tcPr>
            <w:tcW w:w="2080" w:type="dxa"/>
            <w:tcBorders>
              <w:left w:val="nil"/>
              <w:right w:val="nil"/>
            </w:tcBorders>
            <w:shd w:val="clear" w:color="auto" w:fill="D0CECE" w:themeFill="background2" w:themeFillShade="E6"/>
            <w:vAlign w:val="center"/>
          </w:tcPr>
          <w:p w14:paraId="3BA4B2C8" w14:textId="77777777" w:rsidR="008D7F3B" w:rsidRPr="00231D2B" w:rsidRDefault="008D7F3B" w:rsidP="00400D57">
            <w:pPr>
              <w:jc w:val="center"/>
              <w:rPr>
                <w:rFonts w:ascii="Calibri" w:eastAsia="Times New Roman" w:hAnsi="Calibri" w:cs="Calibri"/>
                <w:color w:val="000000"/>
                <w:sz w:val="20"/>
                <w:szCs w:val="20"/>
                <w:lang w:eastAsia="en-GB"/>
              </w:rPr>
            </w:pPr>
            <w:r w:rsidRPr="00231D2B">
              <w:rPr>
                <w:rFonts w:ascii="Calibri" w:eastAsia="Aptos" w:hAnsi="Calibri" w:cs="Calibri"/>
                <w:color w:val="000000"/>
                <w:sz w:val="20"/>
                <w:szCs w:val="20"/>
              </w:rPr>
              <w:t>13.9% (-2.0, 32.4)</w:t>
            </w:r>
          </w:p>
        </w:tc>
      </w:tr>
    </w:tbl>
    <w:p w14:paraId="105CF140" w14:textId="1BEC1E29" w:rsidR="008D7F3B" w:rsidRPr="00424A27" w:rsidRDefault="008D7F3B" w:rsidP="008D7F3B">
      <w:pPr>
        <w:jc w:val="both"/>
        <w:rPr>
          <w:sz w:val="16"/>
          <w:szCs w:val="16"/>
          <w:lang w:val="en-US"/>
        </w:rPr>
      </w:pPr>
      <w:r w:rsidRPr="00424A27">
        <w:rPr>
          <w:sz w:val="16"/>
          <w:szCs w:val="16"/>
          <w:lang w:val="en-US"/>
        </w:rPr>
        <w:t>* p-value &lt; 0.0</w:t>
      </w:r>
      <w:r w:rsidR="00016DC1">
        <w:rPr>
          <w:sz w:val="16"/>
          <w:szCs w:val="16"/>
          <w:lang w:val="en-US"/>
        </w:rPr>
        <w:t>001</w:t>
      </w:r>
    </w:p>
    <w:p w14:paraId="66BE51B8" w14:textId="77777777" w:rsidR="008D7F3B" w:rsidRDefault="008D7F3B">
      <w:pPr>
        <w:rPr>
          <w:b/>
          <w:bCs/>
          <w:iCs/>
          <w:sz w:val="18"/>
          <w:szCs w:val="13"/>
          <w:lang w:val="en-US"/>
        </w:rPr>
      </w:pPr>
      <w:r>
        <w:rPr>
          <w:bCs/>
          <w:lang w:val="en-US"/>
        </w:rPr>
        <w:br w:type="page"/>
      </w:r>
    </w:p>
    <w:p w14:paraId="7E49147F" w14:textId="15BD9767" w:rsidR="00634CA8" w:rsidRPr="000F208E" w:rsidRDefault="00634CA8" w:rsidP="00634CA8">
      <w:pPr>
        <w:pStyle w:val="Caption"/>
        <w:rPr>
          <w:bCs/>
          <w:lang w:val="en-US"/>
        </w:rPr>
      </w:pPr>
      <w:r>
        <w:lastRenderedPageBreak/>
        <w:t>Table S</w:t>
      </w:r>
      <w:r>
        <w:fldChar w:fldCharType="begin"/>
      </w:r>
      <w:r>
        <w:instrText xml:space="preserve"> SEQ Table_S \* ARABIC </w:instrText>
      </w:r>
      <w:r>
        <w:fldChar w:fldCharType="separate"/>
      </w:r>
      <w:r w:rsidR="00EC4F6F">
        <w:rPr>
          <w:noProof/>
        </w:rPr>
        <w:t>7</w:t>
      </w:r>
      <w:r>
        <w:rPr>
          <w:noProof/>
        </w:rPr>
        <w:fldChar w:fldCharType="end"/>
      </w:r>
      <w:r>
        <w:t xml:space="preserve">. </w:t>
      </w:r>
      <w:r w:rsidRPr="00C63521">
        <w:rPr>
          <w:lang w:val="en-US"/>
        </w:rPr>
        <w:t xml:space="preserve">Change in </w:t>
      </w:r>
      <w:r>
        <w:rPr>
          <w:lang w:val="en-US"/>
        </w:rPr>
        <w:t xml:space="preserve">methicillin and vancomycin </w:t>
      </w:r>
      <w:r w:rsidRPr="00C63521">
        <w:rPr>
          <w:lang w:val="en-US"/>
        </w:rPr>
        <w:t xml:space="preserve">phenotypic incidence, and resistance proportion for </w:t>
      </w:r>
      <w:r>
        <w:rPr>
          <w:lang w:val="en-US"/>
        </w:rPr>
        <w:t>gram-positive organisms during the pre-pandemic (</w:t>
      </w:r>
      <w:r w:rsidRPr="00C63521">
        <w:rPr>
          <w:lang w:val="en-US"/>
        </w:rPr>
        <w:t>2007-2019</w:t>
      </w:r>
      <w:r>
        <w:rPr>
          <w:lang w:val="en-US"/>
        </w:rPr>
        <w:t>)</w:t>
      </w:r>
      <w:r w:rsidRPr="00C63521">
        <w:rPr>
          <w:lang w:val="en-US"/>
        </w:rPr>
        <w:t xml:space="preserve"> and </w:t>
      </w:r>
      <w:proofErr w:type="spellStart"/>
      <w:r>
        <w:rPr>
          <w:lang w:val="en-US"/>
        </w:rPr>
        <w:t>and</w:t>
      </w:r>
      <w:proofErr w:type="spellEnd"/>
      <w:r>
        <w:rPr>
          <w:lang w:val="en-US"/>
        </w:rPr>
        <w:t xml:space="preserve"> pandemic (</w:t>
      </w:r>
      <w:r w:rsidRPr="00C63521">
        <w:rPr>
          <w:lang w:val="en-US"/>
        </w:rPr>
        <w:t>2020-2022</w:t>
      </w:r>
      <w:r>
        <w:rPr>
          <w:lang w:val="en-US"/>
        </w:rPr>
        <w:t>) period</w:t>
      </w:r>
      <w:r w:rsidRPr="00C63521">
        <w:rPr>
          <w:lang w:val="en-US"/>
        </w:rPr>
        <w:t xml:space="preserve">. </w:t>
      </w:r>
      <w:r w:rsidR="007112FD" w:rsidRPr="009937C3">
        <w:rPr>
          <w:b w:val="0"/>
          <w:bCs/>
        </w:rPr>
        <w:t xml:space="preserve">Average annual percentage change (AAPC) estimates were obtained from time trend coefficients using generalized estimating equations. </w:t>
      </w:r>
      <w:r w:rsidR="007112FD">
        <w:rPr>
          <w:b w:val="0"/>
          <w:bCs/>
        </w:rPr>
        <w:t xml:space="preserve">95% confidence intervals are reported in brackets. </w:t>
      </w:r>
      <w:r w:rsidR="007112FD" w:rsidRPr="009937C3">
        <w:rPr>
          <w:b w:val="0"/>
          <w:bCs/>
        </w:rPr>
        <w:t>White rows represent results for the pre-pandemic (2007-2019), grey shaded rows for the pandemic (2020-2022) period. Upward or downward pointing arrows indicate statistically significant increasing or decreasing incidence trends.</w:t>
      </w:r>
      <w:r w:rsidR="007112FD" w:rsidRPr="009937C3">
        <w:rPr>
          <w:b w:val="0"/>
          <w:bCs/>
          <w:lang w:val="en-US"/>
        </w:rPr>
        <w:t xml:space="preserve"> </w:t>
      </w:r>
      <w:r w:rsidR="007112FD">
        <w:rPr>
          <w:b w:val="0"/>
          <w:bCs/>
          <w:lang w:val="en-US"/>
        </w:rPr>
        <w:t>P-values are given for statistically significant time trends if p-value is larger or equal than 0.0001.</w:t>
      </w:r>
    </w:p>
    <w:tbl>
      <w:tblPr>
        <w:tblW w:w="9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34"/>
        <w:gridCol w:w="1277"/>
        <w:gridCol w:w="283"/>
        <w:gridCol w:w="1984"/>
        <w:gridCol w:w="284"/>
        <w:gridCol w:w="1842"/>
        <w:gridCol w:w="426"/>
        <w:gridCol w:w="1791"/>
      </w:tblGrid>
      <w:tr w:rsidR="00634CA8" w:rsidRPr="004901B0" w14:paraId="459672B6" w14:textId="77777777" w:rsidTr="00E00346">
        <w:trPr>
          <w:trHeight w:val="300"/>
        </w:trPr>
        <w:tc>
          <w:tcPr>
            <w:tcW w:w="1134" w:type="dxa"/>
            <w:vMerge w:val="restart"/>
            <w:tcBorders>
              <w:left w:val="nil"/>
            </w:tcBorders>
            <w:shd w:val="clear" w:color="auto" w:fill="auto"/>
            <w:noWrap/>
            <w:tcMar>
              <w:top w:w="15" w:type="dxa"/>
              <w:left w:w="15" w:type="dxa"/>
              <w:bottom w:w="0" w:type="dxa"/>
              <w:right w:w="15" w:type="dxa"/>
            </w:tcMar>
            <w:vAlign w:val="center"/>
          </w:tcPr>
          <w:p w14:paraId="54A45508" w14:textId="77777777" w:rsidR="00634CA8" w:rsidRPr="00E00346" w:rsidRDefault="00634CA8" w:rsidP="00FA153D">
            <w:pPr>
              <w:rPr>
                <w:rFonts w:ascii="Calibri" w:eastAsia="Times New Roman" w:hAnsi="Calibri" w:cs="Calibri"/>
                <w:b/>
                <w:bCs/>
                <w:color w:val="000000"/>
                <w:sz w:val="20"/>
                <w:szCs w:val="20"/>
                <w:lang w:eastAsia="en-GB"/>
              </w:rPr>
            </w:pPr>
            <w:r w:rsidRPr="00E00346">
              <w:rPr>
                <w:rFonts w:ascii="Calibri" w:eastAsia="Times New Roman" w:hAnsi="Calibri" w:cs="Calibri"/>
                <w:b/>
                <w:bCs/>
                <w:color w:val="000000"/>
                <w:sz w:val="20"/>
                <w:szCs w:val="20"/>
                <w:lang w:eastAsia="en-GB"/>
              </w:rPr>
              <w:t>Organism</w:t>
            </w:r>
          </w:p>
        </w:tc>
        <w:tc>
          <w:tcPr>
            <w:tcW w:w="1277" w:type="dxa"/>
            <w:vMerge w:val="restart"/>
            <w:tcBorders>
              <w:left w:val="nil"/>
              <w:right w:val="single" w:sz="4" w:space="0" w:color="auto"/>
            </w:tcBorders>
            <w:vAlign w:val="center"/>
          </w:tcPr>
          <w:p w14:paraId="3F5EE85A" w14:textId="77777777" w:rsidR="00634CA8" w:rsidRPr="00E00346" w:rsidRDefault="00634CA8" w:rsidP="00FA153D">
            <w:pPr>
              <w:jc w:val="center"/>
              <w:rPr>
                <w:rFonts w:ascii="Calibri" w:eastAsia="Times New Roman" w:hAnsi="Calibri" w:cs="Calibri"/>
                <w:b/>
                <w:bCs/>
                <w:color w:val="000000"/>
                <w:sz w:val="20"/>
                <w:szCs w:val="20"/>
                <w:lang w:eastAsia="en-GB"/>
              </w:rPr>
            </w:pPr>
            <w:r w:rsidRPr="00E00346">
              <w:rPr>
                <w:rFonts w:ascii="Calibri" w:eastAsia="Times New Roman" w:hAnsi="Calibri" w:cs="Calibri"/>
                <w:b/>
                <w:bCs/>
                <w:color w:val="000000"/>
                <w:sz w:val="20"/>
                <w:szCs w:val="20"/>
                <w:lang w:eastAsia="en-GB"/>
              </w:rPr>
              <w:t>Source of infection</w:t>
            </w:r>
          </w:p>
        </w:tc>
        <w:tc>
          <w:tcPr>
            <w:tcW w:w="6610" w:type="dxa"/>
            <w:gridSpan w:val="6"/>
            <w:tcBorders>
              <w:left w:val="single" w:sz="4" w:space="0" w:color="auto"/>
              <w:right w:val="nil"/>
            </w:tcBorders>
          </w:tcPr>
          <w:p w14:paraId="3704935F" w14:textId="77777777" w:rsidR="00634CA8" w:rsidRPr="00E00346" w:rsidRDefault="00634CA8" w:rsidP="00FA153D">
            <w:pPr>
              <w:jc w:val="center"/>
              <w:rPr>
                <w:rFonts w:ascii="Calibri" w:eastAsia="Times New Roman" w:hAnsi="Calibri" w:cs="Calibri"/>
                <w:b/>
                <w:bCs/>
                <w:color w:val="000000"/>
                <w:sz w:val="20"/>
                <w:szCs w:val="20"/>
                <w:lang w:eastAsia="en-GB"/>
              </w:rPr>
            </w:pPr>
            <w:r w:rsidRPr="00E00346">
              <w:rPr>
                <w:rFonts w:ascii="Calibri" w:eastAsia="Times New Roman" w:hAnsi="Calibri" w:cs="Calibri"/>
                <w:b/>
                <w:bCs/>
                <w:color w:val="000000"/>
                <w:sz w:val="20"/>
                <w:szCs w:val="20"/>
                <w:lang w:eastAsia="en-GB"/>
              </w:rPr>
              <w:t>Methicillin</w:t>
            </w:r>
          </w:p>
        </w:tc>
      </w:tr>
      <w:tr w:rsidR="00634CA8" w:rsidRPr="004901B0" w14:paraId="6ED73F1B" w14:textId="77777777" w:rsidTr="00E00346">
        <w:trPr>
          <w:trHeight w:val="708"/>
        </w:trPr>
        <w:tc>
          <w:tcPr>
            <w:tcW w:w="1134" w:type="dxa"/>
            <w:vMerge/>
            <w:tcBorders>
              <w:left w:val="nil"/>
            </w:tcBorders>
            <w:shd w:val="clear" w:color="auto" w:fill="auto"/>
            <w:noWrap/>
            <w:tcMar>
              <w:top w:w="15" w:type="dxa"/>
              <w:left w:w="15" w:type="dxa"/>
              <w:bottom w:w="0" w:type="dxa"/>
              <w:right w:w="15" w:type="dxa"/>
            </w:tcMar>
            <w:vAlign w:val="bottom"/>
          </w:tcPr>
          <w:p w14:paraId="37BB89BB" w14:textId="77777777" w:rsidR="00634CA8" w:rsidRPr="00E00346" w:rsidRDefault="00634CA8" w:rsidP="00FA153D">
            <w:pPr>
              <w:rPr>
                <w:rFonts w:ascii="Calibri" w:eastAsia="Times New Roman" w:hAnsi="Calibri" w:cs="Calibri"/>
                <w:color w:val="000000"/>
                <w:sz w:val="20"/>
                <w:szCs w:val="20"/>
                <w:lang w:eastAsia="en-GB"/>
              </w:rPr>
            </w:pPr>
          </w:p>
        </w:tc>
        <w:tc>
          <w:tcPr>
            <w:tcW w:w="1277" w:type="dxa"/>
            <w:vMerge/>
            <w:tcBorders>
              <w:left w:val="nil"/>
              <w:right w:val="single" w:sz="4" w:space="0" w:color="auto"/>
            </w:tcBorders>
          </w:tcPr>
          <w:p w14:paraId="309FAE11"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2267" w:type="dxa"/>
            <w:gridSpan w:val="2"/>
            <w:tcBorders>
              <w:left w:val="single" w:sz="4" w:space="0" w:color="auto"/>
            </w:tcBorders>
          </w:tcPr>
          <w:p w14:paraId="78E58190"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Incidence of resistant infections</w:t>
            </w:r>
          </w:p>
          <w:p w14:paraId="17A864C8"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2007-2019</w:t>
            </w:r>
          </w:p>
          <w:p w14:paraId="322EFCB0"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2020-2022</w:t>
            </w:r>
          </w:p>
        </w:tc>
        <w:tc>
          <w:tcPr>
            <w:tcW w:w="284" w:type="dxa"/>
            <w:tcBorders>
              <w:left w:val="nil"/>
              <w:right w:val="nil"/>
            </w:tcBorders>
          </w:tcPr>
          <w:p w14:paraId="4FA0AFF9"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1842" w:type="dxa"/>
            <w:tcBorders>
              <w:left w:val="nil"/>
            </w:tcBorders>
          </w:tcPr>
          <w:p w14:paraId="628BBA99"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Incidence of susceptible infections</w:t>
            </w:r>
          </w:p>
          <w:p w14:paraId="258262F0"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2007-2019</w:t>
            </w:r>
          </w:p>
          <w:p w14:paraId="161A657C"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2020-2022</w:t>
            </w:r>
          </w:p>
        </w:tc>
        <w:tc>
          <w:tcPr>
            <w:tcW w:w="2217" w:type="dxa"/>
            <w:gridSpan w:val="2"/>
            <w:tcBorders>
              <w:left w:val="nil"/>
              <w:bottom w:val="single" w:sz="4" w:space="0" w:color="auto"/>
              <w:right w:val="nil"/>
            </w:tcBorders>
          </w:tcPr>
          <w:p w14:paraId="0DB406CA"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Resistance proportion</w:t>
            </w:r>
          </w:p>
          <w:p w14:paraId="4E752476"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2007-2019</w:t>
            </w:r>
          </w:p>
          <w:p w14:paraId="7F049BBB"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2020-2022</w:t>
            </w:r>
          </w:p>
        </w:tc>
      </w:tr>
      <w:tr w:rsidR="00634CA8" w:rsidRPr="004901B0" w14:paraId="01CDE9D0" w14:textId="77777777" w:rsidTr="00E00346">
        <w:trPr>
          <w:trHeight w:val="301"/>
        </w:trPr>
        <w:tc>
          <w:tcPr>
            <w:tcW w:w="1134" w:type="dxa"/>
            <w:vMerge w:val="restart"/>
            <w:tcBorders>
              <w:left w:val="nil"/>
            </w:tcBorders>
            <w:shd w:val="clear" w:color="auto" w:fill="auto"/>
            <w:noWrap/>
            <w:tcMar>
              <w:top w:w="15" w:type="dxa"/>
              <w:left w:w="15" w:type="dxa"/>
              <w:bottom w:w="0" w:type="dxa"/>
              <w:right w:w="15" w:type="dxa"/>
            </w:tcMar>
            <w:vAlign w:val="center"/>
            <w:hideMark/>
          </w:tcPr>
          <w:p w14:paraId="529CD77C" w14:textId="77777777" w:rsidR="00634CA8" w:rsidRPr="00E00346" w:rsidRDefault="00634CA8" w:rsidP="00FA153D">
            <w:pPr>
              <w:jc w:val="center"/>
              <w:rPr>
                <w:rFonts w:ascii="Calibri" w:eastAsia="Times New Roman" w:hAnsi="Calibri" w:cs="Calibri"/>
                <w:i/>
                <w:iCs/>
                <w:color w:val="000000"/>
                <w:sz w:val="20"/>
                <w:szCs w:val="20"/>
                <w:lang w:eastAsia="en-GB"/>
              </w:rPr>
            </w:pPr>
            <w:r w:rsidRPr="00E00346">
              <w:rPr>
                <w:rFonts w:ascii="Calibri" w:eastAsia="Times New Roman" w:hAnsi="Calibri" w:cs="Calibri"/>
                <w:i/>
                <w:iCs/>
                <w:color w:val="000000"/>
                <w:sz w:val="20"/>
                <w:szCs w:val="20"/>
                <w:lang w:eastAsia="en-GB"/>
              </w:rPr>
              <w:t>S. aureus</w:t>
            </w:r>
          </w:p>
        </w:tc>
        <w:tc>
          <w:tcPr>
            <w:tcW w:w="1277" w:type="dxa"/>
            <w:vMerge w:val="restart"/>
            <w:tcBorders>
              <w:left w:val="nil"/>
              <w:right w:val="single" w:sz="4" w:space="0" w:color="auto"/>
            </w:tcBorders>
            <w:vAlign w:val="center"/>
          </w:tcPr>
          <w:p w14:paraId="66038071"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Overall</w:t>
            </w:r>
          </w:p>
        </w:tc>
        <w:tc>
          <w:tcPr>
            <w:tcW w:w="283" w:type="dxa"/>
            <w:tcBorders>
              <w:left w:val="single" w:sz="4" w:space="0" w:color="auto"/>
              <w:right w:val="nil"/>
            </w:tcBorders>
            <w:vAlign w:val="center"/>
          </w:tcPr>
          <w:p w14:paraId="2F636B6F"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984" w:type="dxa"/>
            <w:tcBorders>
              <w:left w:val="nil"/>
            </w:tcBorders>
            <w:vAlign w:val="center"/>
          </w:tcPr>
          <w:p w14:paraId="141D48E2"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-5.5% (-6.7, -4.3)*</w:t>
            </w:r>
          </w:p>
        </w:tc>
        <w:tc>
          <w:tcPr>
            <w:tcW w:w="284" w:type="dxa"/>
            <w:tcBorders>
              <w:left w:val="nil"/>
              <w:right w:val="nil"/>
            </w:tcBorders>
            <w:vAlign w:val="center"/>
          </w:tcPr>
          <w:p w14:paraId="4281CB7C"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842" w:type="dxa"/>
            <w:tcBorders>
              <w:left w:val="nil"/>
            </w:tcBorders>
            <w:vAlign w:val="center"/>
          </w:tcPr>
          <w:p w14:paraId="08683588"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-1.5% (-2.4, -0.5)</w:t>
            </w:r>
          </w:p>
          <w:p w14:paraId="20DA61F3"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eastAsia="Times New Roman" w:hAnsi="Calibri" w:cs="Calibri"/>
                <w:color w:val="000000"/>
                <w:sz w:val="18"/>
                <w:szCs w:val="18"/>
                <w:lang w:eastAsia="en-GB"/>
              </w:rPr>
              <w:t>p-value = 0.0036</w:t>
            </w:r>
          </w:p>
        </w:tc>
        <w:tc>
          <w:tcPr>
            <w:tcW w:w="426" w:type="dxa"/>
            <w:tcBorders>
              <w:left w:val="nil"/>
              <w:right w:val="nil"/>
            </w:tcBorders>
            <w:vAlign w:val="center"/>
          </w:tcPr>
          <w:p w14:paraId="74EC5BF3"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791" w:type="dxa"/>
            <w:tcBorders>
              <w:left w:val="nil"/>
              <w:right w:val="nil"/>
            </w:tcBorders>
            <w:vAlign w:val="center"/>
          </w:tcPr>
          <w:p w14:paraId="2A906DB8"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-1.8% (-2.4, -1.2)*</w:t>
            </w:r>
          </w:p>
        </w:tc>
      </w:tr>
      <w:tr w:rsidR="00634CA8" w:rsidRPr="004901B0" w14:paraId="679B006D"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hideMark/>
          </w:tcPr>
          <w:p w14:paraId="538F8C5B"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1277" w:type="dxa"/>
            <w:vMerge/>
            <w:tcBorders>
              <w:left w:val="nil"/>
              <w:right w:val="single" w:sz="4" w:space="0" w:color="auto"/>
            </w:tcBorders>
            <w:vAlign w:val="center"/>
          </w:tcPr>
          <w:p w14:paraId="450856F4"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6BFC9B97" w14:textId="77777777" w:rsidR="00634CA8" w:rsidRPr="00E00346" w:rsidRDefault="00634CA8" w:rsidP="00FA153D">
            <w:pPr>
              <w:jc w:val="center"/>
              <w:rPr>
                <w:rFonts w:ascii="Calibri" w:hAnsi="Calibri" w:cs="Calibri"/>
                <w:color w:val="000000"/>
                <w:sz w:val="18"/>
                <w:szCs w:val="18"/>
              </w:rPr>
            </w:pPr>
          </w:p>
        </w:tc>
        <w:tc>
          <w:tcPr>
            <w:tcW w:w="1984" w:type="dxa"/>
            <w:tcBorders>
              <w:left w:val="nil"/>
            </w:tcBorders>
            <w:shd w:val="clear" w:color="auto" w:fill="D0CECE" w:themeFill="background2" w:themeFillShade="E6"/>
            <w:vAlign w:val="center"/>
          </w:tcPr>
          <w:p w14:paraId="54E9DE99"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-4.5% (-9.0,  0.2)</w:t>
            </w:r>
          </w:p>
        </w:tc>
        <w:tc>
          <w:tcPr>
            <w:tcW w:w="284" w:type="dxa"/>
            <w:tcBorders>
              <w:left w:val="nil"/>
              <w:right w:val="nil"/>
            </w:tcBorders>
            <w:shd w:val="clear" w:color="auto" w:fill="D0CECE" w:themeFill="background2" w:themeFillShade="E6"/>
            <w:vAlign w:val="center"/>
          </w:tcPr>
          <w:p w14:paraId="2B0D7F68" w14:textId="77777777" w:rsidR="00634CA8" w:rsidRPr="00E00346" w:rsidRDefault="00634CA8" w:rsidP="00FA153D">
            <w:pPr>
              <w:jc w:val="center"/>
              <w:rPr>
                <w:rFonts w:ascii="Calibri" w:hAnsi="Calibri" w:cs="Calibri"/>
                <w:color w:val="000000"/>
                <w:sz w:val="18"/>
                <w:szCs w:val="18"/>
              </w:rPr>
            </w:pPr>
          </w:p>
        </w:tc>
        <w:tc>
          <w:tcPr>
            <w:tcW w:w="1842" w:type="dxa"/>
            <w:tcBorders>
              <w:left w:val="nil"/>
            </w:tcBorders>
            <w:shd w:val="clear" w:color="auto" w:fill="D0CECE" w:themeFill="background2" w:themeFillShade="E6"/>
            <w:vAlign w:val="center"/>
          </w:tcPr>
          <w:p w14:paraId="3FDD7ADE"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0.0% (-3.7,  3.9)</w:t>
            </w:r>
          </w:p>
        </w:tc>
        <w:tc>
          <w:tcPr>
            <w:tcW w:w="426" w:type="dxa"/>
            <w:tcBorders>
              <w:left w:val="nil"/>
              <w:right w:val="nil"/>
            </w:tcBorders>
            <w:shd w:val="clear" w:color="auto" w:fill="D0CECE" w:themeFill="background2" w:themeFillShade="E6"/>
            <w:vAlign w:val="center"/>
          </w:tcPr>
          <w:p w14:paraId="2EBF786E"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D0CECE" w:themeFill="background2" w:themeFillShade="E6"/>
            <w:vAlign w:val="center"/>
          </w:tcPr>
          <w:p w14:paraId="027BEF61"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-2.7% (-5.5,  0.1)</w:t>
            </w:r>
          </w:p>
        </w:tc>
      </w:tr>
      <w:tr w:rsidR="00634CA8" w:rsidRPr="004901B0" w14:paraId="092DC62F"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hideMark/>
          </w:tcPr>
          <w:p w14:paraId="406C4B8A"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1277" w:type="dxa"/>
            <w:vMerge w:val="restart"/>
            <w:tcBorders>
              <w:left w:val="nil"/>
              <w:right w:val="single" w:sz="4" w:space="0" w:color="auto"/>
            </w:tcBorders>
            <w:vAlign w:val="center"/>
          </w:tcPr>
          <w:p w14:paraId="159AB3DE"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6AF3111B"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984" w:type="dxa"/>
            <w:tcBorders>
              <w:left w:val="nil"/>
            </w:tcBorders>
            <w:vAlign w:val="center"/>
          </w:tcPr>
          <w:p w14:paraId="09E42143"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-3.7% (-5.1, -2.2)*</w:t>
            </w:r>
          </w:p>
        </w:tc>
        <w:tc>
          <w:tcPr>
            <w:tcW w:w="284" w:type="dxa"/>
            <w:tcBorders>
              <w:left w:val="nil"/>
              <w:right w:val="nil"/>
            </w:tcBorders>
            <w:vAlign w:val="center"/>
          </w:tcPr>
          <w:p w14:paraId="0FDCC2E9" w14:textId="77777777" w:rsidR="00634CA8" w:rsidRPr="00E00346" w:rsidRDefault="00634CA8" w:rsidP="00FA153D">
            <w:pPr>
              <w:jc w:val="center"/>
              <w:rPr>
                <w:rFonts w:ascii="Calibri" w:hAnsi="Calibri" w:cs="Calibri"/>
                <w:color w:val="000000"/>
                <w:sz w:val="18"/>
                <w:szCs w:val="18"/>
              </w:rPr>
            </w:pPr>
          </w:p>
        </w:tc>
        <w:tc>
          <w:tcPr>
            <w:tcW w:w="1842" w:type="dxa"/>
            <w:tcBorders>
              <w:left w:val="nil"/>
            </w:tcBorders>
            <w:vAlign w:val="center"/>
          </w:tcPr>
          <w:p w14:paraId="232E27A2"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0.3% (-0.9,  1.5)</w:t>
            </w:r>
          </w:p>
        </w:tc>
        <w:tc>
          <w:tcPr>
            <w:tcW w:w="426" w:type="dxa"/>
            <w:tcBorders>
              <w:left w:val="nil"/>
              <w:right w:val="nil"/>
            </w:tcBorders>
            <w:vAlign w:val="center"/>
          </w:tcPr>
          <w:p w14:paraId="3CB3342A"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791" w:type="dxa"/>
            <w:tcBorders>
              <w:left w:val="nil"/>
              <w:right w:val="nil"/>
            </w:tcBorders>
            <w:vAlign w:val="center"/>
          </w:tcPr>
          <w:p w14:paraId="41E4FF95"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-1.9% (-2.6, -1.2)*</w:t>
            </w:r>
          </w:p>
        </w:tc>
      </w:tr>
      <w:tr w:rsidR="00634CA8" w:rsidRPr="004901B0" w14:paraId="6C2757AB"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hideMark/>
          </w:tcPr>
          <w:p w14:paraId="3C189E64"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1277" w:type="dxa"/>
            <w:vMerge/>
            <w:tcBorders>
              <w:left w:val="nil"/>
              <w:right w:val="single" w:sz="4" w:space="0" w:color="auto"/>
            </w:tcBorders>
            <w:vAlign w:val="center"/>
          </w:tcPr>
          <w:p w14:paraId="17812757"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50CEF33F"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984" w:type="dxa"/>
            <w:tcBorders>
              <w:left w:val="nil"/>
            </w:tcBorders>
            <w:shd w:val="clear" w:color="auto" w:fill="D0CECE" w:themeFill="background2" w:themeFillShade="E6"/>
            <w:vAlign w:val="center"/>
          </w:tcPr>
          <w:p w14:paraId="2E568C08"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-10.2% (-15.2, -5.0)</w:t>
            </w:r>
          </w:p>
          <w:p w14:paraId="4946E812"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p-value = 2e-04</w:t>
            </w:r>
          </w:p>
        </w:tc>
        <w:tc>
          <w:tcPr>
            <w:tcW w:w="284" w:type="dxa"/>
            <w:tcBorders>
              <w:left w:val="nil"/>
              <w:right w:val="nil"/>
            </w:tcBorders>
            <w:shd w:val="clear" w:color="auto" w:fill="D0CECE" w:themeFill="background2" w:themeFillShade="E6"/>
            <w:vAlign w:val="center"/>
          </w:tcPr>
          <w:p w14:paraId="4041DA39"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842" w:type="dxa"/>
            <w:tcBorders>
              <w:left w:val="nil"/>
            </w:tcBorders>
            <w:shd w:val="clear" w:color="auto" w:fill="D0CECE" w:themeFill="background2" w:themeFillShade="E6"/>
            <w:vAlign w:val="center"/>
          </w:tcPr>
          <w:p w14:paraId="395D94D3"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-10.3% (-14.2, -6.3)*</w:t>
            </w:r>
          </w:p>
        </w:tc>
        <w:tc>
          <w:tcPr>
            <w:tcW w:w="426" w:type="dxa"/>
            <w:tcBorders>
              <w:left w:val="nil"/>
              <w:right w:val="nil"/>
            </w:tcBorders>
            <w:shd w:val="clear" w:color="auto" w:fill="D0CECE" w:themeFill="background2" w:themeFillShade="E6"/>
            <w:vAlign w:val="center"/>
          </w:tcPr>
          <w:p w14:paraId="56232D81"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791" w:type="dxa"/>
            <w:tcBorders>
              <w:left w:val="nil"/>
              <w:right w:val="nil"/>
            </w:tcBorders>
            <w:shd w:val="clear" w:color="auto" w:fill="D0CECE" w:themeFill="background2" w:themeFillShade="E6"/>
            <w:vAlign w:val="center"/>
          </w:tcPr>
          <w:p w14:paraId="1E959950"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-1.7% (-2.3, -1.1)*</w:t>
            </w:r>
          </w:p>
        </w:tc>
      </w:tr>
      <w:tr w:rsidR="00634CA8" w:rsidRPr="004901B0" w14:paraId="12CA841C"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hideMark/>
          </w:tcPr>
          <w:p w14:paraId="3C5B3182"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1277" w:type="dxa"/>
            <w:vMerge w:val="restart"/>
            <w:tcBorders>
              <w:left w:val="nil"/>
              <w:right w:val="single" w:sz="4" w:space="0" w:color="auto"/>
            </w:tcBorders>
            <w:vAlign w:val="center"/>
          </w:tcPr>
          <w:p w14:paraId="118721C5"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0827385E" w14:textId="77777777" w:rsidR="00634CA8" w:rsidRPr="00E00346" w:rsidRDefault="00634CA8" w:rsidP="00FA153D">
            <w:pPr>
              <w:jc w:val="center"/>
              <w:rPr>
                <w:rFonts w:ascii="Calibri" w:hAnsi="Calibri" w:cs="Calibri"/>
                <w:color w:val="000000"/>
                <w:sz w:val="18"/>
                <w:szCs w:val="18"/>
              </w:rPr>
            </w:pPr>
          </w:p>
        </w:tc>
        <w:tc>
          <w:tcPr>
            <w:tcW w:w="1984" w:type="dxa"/>
            <w:tcBorders>
              <w:left w:val="nil"/>
            </w:tcBorders>
            <w:vAlign w:val="center"/>
          </w:tcPr>
          <w:p w14:paraId="63AA31A8"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-7.3% (-8.6, -6.1)</w:t>
            </w:r>
          </w:p>
        </w:tc>
        <w:tc>
          <w:tcPr>
            <w:tcW w:w="284" w:type="dxa"/>
            <w:tcBorders>
              <w:left w:val="nil"/>
              <w:right w:val="nil"/>
            </w:tcBorders>
            <w:vAlign w:val="center"/>
          </w:tcPr>
          <w:p w14:paraId="133FED20"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842" w:type="dxa"/>
            <w:tcBorders>
              <w:left w:val="nil"/>
            </w:tcBorders>
            <w:vAlign w:val="center"/>
          </w:tcPr>
          <w:p w14:paraId="1678981B"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-3.2% (-4.3, -2.1)*</w:t>
            </w:r>
          </w:p>
        </w:tc>
        <w:tc>
          <w:tcPr>
            <w:tcW w:w="426" w:type="dxa"/>
            <w:tcBorders>
              <w:left w:val="nil"/>
              <w:right w:val="nil"/>
            </w:tcBorders>
            <w:vAlign w:val="center"/>
          </w:tcPr>
          <w:p w14:paraId="2B6FEF1E"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vAlign w:val="center"/>
          </w:tcPr>
          <w:p w14:paraId="00352B4B"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-0.6% (-3.7,  2.5)</w:t>
            </w:r>
          </w:p>
        </w:tc>
      </w:tr>
      <w:tr w:rsidR="00634CA8" w:rsidRPr="004901B0" w14:paraId="71C124F2"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hideMark/>
          </w:tcPr>
          <w:p w14:paraId="7E3AF1EC"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1277" w:type="dxa"/>
            <w:vMerge/>
            <w:tcBorders>
              <w:left w:val="nil"/>
              <w:right w:val="single" w:sz="4" w:space="0" w:color="auto"/>
            </w:tcBorders>
            <w:vAlign w:val="center"/>
          </w:tcPr>
          <w:p w14:paraId="365FEB72"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18D83215" w14:textId="77777777" w:rsidR="00634CA8" w:rsidRPr="00E00346" w:rsidRDefault="00634CA8" w:rsidP="00FA153D">
            <w:pPr>
              <w:jc w:val="center"/>
              <w:rPr>
                <w:rFonts w:ascii="Calibri" w:hAnsi="Calibri" w:cs="Calibri"/>
                <w:color w:val="000000"/>
                <w:sz w:val="18"/>
                <w:szCs w:val="18"/>
              </w:rPr>
            </w:pPr>
          </w:p>
        </w:tc>
        <w:tc>
          <w:tcPr>
            <w:tcW w:w="1984" w:type="dxa"/>
            <w:tcBorders>
              <w:left w:val="nil"/>
            </w:tcBorders>
            <w:shd w:val="clear" w:color="auto" w:fill="D0CECE" w:themeFill="background2" w:themeFillShade="E6"/>
            <w:vAlign w:val="center"/>
          </w:tcPr>
          <w:p w14:paraId="390615EA"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1.6% (-4.9,  8.6)</w:t>
            </w:r>
          </w:p>
        </w:tc>
        <w:tc>
          <w:tcPr>
            <w:tcW w:w="284" w:type="dxa"/>
            <w:tcBorders>
              <w:left w:val="nil"/>
              <w:right w:val="nil"/>
            </w:tcBorders>
            <w:shd w:val="clear" w:color="auto" w:fill="D0CECE" w:themeFill="background2" w:themeFillShade="E6"/>
            <w:vAlign w:val="center"/>
          </w:tcPr>
          <w:p w14:paraId="39837405"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D"/>
            </w:r>
          </w:p>
        </w:tc>
        <w:tc>
          <w:tcPr>
            <w:tcW w:w="1842" w:type="dxa"/>
            <w:tcBorders>
              <w:left w:val="nil"/>
            </w:tcBorders>
            <w:shd w:val="clear" w:color="auto" w:fill="D0CECE" w:themeFill="background2" w:themeFillShade="E6"/>
            <w:vAlign w:val="center"/>
          </w:tcPr>
          <w:p w14:paraId="0306BEA2"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11.5% (5.6, 17.8)</w:t>
            </w:r>
          </w:p>
          <w:p w14:paraId="34CC0606"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p-value = 1e-04</w:t>
            </w:r>
          </w:p>
        </w:tc>
        <w:tc>
          <w:tcPr>
            <w:tcW w:w="426" w:type="dxa"/>
            <w:tcBorders>
              <w:left w:val="nil"/>
              <w:right w:val="nil"/>
            </w:tcBorders>
            <w:shd w:val="clear" w:color="auto" w:fill="D0CECE" w:themeFill="background2" w:themeFillShade="E6"/>
            <w:vAlign w:val="center"/>
          </w:tcPr>
          <w:p w14:paraId="120FDE5D"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791" w:type="dxa"/>
            <w:tcBorders>
              <w:left w:val="nil"/>
              <w:right w:val="nil"/>
            </w:tcBorders>
            <w:shd w:val="clear" w:color="auto" w:fill="D0CECE" w:themeFill="background2" w:themeFillShade="E6"/>
            <w:vAlign w:val="center"/>
          </w:tcPr>
          <w:p w14:paraId="27ED93DD"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-4.8% (-8.5, -0.9)</w:t>
            </w:r>
          </w:p>
          <w:p w14:paraId="05D25986" w14:textId="589820E9" w:rsidR="00580ABA" w:rsidRPr="00E00346" w:rsidRDefault="00C03A2F" w:rsidP="00FA153D">
            <w:pPr>
              <w:jc w:val="center"/>
              <w:rPr>
                <w:rFonts w:ascii="Calibri" w:eastAsia="Times New Roman" w:hAnsi="Calibri" w:cs="Calibri"/>
                <w:color w:val="000000"/>
                <w:sz w:val="18"/>
                <w:szCs w:val="18"/>
                <w:lang w:eastAsia="en-GB"/>
              </w:rPr>
            </w:pPr>
            <w:r w:rsidRPr="00E00346">
              <w:rPr>
                <w:rFonts w:ascii="Calibri" w:eastAsia="Times New Roman" w:hAnsi="Calibri" w:cs="Calibri"/>
                <w:color w:val="000000"/>
                <w:sz w:val="18"/>
                <w:szCs w:val="18"/>
                <w:lang w:eastAsia="en-GB"/>
              </w:rPr>
              <w:t>p-value = 0.0175</w:t>
            </w:r>
          </w:p>
        </w:tc>
      </w:tr>
      <w:tr w:rsidR="00634CA8" w:rsidRPr="004901B0" w14:paraId="2CB86236" w14:textId="77777777" w:rsidTr="00FA153D">
        <w:trPr>
          <w:trHeight w:val="301"/>
        </w:trPr>
        <w:tc>
          <w:tcPr>
            <w:tcW w:w="2411" w:type="dxa"/>
            <w:gridSpan w:val="2"/>
            <w:tcBorders>
              <w:left w:val="nil"/>
              <w:right w:val="single" w:sz="4" w:space="0" w:color="auto"/>
            </w:tcBorders>
            <w:shd w:val="clear" w:color="auto" w:fill="auto"/>
            <w:noWrap/>
            <w:tcMar>
              <w:top w:w="15" w:type="dxa"/>
              <w:left w:w="15" w:type="dxa"/>
              <w:bottom w:w="0" w:type="dxa"/>
              <w:right w:w="15" w:type="dxa"/>
            </w:tcMar>
            <w:vAlign w:val="center"/>
          </w:tcPr>
          <w:p w14:paraId="19B34BC2"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6610" w:type="dxa"/>
            <w:gridSpan w:val="6"/>
            <w:tcBorders>
              <w:left w:val="single" w:sz="4" w:space="0" w:color="auto"/>
              <w:right w:val="nil"/>
            </w:tcBorders>
            <w:vAlign w:val="center"/>
          </w:tcPr>
          <w:p w14:paraId="0E6DFE10" w14:textId="77777777" w:rsidR="00634CA8" w:rsidRPr="00D42FE8" w:rsidRDefault="00634CA8" w:rsidP="00FA153D">
            <w:pPr>
              <w:jc w:val="center"/>
              <w:rPr>
                <w:rFonts w:ascii="Calibri" w:hAnsi="Calibri" w:cs="Calibri"/>
                <w:b/>
                <w:bCs/>
                <w:color w:val="000000"/>
                <w:sz w:val="20"/>
                <w:szCs w:val="20"/>
              </w:rPr>
            </w:pPr>
            <w:r w:rsidRPr="00D42FE8">
              <w:rPr>
                <w:rFonts w:ascii="Calibri" w:hAnsi="Calibri" w:cs="Calibri"/>
                <w:b/>
                <w:bCs/>
                <w:color w:val="000000"/>
                <w:sz w:val="20"/>
                <w:szCs w:val="20"/>
              </w:rPr>
              <w:t>Vancomycin</w:t>
            </w:r>
          </w:p>
        </w:tc>
      </w:tr>
      <w:tr w:rsidR="00634CA8" w:rsidRPr="004901B0" w14:paraId="7CE2F259" w14:textId="77777777" w:rsidTr="00E00346">
        <w:trPr>
          <w:trHeight w:val="301"/>
        </w:trPr>
        <w:tc>
          <w:tcPr>
            <w:tcW w:w="1134" w:type="dxa"/>
            <w:vMerge w:val="restart"/>
            <w:tcBorders>
              <w:left w:val="nil"/>
            </w:tcBorders>
            <w:shd w:val="clear" w:color="auto" w:fill="auto"/>
            <w:noWrap/>
            <w:tcMar>
              <w:top w:w="15" w:type="dxa"/>
              <w:left w:w="15" w:type="dxa"/>
              <w:bottom w:w="0" w:type="dxa"/>
              <w:right w:w="15" w:type="dxa"/>
            </w:tcMar>
            <w:vAlign w:val="center"/>
          </w:tcPr>
          <w:p w14:paraId="389C8683" w14:textId="77777777" w:rsidR="00634CA8" w:rsidRPr="00E00346" w:rsidRDefault="00634CA8" w:rsidP="00FA153D">
            <w:pPr>
              <w:jc w:val="center"/>
              <w:rPr>
                <w:rFonts w:ascii="Calibri" w:eastAsia="Times New Roman" w:hAnsi="Calibri" w:cs="Calibri"/>
                <w:i/>
                <w:iCs/>
                <w:color w:val="000000"/>
                <w:sz w:val="20"/>
                <w:szCs w:val="20"/>
                <w:lang w:eastAsia="en-GB"/>
              </w:rPr>
            </w:pPr>
            <w:r w:rsidRPr="00E00346">
              <w:rPr>
                <w:rFonts w:ascii="Calibri" w:eastAsia="Times New Roman" w:hAnsi="Calibri" w:cs="Calibri"/>
                <w:i/>
                <w:iCs/>
                <w:color w:val="000000"/>
                <w:sz w:val="20"/>
                <w:szCs w:val="20"/>
                <w:lang w:eastAsia="en-GB"/>
              </w:rPr>
              <w:t>E. faecalis</w:t>
            </w:r>
          </w:p>
        </w:tc>
        <w:tc>
          <w:tcPr>
            <w:tcW w:w="1277" w:type="dxa"/>
            <w:vMerge w:val="restart"/>
            <w:tcBorders>
              <w:left w:val="nil"/>
              <w:right w:val="single" w:sz="4" w:space="0" w:color="auto"/>
            </w:tcBorders>
            <w:vAlign w:val="center"/>
          </w:tcPr>
          <w:p w14:paraId="67E121B6"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Overall</w:t>
            </w:r>
          </w:p>
        </w:tc>
        <w:tc>
          <w:tcPr>
            <w:tcW w:w="283" w:type="dxa"/>
            <w:tcBorders>
              <w:left w:val="single" w:sz="4" w:space="0" w:color="auto"/>
              <w:right w:val="nil"/>
            </w:tcBorders>
            <w:vAlign w:val="center"/>
          </w:tcPr>
          <w:p w14:paraId="42D71FF4" w14:textId="77777777" w:rsidR="00634CA8" w:rsidRPr="00E00346" w:rsidRDefault="00634CA8" w:rsidP="00FA153D">
            <w:pPr>
              <w:jc w:val="center"/>
              <w:rPr>
                <w:rFonts w:ascii="Calibri" w:hAnsi="Calibri" w:cs="Calibri"/>
                <w:color w:val="000000"/>
                <w:sz w:val="18"/>
                <w:szCs w:val="18"/>
              </w:rPr>
            </w:pPr>
          </w:p>
        </w:tc>
        <w:tc>
          <w:tcPr>
            <w:tcW w:w="1984" w:type="dxa"/>
            <w:tcBorders>
              <w:left w:val="nil"/>
            </w:tcBorders>
            <w:shd w:val="clear" w:color="auto" w:fill="auto"/>
            <w:vAlign w:val="center"/>
          </w:tcPr>
          <w:p w14:paraId="51F1AF80"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-1.3% (-4.9,  2.5)</w:t>
            </w:r>
          </w:p>
        </w:tc>
        <w:tc>
          <w:tcPr>
            <w:tcW w:w="284" w:type="dxa"/>
            <w:tcBorders>
              <w:left w:val="nil"/>
              <w:right w:val="nil"/>
            </w:tcBorders>
            <w:vAlign w:val="center"/>
          </w:tcPr>
          <w:p w14:paraId="3FE6B5DD" w14:textId="77777777" w:rsidR="00634CA8" w:rsidRPr="00E00346" w:rsidRDefault="00634CA8" w:rsidP="00FA153D">
            <w:pPr>
              <w:jc w:val="center"/>
              <w:rPr>
                <w:rFonts w:ascii="Calibri" w:hAnsi="Calibri" w:cs="Calibri"/>
                <w:color w:val="000000"/>
                <w:sz w:val="18"/>
                <w:szCs w:val="18"/>
              </w:rPr>
            </w:pPr>
          </w:p>
        </w:tc>
        <w:tc>
          <w:tcPr>
            <w:tcW w:w="1842" w:type="dxa"/>
            <w:tcBorders>
              <w:left w:val="nil"/>
            </w:tcBorders>
            <w:shd w:val="clear" w:color="auto" w:fill="auto"/>
            <w:vAlign w:val="center"/>
          </w:tcPr>
          <w:p w14:paraId="10DBBC80"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0.2% (-1.7,  2.2)</w:t>
            </w:r>
          </w:p>
        </w:tc>
        <w:tc>
          <w:tcPr>
            <w:tcW w:w="426" w:type="dxa"/>
            <w:tcBorders>
              <w:left w:val="nil"/>
              <w:right w:val="nil"/>
            </w:tcBorders>
            <w:vAlign w:val="center"/>
          </w:tcPr>
          <w:p w14:paraId="58DB2C7A"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auto"/>
            <w:vAlign w:val="center"/>
          </w:tcPr>
          <w:p w14:paraId="6B462414"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-1.5% (-5.6, 2.8)</w:t>
            </w:r>
          </w:p>
        </w:tc>
      </w:tr>
      <w:tr w:rsidR="00634CA8" w:rsidRPr="004901B0" w14:paraId="1188C504"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tcPr>
          <w:p w14:paraId="29782D81"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1277" w:type="dxa"/>
            <w:vMerge/>
            <w:tcBorders>
              <w:left w:val="nil"/>
              <w:right w:val="single" w:sz="4" w:space="0" w:color="auto"/>
            </w:tcBorders>
            <w:vAlign w:val="center"/>
          </w:tcPr>
          <w:p w14:paraId="02767A5F"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16412D16" w14:textId="77777777" w:rsidR="00634CA8" w:rsidRPr="00E00346" w:rsidRDefault="00634CA8" w:rsidP="00FA153D">
            <w:pPr>
              <w:jc w:val="center"/>
              <w:rPr>
                <w:rFonts w:ascii="Calibri" w:hAnsi="Calibri" w:cs="Calibri"/>
                <w:color w:val="000000"/>
                <w:sz w:val="18"/>
                <w:szCs w:val="18"/>
              </w:rPr>
            </w:pPr>
          </w:p>
        </w:tc>
        <w:tc>
          <w:tcPr>
            <w:tcW w:w="1984" w:type="dxa"/>
            <w:tcBorders>
              <w:left w:val="nil"/>
            </w:tcBorders>
            <w:shd w:val="clear" w:color="auto" w:fill="D0CECE" w:themeFill="background2" w:themeFillShade="E6"/>
            <w:vAlign w:val="center"/>
          </w:tcPr>
          <w:p w14:paraId="5D6B5CAA"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-4.0% (-18.7, 13.3)</w:t>
            </w:r>
          </w:p>
        </w:tc>
        <w:tc>
          <w:tcPr>
            <w:tcW w:w="284" w:type="dxa"/>
            <w:tcBorders>
              <w:left w:val="nil"/>
              <w:right w:val="nil"/>
            </w:tcBorders>
            <w:shd w:val="clear" w:color="auto" w:fill="D0CECE" w:themeFill="background2" w:themeFillShade="E6"/>
            <w:vAlign w:val="center"/>
          </w:tcPr>
          <w:p w14:paraId="7ACED506" w14:textId="77777777" w:rsidR="00634CA8" w:rsidRPr="00E00346" w:rsidRDefault="00634CA8" w:rsidP="00FA153D">
            <w:pPr>
              <w:jc w:val="center"/>
              <w:rPr>
                <w:rFonts w:ascii="Calibri" w:hAnsi="Calibri" w:cs="Calibri"/>
                <w:color w:val="000000"/>
                <w:sz w:val="18"/>
                <w:szCs w:val="18"/>
              </w:rPr>
            </w:pPr>
          </w:p>
        </w:tc>
        <w:tc>
          <w:tcPr>
            <w:tcW w:w="1842" w:type="dxa"/>
            <w:tcBorders>
              <w:left w:val="nil"/>
            </w:tcBorders>
            <w:shd w:val="clear" w:color="auto" w:fill="D0CECE" w:themeFill="background2" w:themeFillShade="E6"/>
            <w:vAlign w:val="center"/>
          </w:tcPr>
          <w:p w14:paraId="6BCF3D44"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1.5% (-4.0,  7.3)</w:t>
            </w:r>
          </w:p>
        </w:tc>
        <w:tc>
          <w:tcPr>
            <w:tcW w:w="426" w:type="dxa"/>
            <w:tcBorders>
              <w:left w:val="nil"/>
              <w:right w:val="nil"/>
            </w:tcBorders>
            <w:shd w:val="clear" w:color="auto" w:fill="D0CECE" w:themeFill="background2" w:themeFillShade="E6"/>
            <w:vAlign w:val="center"/>
          </w:tcPr>
          <w:p w14:paraId="086E3DBC"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D0CECE" w:themeFill="background2" w:themeFillShade="E6"/>
            <w:vAlign w:val="center"/>
          </w:tcPr>
          <w:p w14:paraId="08431BA9"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-11.3% (-28.9, 10.6)</w:t>
            </w:r>
          </w:p>
        </w:tc>
      </w:tr>
      <w:tr w:rsidR="00634CA8" w:rsidRPr="000F208E" w14:paraId="37917399"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tcPr>
          <w:p w14:paraId="46FADAC8"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1277" w:type="dxa"/>
            <w:vMerge w:val="restart"/>
            <w:tcBorders>
              <w:left w:val="nil"/>
              <w:right w:val="single" w:sz="4" w:space="0" w:color="auto"/>
            </w:tcBorders>
            <w:vAlign w:val="center"/>
          </w:tcPr>
          <w:p w14:paraId="20A80A91"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69AA2355" w14:textId="77777777" w:rsidR="00634CA8" w:rsidRPr="00E00346" w:rsidRDefault="00634CA8" w:rsidP="00FA153D">
            <w:pPr>
              <w:jc w:val="center"/>
              <w:rPr>
                <w:rFonts w:ascii="Calibri" w:hAnsi="Calibri" w:cs="Calibri"/>
                <w:color w:val="000000"/>
                <w:sz w:val="18"/>
                <w:szCs w:val="18"/>
              </w:rPr>
            </w:pPr>
          </w:p>
        </w:tc>
        <w:tc>
          <w:tcPr>
            <w:tcW w:w="1984" w:type="dxa"/>
            <w:tcBorders>
              <w:left w:val="nil"/>
            </w:tcBorders>
            <w:shd w:val="clear" w:color="auto" w:fill="auto"/>
            <w:vAlign w:val="center"/>
          </w:tcPr>
          <w:p w14:paraId="3F1A58BC"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-0.3% (-4.0,  3.5)</w:t>
            </w:r>
          </w:p>
        </w:tc>
        <w:tc>
          <w:tcPr>
            <w:tcW w:w="284" w:type="dxa"/>
            <w:tcBorders>
              <w:left w:val="nil"/>
              <w:right w:val="nil"/>
            </w:tcBorders>
            <w:vAlign w:val="center"/>
          </w:tcPr>
          <w:p w14:paraId="70CAEA81" w14:textId="77777777" w:rsidR="00634CA8" w:rsidRPr="00E00346" w:rsidRDefault="00634CA8" w:rsidP="00FA153D">
            <w:pPr>
              <w:jc w:val="center"/>
              <w:rPr>
                <w:rFonts w:ascii="Calibri" w:hAnsi="Calibri" w:cs="Calibri"/>
                <w:color w:val="000000"/>
                <w:sz w:val="18"/>
                <w:szCs w:val="18"/>
              </w:rPr>
            </w:pPr>
          </w:p>
        </w:tc>
        <w:tc>
          <w:tcPr>
            <w:tcW w:w="1842" w:type="dxa"/>
            <w:tcBorders>
              <w:left w:val="nil"/>
            </w:tcBorders>
            <w:shd w:val="clear" w:color="auto" w:fill="auto"/>
            <w:vAlign w:val="center"/>
          </w:tcPr>
          <w:p w14:paraId="33933845"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1.4% (-0.8,  3.7)</w:t>
            </w:r>
          </w:p>
        </w:tc>
        <w:tc>
          <w:tcPr>
            <w:tcW w:w="426" w:type="dxa"/>
            <w:tcBorders>
              <w:left w:val="nil"/>
              <w:right w:val="nil"/>
            </w:tcBorders>
            <w:vAlign w:val="center"/>
          </w:tcPr>
          <w:p w14:paraId="31E28E00"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auto"/>
            <w:vAlign w:val="center"/>
          </w:tcPr>
          <w:p w14:paraId="5B6E7528"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-2.1% (-6.6,  2.7)</w:t>
            </w:r>
          </w:p>
        </w:tc>
      </w:tr>
      <w:tr w:rsidR="00634CA8" w:rsidRPr="000F208E" w14:paraId="28FDEE75"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tcPr>
          <w:p w14:paraId="620C75EB"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1277" w:type="dxa"/>
            <w:vMerge/>
            <w:tcBorders>
              <w:left w:val="nil"/>
              <w:right w:val="single" w:sz="4" w:space="0" w:color="auto"/>
            </w:tcBorders>
            <w:vAlign w:val="center"/>
          </w:tcPr>
          <w:p w14:paraId="1314A133"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1978D96D" w14:textId="77777777" w:rsidR="00634CA8" w:rsidRPr="00E00346" w:rsidRDefault="00634CA8" w:rsidP="00FA153D">
            <w:pPr>
              <w:jc w:val="center"/>
              <w:rPr>
                <w:rFonts w:ascii="Calibri" w:hAnsi="Calibri" w:cs="Calibri"/>
                <w:color w:val="000000"/>
                <w:sz w:val="18"/>
                <w:szCs w:val="18"/>
              </w:rPr>
            </w:pPr>
          </w:p>
        </w:tc>
        <w:tc>
          <w:tcPr>
            <w:tcW w:w="1984" w:type="dxa"/>
            <w:tcBorders>
              <w:left w:val="nil"/>
            </w:tcBorders>
            <w:shd w:val="clear" w:color="auto" w:fill="D0CECE" w:themeFill="background2" w:themeFillShade="E6"/>
            <w:vAlign w:val="center"/>
          </w:tcPr>
          <w:p w14:paraId="4C39F168"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-6.1% (-21.8, 12.8)</w:t>
            </w:r>
          </w:p>
        </w:tc>
        <w:tc>
          <w:tcPr>
            <w:tcW w:w="284" w:type="dxa"/>
            <w:tcBorders>
              <w:left w:val="nil"/>
              <w:right w:val="nil"/>
            </w:tcBorders>
            <w:shd w:val="clear" w:color="auto" w:fill="D0CECE" w:themeFill="background2" w:themeFillShade="E6"/>
            <w:vAlign w:val="center"/>
          </w:tcPr>
          <w:p w14:paraId="65EEEF35" w14:textId="77777777" w:rsidR="00634CA8" w:rsidRPr="00E00346" w:rsidRDefault="00634CA8" w:rsidP="00FA153D">
            <w:pPr>
              <w:jc w:val="center"/>
              <w:rPr>
                <w:rFonts w:ascii="Calibri" w:hAnsi="Calibri" w:cs="Calibri"/>
                <w:color w:val="000000"/>
                <w:sz w:val="18"/>
                <w:szCs w:val="18"/>
              </w:rPr>
            </w:pPr>
          </w:p>
        </w:tc>
        <w:tc>
          <w:tcPr>
            <w:tcW w:w="1842" w:type="dxa"/>
            <w:tcBorders>
              <w:left w:val="nil"/>
            </w:tcBorders>
            <w:shd w:val="clear" w:color="auto" w:fill="D0CECE" w:themeFill="background2" w:themeFillShade="E6"/>
            <w:vAlign w:val="center"/>
          </w:tcPr>
          <w:p w14:paraId="1A5BA896"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-3.9% (-9.7,  2.2)</w:t>
            </w:r>
          </w:p>
        </w:tc>
        <w:tc>
          <w:tcPr>
            <w:tcW w:w="426" w:type="dxa"/>
            <w:tcBorders>
              <w:left w:val="nil"/>
              <w:right w:val="nil"/>
            </w:tcBorders>
            <w:shd w:val="clear" w:color="auto" w:fill="D0CECE" w:themeFill="background2" w:themeFillShade="E6"/>
            <w:vAlign w:val="center"/>
          </w:tcPr>
          <w:p w14:paraId="495F3E49"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D0CECE" w:themeFill="background2" w:themeFillShade="E6"/>
            <w:vAlign w:val="center"/>
          </w:tcPr>
          <w:p w14:paraId="65E54E69"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-16.3% (-32.5,  3.8)</w:t>
            </w:r>
          </w:p>
        </w:tc>
      </w:tr>
      <w:tr w:rsidR="00634CA8" w:rsidRPr="000F208E" w14:paraId="54897194"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tcPr>
          <w:p w14:paraId="30B1CFF4"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1277" w:type="dxa"/>
            <w:vMerge w:val="restart"/>
            <w:tcBorders>
              <w:left w:val="nil"/>
              <w:right w:val="single" w:sz="4" w:space="0" w:color="auto"/>
            </w:tcBorders>
            <w:vAlign w:val="center"/>
          </w:tcPr>
          <w:p w14:paraId="30838820"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410A0E37" w14:textId="77777777" w:rsidR="00634CA8" w:rsidRPr="00E00346" w:rsidRDefault="00634CA8" w:rsidP="00FA153D">
            <w:pPr>
              <w:jc w:val="center"/>
              <w:rPr>
                <w:rFonts w:ascii="Calibri" w:hAnsi="Calibri" w:cs="Calibri"/>
                <w:color w:val="000000"/>
                <w:sz w:val="18"/>
                <w:szCs w:val="18"/>
              </w:rPr>
            </w:pPr>
          </w:p>
        </w:tc>
        <w:tc>
          <w:tcPr>
            <w:tcW w:w="1984" w:type="dxa"/>
            <w:tcBorders>
              <w:left w:val="nil"/>
            </w:tcBorders>
            <w:shd w:val="clear" w:color="auto" w:fill="auto"/>
            <w:vAlign w:val="center"/>
          </w:tcPr>
          <w:p w14:paraId="39D01E9C"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-2.2% (-6.3,  2.1)</w:t>
            </w:r>
          </w:p>
        </w:tc>
        <w:tc>
          <w:tcPr>
            <w:tcW w:w="284" w:type="dxa"/>
            <w:tcBorders>
              <w:left w:val="nil"/>
              <w:right w:val="nil"/>
            </w:tcBorders>
            <w:vAlign w:val="center"/>
          </w:tcPr>
          <w:p w14:paraId="00331D38" w14:textId="77777777" w:rsidR="00634CA8" w:rsidRPr="00E00346" w:rsidRDefault="00634CA8" w:rsidP="00FA153D">
            <w:pPr>
              <w:jc w:val="center"/>
              <w:rPr>
                <w:rFonts w:ascii="Calibri" w:hAnsi="Calibri" w:cs="Calibri"/>
                <w:color w:val="000000"/>
                <w:sz w:val="18"/>
                <w:szCs w:val="18"/>
              </w:rPr>
            </w:pPr>
          </w:p>
        </w:tc>
        <w:tc>
          <w:tcPr>
            <w:tcW w:w="1842" w:type="dxa"/>
            <w:tcBorders>
              <w:left w:val="nil"/>
            </w:tcBorders>
            <w:shd w:val="clear" w:color="auto" w:fill="auto"/>
            <w:vAlign w:val="center"/>
          </w:tcPr>
          <w:p w14:paraId="43F498F4"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-0.9% (-2.9,  1.0)</w:t>
            </w:r>
          </w:p>
        </w:tc>
        <w:tc>
          <w:tcPr>
            <w:tcW w:w="426" w:type="dxa"/>
            <w:tcBorders>
              <w:left w:val="nil"/>
              <w:right w:val="nil"/>
            </w:tcBorders>
            <w:vAlign w:val="center"/>
          </w:tcPr>
          <w:p w14:paraId="199C978B"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auto"/>
            <w:vAlign w:val="center"/>
          </w:tcPr>
          <w:p w14:paraId="276E7BA0"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-0.9% (-5.3,  3.6)</w:t>
            </w:r>
          </w:p>
        </w:tc>
      </w:tr>
      <w:tr w:rsidR="00634CA8" w:rsidRPr="000F208E" w14:paraId="7EA4884C"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tcPr>
          <w:p w14:paraId="37D72D68" w14:textId="77777777" w:rsidR="00634CA8" w:rsidRPr="00E00346" w:rsidRDefault="00634CA8" w:rsidP="00FA153D">
            <w:pPr>
              <w:jc w:val="center"/>
              <w:rPr>
                <w:rFonts w:ascii="Calibri" w:eastAsia="Times New Roman" w:hAnsi="Calibri" w:cs="Calibri"/>
                <w:i/>
                <w:iCs/>
                <w:color w:val="000000"/>
                <w:sz w:val="20"/>
                <w:szCs w:val="20"/>
                <w:lang w:eastAsia="en-GB"/>
              </w:rPr>
            </w:pPr>
          </w:p>
        </w:tc>
        <w:tc>
          <w:tcPr>
            <w:tcW w:w="1277" w:type="dxa"/>
            <w:vMerge/>
            <w:tcBorders>
              <w:left w:val="nil"/>
              <w:right w:val="single" w:sz="4" w:space="0" w:color="auto"/>
            </w:tcBorders>
            <w:vAlign w:val="center"/>
          </w:tcPr>
          <w:p w14:paraId="54F5C52C"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739A1361" w14:textId="77777777" w:rsidR="00634CA8" w:rsidRPr="00E00346" w:rsidRDefault="00634CA8" w:rsidP="00FA153D">
            <w:pPr>
              <w:jc w:val="center"/>
              <w:rPr>
                <w:rFonts w:ascii="Calibri" w:hAnsi="Calibri" w:cs="Calibri"/>
                <w:color w:val="000000"/>
                <w:sz w:val="18"/>
                <w:szCs w:val="18"/>
              </w:rPr>
            </w:pPr>
          </w:p>
        </w:tc>
        <w:tc>
          <w:tcPr>
            <w:tcW w:w="1984" w:type="dxa"/>
            <w:tcBorders>
              <w:left w:val="nil"/>
            </w:tcBorders>
            <w:shd w:val="clear" w:color="auto" w:fill="D0CECE" w:themeFill="background2" w:themeFillShade="E6"/>
            <w:vAlign w:val="center"/>
          </w:tcPr>
          <w:p w14:paraId="78E66DBD"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-1.9% (-19.8, 19.9)</w:t>
            </w:r>
          </w:p>
        </w:tc>
        <w:tc>
          <w:tcPr>
            <w:tcW w:w="284" w:type="dxa"/>
            <w:tcBorders>
              <w:left w:val="nil"/>
              <w:right w:val="nil"/>
            </w:tcBorders>
            <w:shd w:val="clear" w:color="auto" w:fill="D0CECE" w:themeFill="background2" w:themeFillShade="E6"/>
            <w:vAlign w:val="center"/>
          </w:tcPr>
          <w:p w14:paraId="3B0CF574"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D"/>
            </w:r>
          </w:p>
        </w:tc>
        <w:tc>
          <w:tcPr>
            <w:tcW w:w="1842" w:type="dxa"/>
            <w:tcBorders>
              <w:left w:val="nil"/>
            </w:tcBorders>
            <w:shd w:val="clear" w:color="auto" w:fill="D0CECE" w:themeFill="background2" w:themeFillShade="E6"/>
            <w:vAlign w:val="center"/>
          </w:tcPr>
          <w:p w14:paraId="7B313E7A"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7.1% (0.0, 14.8)*</w:t>
            </w:r>
          </w:p>
        </w:tc>
        <w:tc>
          <w:tcPr>
            <w:tcW w:w="426" w:type="dxa"/>
            <w:tcBorders>
              <w:left w:val="nil"/>
              <w:right w:val="nil"/>
            </w:tcBorders>
            <w:shd w:val="clear" w:color="auto" w:fill="D0CECE" w:themeFill="background2" w:themeFillShade="E6"/>
            <w:vAlign w:val="center"/>
          </w:tcPr>
          <w:p w14:paraId="2B36B845"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D0CECE" w:themeFill="background2" w:themeFillShade="E6"/>
            <w:vAlign w:val="center"/>
          </w:tcPr>
          <w:p w14:paraId="6D4802E9"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-6.1% (-29.7, 25.4)</w:t>
            </w:r>
          </w:p>
        </w:tc>
      </w:tr>
      <w:tr w:rsidR="00634CA8" w:rsidRPr="000F208E" w14:paraId="611B02FB" w14:textId="77777777" w:rsidTr="00E00346">
        <w:trPr>
          <w:trHeight w:val="301"/>
        </w:trPr>
        <w:tc>
          <w:tcPr>
            <w:tcW w:w="1134" w:type="dxa"/>
            <w:vMerge w:val="restart"/>
            <w:tcBorders>
              <w:left w:val="nil"/>
            </w:tcBorders>
            <w:shd w:val="clear" w:color="auto" w:fill="auto"/>
            <w:noWrap/>
            <w:tcMar>
              <w:top w:w="15" w:type="dxa"/>
              <w:left w:w="15" w:type="dxa"/>
              <w:bottom w:w="0" w:type="dxa"/>
              <w:right w:w="15" w:type="dxa"/>
            </w:tcMar>
            <w:vAlign w:val="center"/>
          </w:tcPr>
          <w:p w14:paraId="090DBBEE" w14:textId="77777777" w:rsidR="00634CA8" w:rsidRPr="00E00346" w:rsidRDefault="00634CA8" w:rsidP="00FA153D">
            <w:pPr>
              <w:jc w:val="center"/>
              <w:rPr>
                <w:rFonts w:ascii="Calibri" w:eastAsia="Times New Roman" w:hAnsi="Calibri" w:cs="Calibri"/>
                <w:i/>
                <w:iCs/>
                <w:color w:val="000000"/>
                <w:sz w:val="20"/>
                <w:szCs w:val="20"/>
                <w:lang w:eastAsia="en-GB"/>
              </w:rPr>
            </w:pPr>
            <w:r w:rsidRPr="00E00346">
              <w:rPr>
                <w:rFonts w:ascii="Calibri" w:eastAsia="Times New Roman" w:hAnsi="Calibri" w:cs="Calibri"/>
                <w:i/>
                <w:iCs/>
                <w:color w:val="000000"/>
                <w:sz w:val="20"/>
                <w:szCs w:val="20"/>
                <w:lang w:eastAsia="en-GB"/>
              </w:rPr>
              <w:t>E. faecium</w:t>
            </w:r>
          </w:p>
        </w:tc>
        <w:tc>
          <w:tcPr>
            <w:tcW w:w="1277" w:type="dxa"/>
            <w:vMerge w:val="restart"/>
            <w:tcBorders>
              <w:left w:val="nil"/>
              <w:right w:val="single" w:sz="4" w:space="0" w:color="auto"/>
            </w:tcBorders>
            <w:vAlign w:val="center"/>
          </w:tcPr>
          <w:p w14:paraId="6EEF57B9"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Overall</w:t>
            </w:r>
          </w:p>
        </w:tc>
        <w:tc>
          <w:tcPr>
            <w:tcW w:w="283" w:type="dxa"/>
            <w:tcBorders>
              <w:left w:val="single" w:sz="4" w:space="0" w:color="auto"/>
              <w:right w:val="nil"/>
            </w:tcBorders>
            <w:vAlign w:val="center"/>
          </w:tcPr>
          <w:p w14:paraId="6F05523C"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984" w:type="dxa"/>
            <w:tcBorders>
              <w:left w:val="nil"/>
            </w:tcBorders>
            <w:shd w:val="clear" w:color="auto" w:fill="auto"/>
            <w:vAlign w:val="center"/>
          </w:tcPr>
          <w:p w14:paraId="3A30B5B8"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-9.9% (-12.8, -6.9)*</w:t>
            </w:r>
          </w:p>
        </w:tc>
        <w:tc>
          <w:tcPr>
            <w:tcW w:w="284" w:type="dxa"/>
            <w:tcBorders>
              <w:left w:val="nil"/>
              <w:right w:val="nil"/>
            </w:tcBorders>
            <w:vAlign w:val="center"/>
          </w:tcPr>
          <w:p w14:paraId="79B8194D" w14:textId="77777777" w:rsidR="00634CA8" w:rsidRPr="00E00346" w:rsidRDefault="00634CA8" w:rsidP="00FA153D">
            <w:pPr>
              <w:jc w:val="center"/>
              <w:rPr>
                <w:rFonts w:ascii="Calibri" w:hAnsi="Calibri" w:cs="Calibri"/>
                <w:color w:val="000000"/>
                <w:sz w:val="18"/>
                <w:szCs w:val="18"/>
              </w:rPr>
            </w:pPr>
          </w:p>
        </w:tc>
        <w:tc>
          <w:tcPr>
            <w:tcW w:w="1842" w:type="dxa"/>
            <w:tcBorders>
              <w:left w:val="nil"/>
            </w:tcBorders>
            <w:shd w:val="clear" w:color="auto" w:fill="auto"/>
            <w:vAlign w:val="center"/>
          </w:tcPr>
          <w:p w14:paraId="26AF876D"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-1.3% (-4.1,  1.7)</w:t>
            </w:r>
          </w:p>
        </w:tc>
        <w:tc>
          <w:tcPr>
            <w:tcW w:w="426" w:type="dxa"/>
            <w:tcBorders>
              <w:left w:val="nil"/>
              <w:right w:val="nil"/>
            </w:tcBorders>
            <w:vAlign w:val="center"/>
          </w:tcPr>
          <w:p w14:paraId="36EB1C2B" w14:textId="0750D116"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auto"/>
            <w:vAlign w:val="center"/>
          </w:tcPr>
          <w:p w14:paraId="74A4609B" w14:textId="1CC3BBE2"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-1.2% (-2.5,  0.0)</w:t>
            </w:r>
          </w:p>
        </w:tc>
      </w:tr>
      <w:tr w:rsidR="00634CA8" w:rsidRPr="004901B0" w14:paraId="5C94241D"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tcPr>
          <w:p w14:paraId="644E4DF1"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1277" w:type="dxa"/>
            <w:vMerge/>
            <w:tcBorders>
              <w:left w:val="nil"/>
              <w:right w:val="single" w:sz="4" w:space="0" w:color="auto"/>
            </w:tcBorders>
            <w:vAlign w:val="center"/>
          </w:tcPr>
          <w:p w14:paraId="2B1112EF"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49102261"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D"/>
            </w:r>
          </w:p>
        </w:tc>
        <w:tc>
          <w:tcPr>
            <w:tcW w:w="1984" w:type="dxa"/>
            <w:tcBorders>
              <w:left w:val="nil"/>
            </w:tcBorders>
            <w:shd w:val="clear" w:color="auto" w:fill="D0CECE" w:themeFill="background2" w:themeFillShade="E6"/>
            <w:vAlign w:val="center"/>
          </w:tcPr>
          <w:p w14:paraId="0B03CEFD"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26.3% (10.8, 43.9)</w:t>
            </w:r>
          </w:p>
          <w:p w14:paraId="2C287B08"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eastAsia="Times New Roman" w:hAnsi="Calibri" w:cs="Calibri"/>
                <w:color w:val="000000"/>
                <w:sz w:val="18"/>
                <w:szCs w:val="18"/>
                <w:lang w:eastAsia="en-GB"/>
              </w:rPr>
              <w:t>p-value = 5e-04</w:t>
            </w:r>
          </w:p>
        </w:tc>
        <w:tc>
          <w:tcPr>
            <w:tcW w:w="284" w:type="dxa"/>
            <w:tcBorders>
              <w:left w:val="nil"/>
              <w:right w:val="nil"/>
            </w:tcBorders>
            <w:shd w:val="clear" w:color="auto" w:fill="D0CECE" w:themeFill="background2" w:themeFillShade="E6"/>
            <w:vAlign w:val="center"/>
          </w:tcPr>
          <w:p w14:paraId="2804A172"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D"/>
            </w:r>
          </w:p>
        </w:tc>
        <w:tc>
          <w:tcPr>
            <w:tcW w:w="1842" w:type="dxa"/>
            <w:tcBorders>
              <w:left w:val="nil"/>
            </w:tcBorders>
            <w:shd w:val="clear" w:color="auto" w:fill="D0CECE" w:themeFill="background2" w:themeFillShade="E6"/>
            <w:vAlign w:val="center"/>
          </w:tcPr>
          <w:p w14:paraId="54B26D73"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26.0% (13.7, 39.7)*</w:t>
            </w:r>
          </w:p>
        </w:tc>
        <w:tc>
          <w:tcPr>
            <w:tcW w:w="426" w:type="dxa"/>
            <w:tcBorders>
              <w:left w:val="nil"/>
              <w:right w:val="nil"/>
            </w:tcBorders>
            <w:shd w:val="clear" w:color="auto" w:fill="D0CECE" w:themeFill="background2" w:themeFillShade="E6"/>
            <w:vAlign w:val="center"/>
          </w:tcPr>
          <w:p w14:paraId="5C1DC937"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D0CECE" w:themeFill="background2" w:themeFillShade="E6"/>
            <w:vAlign w:val="center"/>
          </w:tcPr>
          <w:p w14:paraId="7DBD2728"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0.2% (-5.0,  5.7)</w:t>
            </w:r>
          </w:p>
        </w:tc>
      </w:tr>
      <w:tr w:rsidR="00634CA8" w:rsidRPr="004901B0" w14:paraId="4DED6DD1"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tcPr>
          <w:p w14:paraId="3A3A4CAB"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1277" w:type="dxa"/>
            <w:vMerge w:val="restart"/>
            <w:tcBorders>
              <w:left w:val="nil"/>
              <w:right w:val="single" w:sz="4" w:space="0" w:color="auto"/>
            </w:tcBorders>
            <w:vAlign w:val="center"/>
          </w:tcPr>
          <w:p w14:paraId="699C17AE"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24456D11"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984" w:type="dxa"/>
            <w:tcBorders>
              <w:left w:val="nil"/>
            </w:tcBorders>
            <w:shd w:val="clear" w:color="auto" w:fill="auto"/>
            <w:vAlign w:val="center"/>
          </w:tcPr>
          <w:p w14:paraId="1675EC83"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-10.4% (-14.3, -6.3)*</w:t>
            </w:r>
          </w:p>
        </w:tc>
        <w:tc>
          <w:tcPr>
            <w:tcW w:w="284" w:type="dxa"/>
            <w:tcBorders>
              <w:left w:val="nil"/>
              <w:right w:val="nil"/>
            </w:tcBorders>
            <w:vAlign w:val="center"/>
          </w:tcPr>
          <w:p w14:paraId="44FF0E12" w14:textId="77777777" w:rsidR="00634CA8" w:rsidRPr="00E00346" w:rsidRDefault="00634CA8" w:rsidP="00FA153D">
            <w:pPr>
              <w:jc w:val="center"/>
              <w:rPr>
                <w:rFonts w:ascii="Calibri" w:hAnsi="Calibri" w:cs="Calibri"/>
                <w:color w:val="000000"/>
                <w:sz w:val="18"/>
                <w:szCs w:val="18"/>
              </w:rPr>
            </w:pPr>
          </w:p>
        </w:tc>
        <w:tc>
          <w:tcPr>
            <w:tcW w:w="1842" w:type="dxa"/>
            <w:tcBorders>
              <w:left w:val="nil"/>
            </w:tcBorders>
            <w:shd w:val="clear" w:color="auto" w:fill="auto"/>
            <w:vAlign w:val="center"/>
          </w:tcPr>
          <w:p w14:paraId="07CB9006"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-0.6% (-3.3,  2.2)</w:t>
            </w:r>
          </w:p>
        </w:tc>
        <w:tc>
          <w:tcPr>
            <w:tcW w:w="426" w:type="dxa"/>
            <w:tcBorders>
              <w:left w:val="nil"/>
              <w:right w:val="nil"/>
            </w:tcBorders>
            <w:vAlign w:val="center"/>
          </w:tcPr>
          <w:p w14:paraId="2760F499"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791" w:type="dxa"/>
            <w:tcBorders>
              <w:left w:val="nil"/>
              <w:right w:val="nil"/>
            </w:tcBorders>
            <w:shd w:val="clear" w:color="auto" w:fill="auto"/>
            <w:vAlign w:val="center"/>
          </w:tcPr>
          <w:p w14:paraId="767011F5"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-2.0% (-3.4, -0.5)*</w:t>
            </w:r>
          </w:p>
          <w:p w14:paraId="4D9450D2" w14:textId="308B4E10" w:rsidR="00580ABA" w:rsidRPr="00E00346" w:rsidRDefault="00C03A2F" w:rsidP="00FA153D">
            <w:pPr>
              <w:jc w:val="center"/>
              <w:rPr>
                <w:rFonts w:ascii="Calibri" w:hAnsi="Calibri" w:cs="Calibri"/>
                <w:color w:val="000000"/>
                <w:sz w:val="18"/>
                <w:szCs w:val="18"/>
              </w:rPr>
            </w:pPr>
            <w:r w:rsidRPr="00E00346">
              <w:rPr>
                <w:rFonts w:ascii="Calibri" w:hAnsi="Calibri" w:cs="Calibri"/>
                <w:color w:val="000000"/>
                <w:sz w:val="18"/>
                <w:szCs w:val="18"/>
              </w:rPr>
              <w:t>p-value = 0.01</w:t>
            </w:r>
          </w:p>
        </w:tc>
      </w:tr>
      <w:tr w:rsidR="00634CA8" w:rsidRPr="004901B0" w14:paraId="02E6F29E"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tcPr>
          <w:p w14:paraId="289AC97D"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1277" w:type="dxa"/>
            <w:vMerge/>
            <w:tcBorders>
              <w:left w:val="nil"/>
              <w:right w:val="single" w:sz="4" w:space="0" w:color="auto"/>
            </w:tcBorders>
            <w:vAlign w:val="center"/>
          </w:tcPr>
          <w:p w14:paraId="55307CBA"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402DCDE0"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D"/>
            </w:r>
          </w:p>
        </w:tc>
        <w:tc>
          <w:tcPr>
            <w:tcW w:w="1984" w:type="dxa"/>
            <w:tcBorders>
              <w:left w:val="nil"/>
            </w:tcBorders>
            <w:shd w:val="clear" w:color="auto" w:fill="D0CECE" w:themeFill="background2" w:themeFillShade="E6"/>
            <w:vAlign w:val="center"/>
          </w:tcPr>
          <w:p w14:paraId="383FF034"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18.7% ( 1.3, 39.0)</w:t>
            </w:r>
          </w:p>
          <w:p w14:paraId="07EECEF7"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eastAsia="Times New Roman" w:hAnsi="Calibri" w:cs="Calibri"/>
                <w:color w:val="000000"/>
                <w:sz w:val="18"/>
                <w:szCs w:val="18"/>
                <w:lang w:eastAsia="en-GB"/>
              </w:rPr>
              <w:t>p-value = 0.0335</w:t>
            </w:r>
          </w:p>
        </w:tc>
        <w:tc>
          <w:tcPr>
            <w:tcW w:w="284" w:type="dxa"/>
            <w:tcBorders>
              <w:left w:val="nil"/>
              <w:right w:val="nil"/>
            </w:tcBorders>
            <w:shd w:val="clear" w:color="auto" w:fill="D0CECE" w:themeFill="background2" w:themeFillShade="E6"/>
            <w:vAlign w:val="center"/>
          </w:tcPr>
          <w:p w14:paraId="6F868590"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D"/>
            </w:r>
          </w:p>
        </w:tc>
        <w:tc>
          <w:tcPr>
            <w:tcW w:w="1842" w:type="dxa"/>
            <w:tcBorders>
              <w:left w:val="nil"/>
            </w:tcBorders>
            <w:shd w:val="clear" w:color="auto" w:fill="D0CECE" w:themeFill="background2" w:themeFillShade="E6"/>
            <w:vAlign w:val="center"/>
          </w:tcPr>
          <w:p w14:paraId="16BEC91F"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21.6% (8.2, 36.7)</w:t>
            </w:r>
          </w:p>
          <w:p w14:paraId="30365BA4"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eastAsia="Times New Roman" w:hAnsi="Calibri" w:cs="Calibri"/>
                <w:color w:val="000000"/>
                <w:sz w:val="18"/>
                <w:szCs w:val="18"/>
                <w:lang w:eastAsia="en-GB"/>
              </w:rPr>
              <w:t>p-value = 0.001</w:t>
            </w:r>
          </w:p>
        </w:tc>
        <w:tc>
          <w:tcPr>
            <w:tcW w:w="426" w:type="dxa"/>
            <w:tcBorders>
              <w:left w:val="nil"/>
              <w:right w:val="nil"/>
            </w:tcBorders>
            <w:shd w:val="clear" w:color="auto" w:fill="D0CECE" w:themeFill="background2" w:themeFillShade="E6"/>
            <w:vAlign w:val="center"/>
          </w:tcPr>
          <w:p w14:paraId="306670F4"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D0CECE" w:themeFill="background2" w:themeFillShade="E6"/>
            <w:vAlign w:val="center"/>
          </w:tcPr>
          <w:p w14:paraId="65081A54"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0.2% (-7.1,  8.0)</w:t>
            </w:r>
          </w:p>
        </w:tc>
      </w:tr>
      <w:tr w:rsidR="00634CA8" w:rsidRPr="004901B0" w14:paraId="6AB445B7"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tcPr>
          <w:p w14:paraId="70F652AA" w14:textId="77777777" w:rsidR="00634CA8" w:rsidRPr="00E00346" w:rsidRDefault="00634CA8" w:rsidP="00FA153D">
            <w:pPr>
              <w:jc w:val="center"/>
              <w:rPr>
                <w:rFonts w:ascii="Calibri" w:eastAsia="Times New Roman" w:hAnsi="Calibri" w:cs="Calibri"/>
                <w:color w:val="000000"/>
                <w:sz w:val="20"/>
                <w:szCs w:val="20"/>
                <w:lang w:eastAsia="en-GB"/>
              </w:rPr>
            </w:pPr>
          </w:p>
        </w:tc>
        <w:tc>
          <w:tcPr>
            <w:tcW w:w="1277" w:type="dxa"/>
            <w:vMerge w:val="restart"/>
            <w:tcBorders>
              <w:left w:val="nil"/>
              <w:right w:val="single" w:sz="4" w:space="0" w:color="auto"/>
            </w:tcBorders>
            <w:vAlign w:val="center"/>
          </w:tcPr>
          <w:p w14:paraId="34CE379A" w14:textId="77777777" w:rsidR="00634CA8" w:rsidRPr="00E00346" w:rsidRDefault="00634CA8" w:rsidP="00FA153D">
            <w:pPr>
              <w:jc w:val="center"/>
              <w:rPr>
                <w:rFonts w:ascii="Calibri" w:eastAsia="Times New Roman" w:hAnsi="Calibri" w:cs="Calibri"/>
                <w:color w:val="000000"/>
                <w:sz w:val="20"/>
                <w:szCs w:val="20"/>
                <w:lang w:eastAsia="en-GB"/>
              </w:rPr>
            </w:pPr>
            <w:r w:rsidRPr="00E00346">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6637D274"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F"/>
            </w:r>
          </w:p>
        </w:tc>
        <w:tc>
          <w:tcPr>
            <w:tcW w:w="1984" w:type="dxa"/>
            <w:tcBorders>
              <w:left w:val="nil"/>
            </w:tcBorders>
            <w:shd w:val="clear" w:color="auto" w:fill="auto"/>
            <w:vAlign w:val="center"/>
          </w:tcPr>
          <w:p w14:paraId="06919F3C"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-9.4% (-12.2, -6.5)*</w:t>
            </w:r>
          </w:p>
        </w:tc>
        <w:tc>
          <w:tcPr>
            <w:tcW w:w="284" w:type="dxa"/>
            <w:tcBorders>
              <w:left w:val="nil"/>
              <w:right w:val="nil"/>
            </w:tcBorders>
            <w:vAlign w:val="center"/>
          </w:tcPr>
          <w:p w14:paraId="1B967446" w14:textId="77777777" w:rsidR="00634CA8" w:rsidRPr="00E00346" w:rsidRDefault="00634CA8" w:rsidP="00FA153D">
            <w:pPr>
              <w:jc w:val="center"/>
              <w:rPr>
                <w:rFonts w:ascii="Calibri" w:hAnsi="Calibri" w:cs="Calibri"/>
                <w:color w:val="000000"/>
                <w:sz w:val="18"/>
                <w:szCs w:val="18"/>
              </w:rPr>
            </w:pPr>
          </w:p>
        </w:tc>
        <w:tc>
          <w:tcPr>
            <w:tcW w:w="1842" w:type="dxa"/>
            <w:tcBorders>
              <w:left w:val="nil"/>
            </w:tcBorders>
            <w:shd w:val="clear" w:color="auto" w:fill="auto"/>
            <w:vAlign w:val="center"/>
          </w:tcPr>
          <w:p w14:paraId="75F77319"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hAnsi="Calibri" w:cs="Calibri"/>
                <w:color w:val="000000"/>
                <w:sz w:val="18"/>
                <w:szCs w:val="18"/>
              </w:rPr>
              <w:t>-1.9% (-5.5,  1.8)</w:t>
            </w:r>
          </w:p>
        </w:tc>
        <w:tc>
          <w:tcPr>
            <w:tcW w:w="426" w:type="dxa"/>
            <w:tcBorders>
              <w:left w:val="nil"/>
              <w:right w:val="nil"/>
            </w:tcBorders>
            <w:vAlign w:val="center"/>
          </w:tcPr>
          <w:p w14:paraId="310785D6"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auto"/>
            <w:vAlign w:val="center"/>
          </w:tcPr>
          <w:p w14:paraId="08A6310C"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-0.5% (-1.7,  0.7)</w:t>
            </w:r>
          </w:p>
        </w:tc>
      </w:tr>
      <w:tr w:rsidR="00634CA8" w:rsidRPr="004901B0" w14:paraId="43038324" w14:textId="77777777" w:rsidTr="00E00346">
        <w:trPr>
          <w:trHeight w:val="301"/>
        </w:trPr>
        <w:tc>
          <w:tcPr>
            <w:tcW w:w="1134" w:type="dxa"/>
            <w:vMerge/>
            <w:tcBorders>
              <w:left w:val="nil"/>
            </w:tcBorders>
            <w:shd w:val="clear" w:color="auto" w:fill="auto"/>
            <w:noWrap/>
            <w:tcMar>
              <w:top w:w="15" w:type="dxa"/>
              <w:left w:w="15" w:type="dxa"/>
              <w:bottom w:w="0" w:type="dxa"/>
              <w:right w:w="15" w:type="dxa"/>
            </w:tcMar>
            <w:vAlign w:val="center"/>
          </w:tcPr>
          <w:p w14:paraId="20E36BB4" w14:textId="77777777" w:rsidR="00634CA8" w:rsidRPr="00E00346" w:rsidRDefault="00634CA8" w:rsidP="00FA153D">
            <w:pPr>
              <w:jc w:val="center"/>
              <w:rPr>
                <w:rFonts w:ascii="Calibri" w:eastAsia="Times New Roman" w:hAnsi="Calibri" w:cs="Calibri"/>
                <w:color w:val="000000"/>
                <w:sz w:val="18"/>
                <w:szCs w:val="18"/>
                <w:lang w:eastAsia="en-GB"/>
              </w:rPr>
            </w:pPr>
          </w:p>
        </w:tc>
        <w:tc>
          <w:tcPr>
            <w:tcW w:w="1277" w:type="dxa"/>
            <w:vMerge/>
            <w:tcBorders>
              <w:left w:val="nil"/>
              <w:right w:val="single" w:sz="4" w:space="0" w:color="auto"/>
            </w:tcBorders>
            <w:vAlign w:val="center"/>
          </w:tcPr>
          <w:p w14:paraId="4FA79349" w14:textId="77777777" w:rsidR="00634CA8" w:rsidRPr="00E00346" w:rsidRDefault="00634CA8" w:rsidP="00FA153D">
            <w:pPr>
              <w:jc w:val="center"/>
              <w:rPr>
                <w:rFonts w:ascii="Calibri" w:eastAsia="Times New Roman" w:hAnsi="Calibri" w:cs="Calibri"/>
                <w:color w:val="000000"/>
                <w:sz w:val="18"/>
                <w:szCs w:val="18"/>
                <w:lang w:eastAsia="en-GB"/>
              </w:rPr>
            </w:pPr>
          </w:p>
        </w:tc>
        <w:tc>
          <w:tcPr>
            <w:tcW w:w="283" w:type="dxa"/>
            <w:tcBorders>
              <w:left w:val="single" w:sz="4" w:space="0" w:color="auto"/>
              <w:right w:val="nil"/>
            </w:tcBorders>
            <w:shd w:val="clear" w:color="auto" w:fill="D0CECE" w:themeFill="background2" w:themeFillShade="E6"/>
            <w:vAlign w:val="center"/>
          </w:tcPr>
          <w:p w14:paraId="6ACA2884"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D"/>
            </w:r>
          </w:p>
        </w:tc>
        <w:tc>
          <w:tcPr>
            <w:tcW w:w="1984" w:type="dxa"/>
            <w:tcBorders>
              <w:left w:val="nil"/>
            </w:tcBorders>
            <w:shd w:val="clear" w:color="auto" w:fill="D0CECE" w:themeFill="background2" w:themeFillShade="E6"/>
            <w:vAlign w:val="center"/>
          </w:tcPr>
          <w:p w14:paraId="6881375A"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34.4% (12.6, 60.4)</w:t>
            </w:r>
          </w:p>
          <w:p w14:paraId="40356B03"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eastAsia="Times New Roman" w:hAnsi="Calibri" w:cs="Calibri"/>
                <w:color w:val="000000"/>
                <w:sz w:val="18"/>
                <w:szCs w:val="18"/>
                <w:lang w:eastAsia="en-GB"/>
              </w:rPr>
              <w:t>p-value = 0.0011</w:t>
            </w:r>
          </w:p>
        </w:tc>
        <w:tc>
          <w:tcPr>
            <w:tcW w:w="284" w:type="dxa"/>
            <w:tcBorders>
              <w:left w:val="nil"/>
              <w:right w:val="nil"/>
            </w:tcBorders>
            <w:shd w:val="clear" w:color="auto" w:fill="D0CECE" w:themeFill="background2" w:themeFillShade="E6"/>
            <w:vAlign w:val="center"/>
          </w:tcPr>
          <w:p w14:paraId="5C571A78"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b/>
                <w:bCs/>
                <w:color w:val="000000"/>
                <w:sz w:val="18"/>
                <w:szCs w:val="18"/>
              </w:rPr>
              <w:sym w:font="Symbol" w:char="F0AD"/>
            </w:r>
          </w:p>
        </w:tc>
        <w:tc>
          <w:tcPr>
            <w:tcW w:w="1842" w:type="dxa"/>
            <w:tcBorders>
              <w:left w:val="nil"/>
            </w:tcBorders>
            <w:shd w:val="clear" w:color="auto" w:fill="D0CECE" w:themeFill="background2" w:themeFillShade="E6"/>
            <w:vAlign w:val="center"/>
          </w:tcPr>
          <w:p w14:paraId="149F5945"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30.5% (14.1, 49.3)</w:t>
            </w:r>
          </w:p>
          <w:p w14:paraId="40306038" w14:textId="77777777" w:rsidR="00634CA8" w:rsidRPr="00E00346" w:rsidRDefault="00634CA8" w:rsidP="00FA153D">
            <w:pPr>
              <w:jc w:val="center"/>
              <w:rPr>
                <w:rFonts w:ascii="Calibri" w:eastAsia="Times New Roman" w:hAnsi="Calibri" w:cs="Calibri"/>
                <w:color w:val="000000"/>
                <w:sz w:val="18"/>
                <w:szCs w:val="18"/>
                <w:lang w:eastAsia="en-GB"/>
              </w:rPr>
            </w:pPr>
            <w:r w:rsidRPr="00E00346">
              <w:rPr>
                <w:rFonts w:ascii="Calibri" w:eastAsia="Times New Roman" w:hAnsi="Calibri" w:cs="Calibri"/>
                <w:color w:val="000000"/>
                <w:sz w:val="18"/>
                <w:szCs w:val="18"/>
                <w:lang w:eastAsia="en-GB"/>
              </w:rPr>
              <w:t>p-value = 0.0001</w:t>
            </w:r>
          </w:p>
        </w:tc>
        <w:tc>
          <w:tcPr>
            <w:tcW w:w="426" w:type="dxa"/>
            <w:tcBorders>
              <w:left w:val="nil"/>
              <w:right w:val="nil"/>
            </w:tcBorders>
            <w:shd w:val="clear" w:color="auto" w:fill="D0CECE" w:themeFill="background2" w:themeFillShade="E6"/>
            <w:vAlign w:val="center"/>
          </w:tcPr>
          <w:p w14:paraId="1AE80802" w14:textId="77777777" w:rsidR="00634CA8" w:rsidRPr="00E00346" w:rsidRDefault="00634CA8" w:rsidP="00FA153D">
            <w:pPr>
              <w:jc w:val="center"/>
              <w:rPr>
                <w:rFonts w:ascii="Calibri" w:hAnsi="Calibri" w:cs="Calibri"/>
                <w:color w:val="000000"/>
                <w:sz w:val="18"/>
                <w:szCs w:val="18"/>
              </w:rPr>
            </w:pPr>
          </w:p>
        </w:tc>
        <w:tc>
          <w:tcPr>
            <w:tcW w:w="1791" w:type="dxa"/>
            <w:tcBorders>
              <w:left w:val="nil"/>
              <w:right w:val="nil"/>
            </w:tcBorders>
            <w:shd w:val="clear" w:color="auto" w:fill="D0CECE" w:themeFill="background2" w:themeFillShade="E6"/>
            <w:vAlign w:val="center"/>
          </w:tcPr>
          <w:p w14:paraId="5287E907" w14:textId="77777777" w:rsidR="00634CA8" w:rsidRPr="00E00346" w:rsidRDefault="00634CA8" w:rsidP="00FA153D">
            <w:pPr>
              <w:jc w:val="center"/>
              <w:rPr>
                <w:rFonts w:ascii="Calibri" w:hAnsi="Calibri" w:cs="Calibri"/>
                <w:color w:val="000000"/>
                <w:sz w:val="18"/>
                <w:szCs w:val="18"/>
              </w:rPr>
            </w:pPr>
            <w:r w:rsidRPr="00E00346">
              <w:rPr>
                <w:rFonts w:ascii="Calibri" w:hAnsi="Calibri" w:cs="Calibri"/>
                <w:color w:val="000000"/>
                <w:sz w:val="18"/>
                <w:szCs w:val="18"/>
              </w:rPr>
              <w:t>0.2% (-6.4,  7.2)</w:t>
            </w:r>
          </w:p>
        </w:tc>
      </w:tr>
    </w:tbl>
    <w:p w14:paraId="78CACE7F" w14:textId="77777777" w:rsidR="00634CA8" w:rsidRPr="00173CAD" w:rsidRDefault="00634CA8" w:rsidP="00634CA8">
      <w:pPr>
        <w:jc w:val="both"/>
        <w:rPr>
          <w:sz w:val="16"/>
          <w:szCs w:val="16"/>
          <w:lang w:val="en-US"/>
        </w:rPr>
      </w:pPr>
      <w:r w:rsidRPr="00173CAD">
        <w:rPr>
          <w:sz w:val="16"/>
          <w:szCs w:val="16"/>
          <w:lang w:val="en-US"/>
        </w:rPr>
        <w:t>* p-value &lt; 0.0</w:t>
      </w:r>
      <w:r>
        <w:rPr>
          <w:sz w:val="16"/>
          <w:szCs w:val="16"/>
          <w:lang w:val="en-US"/>
        </w:rPr>
        <w:t>001</w:t>
      </w:r>
    </w:p>
    <w:p w14:paraId="42868A4D" w14:textId="77777777" w:rsidR="009321D4" w:rsidRDefault="009321D4" w:rsidP="00D83908">
      <w:pPr>
        <w:jc w:val="both"/>
        <w:rPr>
          <w:sz w:val="12"/>
          <w:szCs w:val="12"/>
          <w:lang w:val="en-US"/>
        </w:rPr>
      </w:pPr>
    </w:p>
    <w:p w14:paraId="0A730B71" w14:textId="77777777" w:rsidR="009321D4" w:rsidRDefault="009321D4">
      <w:pPr>
        <w:rPr>
          <w:b/>
          <w:iCs/>
          <w:sz w:val="18"/>
          <w:szCs w:val="13"/>
        </w:rPr>
      </w:pPr>
      <w:r>
        <w:br w:type="page"/>
      </w:r>
    </w:p>
    <w:p w14:paraId="7659374D" w14:textId="7E8F44D4" w:rsidR="005F6FCB" w:rsidRPr="006C0883" w:rsidRDefault="005F6FCB" w:rsidP="005F6FCB">
      <w:pPr>
        <w:pStyle w:val="Caption"/>
        <w:rPr>
          <w:bCs/>
        </w:rPr>
      </w:pPr>
      <w:r w:rsidRPr="006C0883">
        <w:lastRenderedPageBreak/>
        <w:t>Table S</w:t>
      </w:r>
      <w:r w:rsidRPr="006C0883">
        <w:fldChar w:fldCharType="begin"/>
      </w:r>
      <w:r w:rsidRPr="006C0883">
        <w:instrText xml:space="preserve"> SEQ Table_S \* ARABIC </w:instrText>
      </w:r>
      <w:r w:rsidRPr="006C0883">
        <w:fldChar w:fldCharType="separate"/>
      </w:r>
      <w:r w:rsidR="00EC4F6F">
        <w:rPr>
          <w:noProof/>
        </w:rPr>
        <w:t>8</w:t>
      </w:r>
      <w:r w:rsidRPr="006C0883">
        <w:fldChar w:fldCharType="end"/>
      </w:r>
      <w:r w:rsidRPr="006C0883">
        <w:t>.</w:t>
      </w:r>
      <w:r w:rsidRPr="006C0883">
        <w:rPr>
          <w:lang w:val="en-US"/>
        </w:rPr>
        <w:t xml:space="preserve"> Change in fluoroquinolone phenotypic incidence and resistance proportion for the pre-pandemic (2007-2019) and pandemic (2020-2022) period. </w:t>
      </w:r>
      <w:r w:rsidRPr="009937C3">
        <w:rPr>
          <w:b w:val="0"/>
          <w:bCs/>
        </w:rPr>
        <w:t xml:space="preserve">Average annual percentage change (AAPC) estimates were obtained from time trend coefficients using generalized estimating equations. </w:t>
      </w:r>
      <w:r>
        <w:rPr>
          <w:b w:val="0"/>
          <w:bCs/>
        </w:rPr>
        <w:t xml:space="preserve">95% confidence intervals are reported in brackets. </w:t>
      </w:r>
      <w:r w:rsidRPr="009937C3">
        <w:rPr>
          <w:b w:val="0"/>
          <w:bCs/>
        </w:rPr>
        <w:t>White rows represent results for the pre-pandemic (2007-2019), grey shaded rows for the pandemic (2020-2022) period. Upward or downward pointing arrows indicate statistically significant increasing or decreasing incidence trends.</w:t>
      </w:r>
      <w:r w:rsidRPr="009937C3">
        <w:rPr>
          <w:b w:val="0"/>
          <w:bCs/>
          <w:lang w:val="en-US"/>
        </w:rPr>
        <w:t xml:space="preserve"> </w:t>
      </w:r>
      <w:r>
        <w:rPr>
          <w:b w:val="0"/>
          <w:bCs/>
          <w:lang w:val="en-US"/>
        </w:rPr>
        <w:t>P-values are given for statistically significant time trends if p-value is larger or equal than 0.0001.</w:t>
      </w:r>
    </w:p>
    <w:tbl>
      <w:tblPr>
        <w:tblW w:w="89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76"/>
        <w:gridCol w:w="1273"/>
        <w:gridCol w:w="283"/>
        <w:gridCol w:w="1846"/>
        <w:gridCol w:w="284"/>
        <w:gridCol w:w="1842"/>
        <w:gridCol w:w="284"/>
        <w:gridCol w:w="1843"/>
      </w:tblGrid>
      <w:tr w:rsidR="005F6FCB" w:rsidRPr="004901B0" w14:paraId="657290F6" w14:textId="77777777" w:rsidTr="003A41F4">
        <w:trPr>
          <w:trHeight w:val="300"/>
        </w:trPr>
        <w:tc>
          <w:tcPr>
            <w:tcW w:w="1276" w:type="dxa"/>
            <w:vMerge w:val="restart"/>
            <w:tcBorders>
              <w:top w:val="single" w:sz="12" w:space="0" w:color="auto"/>
              <w:left w:val="nil"/>
            </w:tcBorders>
            <w:shd w:val="clear" w:color="auto" w:fill="auto"/>
            <w:noWrap/>
            <w:tcMar>
              <w:top w:w="15" w:type="dxa"/>
              <w:left w:w="15" w:type="dxa"/>
              <w:bottom w:w="0" w:type="dxa"/>
              <w:right w:w="15" w:type="dxa"/>
            </w:tcMar>
            <w:vAlign w:val="center"/>
          </w:tcPr>
          <w:p w14:paraId="57AB8972" w14:textId="77777777" w:rsidR="005F6FCB" w:rsidRPr="00650F3D" w:rsidRDefault="005F6FCB" w:rsidP="00FA153D">
            <w:pPr>
              <w:jc w:val="center"/>
              <w:rPr>
                <w:rFonts w:ascii="Calibri" w:eastAsia="Times New Roman" w:hAnsi="Calibri" w:cs="Calibri"/>
                <w:b/>
                <w:bCs/>
                <w:color w:val="000000"/>
                <w:sz w:val="20"/>
                <w:szCs w:val="20"/>
                <w:lang w:eastAsia="en-GB"/>
              </w:rPr>
            </w:pPr>
            <w:r w:rsidRPr="00650F3D">
              <w:rPr>
                <w:rFonts w:ascii="Calibri" w:eastAsia="Times New Roman" w:hAnsi="Calibri" w:cs="Calibri"/>
                <w:b/>
                <w:bCs/>
                <w:color w:val="000000"/>
                <w:sz w:val="20"/>
                <w:szCs w:val="20"/>
                <w:lang w:eastAsia="en-GB"/>
              </w:rPr>
              <w:t>Organism</w:t>
            </w:r>
          </w:p>
        </w:tc>
        <w:tc>
          <w:tcPr>
            <w:tcW w:w="1273" w:type="dxa"/>
            <w:vMerge w:val="restart"/>
            <w:tcBorders>
              <w:top w:val="single" w:sz="12" w:space="0" w:color="auto"/>
              <w:left w:val="nil"/>
              <w:right w:val="single" w:sz="4" w:space="0" w:color="auto"/>
            </w:tcBorders>
            <w:vAlign w:val="center"/>
          </w:tcPr>
          <w:p w14:paraId="6AC4B9A5" w14:textId="77777777" w:rsidR="005F6FCB" w:rsidRPr="00650F3D" w:rsidRDefault="005F6FCB" w:rsidP="00FA153D">
            <w:pPr>
              <w:jc w:val="center"/>
              <w:rPr>
                <w:rFonts w:ascii="Calibri" w:eastAsia="Times New Roman" w:hAnsi="Calibri" w:cs="Calibri"/>
                <w:b/>
                <w:bCs/>
                <w:color w:val="000000"/>
                <w:sz w:val="20"/>
                <w:szCs w:val="20"/>
                <w:lang w:eastAsia="en-GB"/>
              </w:rPr>
            </w:pPr>
            <w:r w:rsidRPr="00650F3D">
              <w:rPr>
                <w:rFonts w:ascii="Calibri" w:eastAsia="Times New Roman" w:hAnsi="Calibri" w:cs="Calibri"/>
                <w:b/>
                <w:bCs/>
                <w:color w:val="000000"/>
                <w:sz w:val="20"/>
                <w:szCs w:val="20"/>
                <w:lang w:eastAsia="en-GB"/>
              </w:rPr>
              <w:t>Source of infection</w:t>
            </w:r>
          </w:p>
        </w:tc>
        <w:tc>
          <w:tcPr>
            <w:tcW w:w="6382" w:type="dxa"/>
            <w:gridSpan w:val="6"/>
            <w:tcBorders>
              <w:top w:val="single" w:sz="12" w:space="0" w:color="auto"/>
              <w:left w:val="single" w:sz="4" w:space="0" w:color="auto"/>
              <w:right w:val="nil"/>
            </w:tcBorders>
          </w:tcPr>
          <w:p w14:paraId="1812E9FA" w14:textId="77777777" w:rsidR="005F6FCB" w:rsidRPr="00650F3D" w:rsidRDefault="005F6FCB" w:rsidP="00FA153D">
            <w:pPr>
              <w:jc w:val="center"/>
              <w:rPr>
                <w:rFonts w:ascii="Calibri" w:eastAsia="Times New Roman" w:hAnsi="Calibri" w:cs="Calibri"/>
                <w:b/>
                <w:bCs/>
                <w:color w:val="000000"/>
                <w:sz w:val="20"/>
                <w:szCs w:val="20"/>
                <w:lang w:eastAsia="en-GB"/>
              </w:rPr>
            </w:pPr>
            <w:r w:rsidRPr="00650F3D">
              <w:rPr>
                <w:rFonts w:ascii="Calibri" w:eastAsia="Times New Roman" w:hAnsi="Calibri" w:cs="Calibri"/>
                <w:b/>
                <w:bCs/>
                <w:color w:val="000000"/>
                <w:sz w:val="20"/>
                <w:szCs w:val="20"/>
                <w:lang w:eastAsia="en-GB"/>
              </w:rPr>
              <w:t>Fluoroquinolones</w:t>
            </w:r>
          </w:p>
          <w:p w14:paraId="28A6D90A" w14:textId="77777777" w:rsidR="005F6FCB" w:rsidRPr="00650F3D" w:rsidRDefault="005F6FCB" w:rsidP="00FA153D">
            <w:pPr>
              <w:jc w:val="center"/>
              <w:rPr>
                <w:rFonts w:ascii="Calibri" w:eastAsia="Times New Roman" w:hAnsi="Calibri" w:cs="Calibri"/>
                <w:b/>
                <w:bCs/>
                <w:color w:val="000000"/>
                <w:sz w:val="20"/>
                <w:szCs w:val="20"/>
                <w:lang w:eastAsia="en-GB"/>
              </w:rPr>
            </w:pPr>
            <w:r w:rsidRPr="00650F3D">
              <w:rPr>
                <w:rFonts w:ascii="Calibri" w:eastAsia="Times New Roman" w:hAnsi="Calibri" w:cs="Calibri"/>
                <w:color w:val="000000"/>
                <w:sz w:val="20"/>
                <w:szCs w:val="20"/>
                <w:lang w:eastAsia="en-GB"/>
              </w:rPr>
              <w:t>AAPC point estimates (95% confidence interval)</w:t>
            </w:r>
          </w:p>
        </w:tc>
      </w:tr>
      <w:tr w:rsidR="005F6FCB" w:rsidRPr="004901B0" w14:paraId="5B64F356" w14:textId="77777777" w:rsidTr="00FA153D">
        <w:trPr>
          <w:trHeight w:val="708"/>
        </w:trPr>
        <w:tc>
          <w:tcPr>
            <w:tcW w:w="1276" w:type="dxa"/>
            <w:vMerge/>
            <w:tcBorders>
              <w:left w:val="nil"/>
              <w:bottom w:val="single" w:sz="12" w:space="0" w:color="auto"/>
            </w:tcBorders>
            <w:shd w:val="clear" w:color="auto" w:fill="auto"/>
            <w:noWrap/>
            <w:tcMar>
              <w:top w:w="15" w:type="dxa"/>
              <w:left w:w="15" w:type="dxa"/>
              <w:bottom w:w="0" w:type="dxa"/>
              <w:right w:w="15" w:type="dxa"/>
            </w:tcMar>
            <w:vAlign w:val="bottom"/>
          </w:tcPr>
          <w:p w14:paraId="0D4E3156" w14:textId="77777777" w:rsidR="005F6FCB" w:rsidRPr="00650F3D" w:rsidRDefault="005F6FCB" w:rsidP="00FA153D">
            <w:pPr>
              <w:rPr>
                <w:rFonts w:ascii="Calibri" w:eastAsia="Times New Roman" w:hAnsi="Calibri" w:cs="Calibri"/>
                <w:color w:val="000000"/>
                <w:sz w:val="20"/>
                <w:szCs w:val="20"/>
                <w:lang w:eastAsia="en-GB"/>
              </w:rPr>
            </w:pPr>
          </w:p>
        </w:tc>
        <w:tc>
          <w:tcPr>
            <w:tcW w:w="1273" w:type="dxa"/>
            <w:vMerge/>
            <w:tcBorders>
              <w:left w:val="nil"/>
              <w:bottom w:val="single" w:sz="12" w:space="0" w:color="auto"/>
              <w:right w:val="single" w:sz="4" w:space="0" w:color="auto"/>
            </w:tcBorders>
          </w:tcPr>
          <w:p w14:paraId="0BC76273" w14:textId="77777777" w:rsidR="005F6FCB" w:rsidRPr="00650F3D" w:rsidRDefault="005F6FCB" w:rsidP="00FA153D">
            <w:pPr>
              <w:jc w:val="center"/>
              <w:rPr>
                <w:rFonts w:ascii="Calibri" w:eastAsia="Times New Roman" w:hAnsi="Calibri" w:cs="Calibri"/>
                <w:color w:val="000000"/>
                <w:sz w:val="20"/>
                <w:szCs w:val="20"/>
                <w:lang w:eastAsia="en-GB"/>
              </w:rPr>
            </w:pPr>
          </w:p>
        </w:tc>
        <w:tc>
          <w:tcPr>
            <w:tcW w:w="2129" w:type="dxa"/>
            <w:gridSpan w:val="2"/>
            <w:tcBorders>
              <w:left w:val="single" w:sz="4" w:space="0" w:color="auto"/>
              <w:bottom w:val="single" w:sz="12" w:space="0" w:color="auto"/>
            </w:tcBorders>
          </w:tcPr>
          <w:p w14:paraId="7B187DB6"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Incidence of resistant infections</w:t>
            </w:r>
          </w:p>
          <w:p w14:paraId="759BA833"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2007-2019</w:t>
            </w:r>
          </w:p>
          <w:p w14:paraId="6F909ABF"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2020-2022</w:t>
            </w:r>
          </w:p>
        </w:tc>
        <w:tc>
          <w:tcPr>
            <w:tcW w:w="2126" w:type="dxa"/>
            <w:gridSpan w:val="2"/>
            <w:tcBorders>
              <w:left w:val="nil"/>
              <w:bottom w:val="single" w:sz="12" w:space="0" w:color="auto"/>
            </w:tcBorders>
          </w:tcPr>
          <w:p w14:paraId="198D72B9"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Incidence of susceptible infections</w:t>
            </w:r>
          </w:p>
          <w:p w14:paraId="6276D4E2"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2007-2019</w:t>
            </w:r>
          </w:p>
          <w:p w14:paraId="03D1CC5B"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2020-2022</w:t>
            </w:r>
          </w:p>
        </w:tc>
        <w:tc>
          <w:tcPr>
            <w:tcW w:w="2127" w:type="dxa"/>
            <w:gridSpan w:val="2"/>
            <w:tcBorders>
              <w:left w:val="nil"/>
              <w:right w:val="nil"/>
            </w:tcBorders>
            <w:vAlign w:val="center"/>
          </w:tcPr>
          <w:p w14:paraId="229961E7"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Resistance proportion</w:t>
            </w:r>
          </w:p>
          <w:p w14:paraId="714DA026"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2007-2019</w:t>
            </w:r>
          </w:p>
          <w:p w14:paraId="4A05CBB6"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2020-2022</w:t>
            </w:r>
          </w:p>
        </w:tc>
      </w:tr>
      <w:tr w:rsidR="005F6FCB" w:rsidRPr="004901B0" w14:paraId="43AEBDDE" w14:textId="77777777" w:rsidTr="003E5AA2">
        <w:trPr>
          <w:trHeight w:val="189"/>
        </w:trPr>
        <w:tc>
          <w:tcPr>
            <w:tcW w:w="1276" w:type="dxa"/>
            <w:vMerge w:val="restart"/>
            <w:tcBorders>
              <w:top w:val="single" w:sz="12" w:space="0" w:color="auto"/>
              <w:left w:val="nil"/>
            </w:tcBorders>
            <w:shd w:val="clear" w:color="auto" w:fill="auto"/>
            <w:noWrap/>
            <w:tcMar>
              <w:top w:w="15" w:type="dxa"/>
              <w:left w:w="15" w:type="dxa"/>
              <w:bottom w:w="0" w:type="dxa"/>
              <w:right w:w="15" w:type="dxa"/>
            </w:tcMar>
            <w:vAlign w:val="center"/>
            <w:hideMark/>
          </w:tcPr>
          <w:p w14:paraId="4AD80B80" w14:textId="77777777" w:rsidR="005F6FCB" w:rsidRPr="00650F3D" w:rsidRDefault="005F6FCB" w:rsidP="00FA153D">
            <w:pPr>
              <w:jc w:val="center"/>
              <w:rPr>
                <w:rFonts w:ascii="Calibri" w:eastAsia="Times New Roman" w:hAnsi="Calibri" w:cs="Calibri"/>
                <w:i/>
                <w:iCs/>
                <w:color w:val="000000"/>
                <w:sz w:val="20"/>
                <w:szCs w:val="20"/>
                <w:lang w:eastAsia="en-GB"/>
              </w:rPr>
            </w:pPr>
            <w:r w:rsidRPr="00650F3D">
              <w:rPr>
                <w:rFonts w:ascii="Calibri" w:eastAsia="Times New Roman" w:hAnsi="Calibri" w:cs="Calibri"/>
                <w:i/>
                <w:iCs/>
                <w:color w:val="000000"/>
                <w:sz w:val="20"/>
                <w:szCs w:val="20"/>
                <w:lang w:eastAsia="en-GB"/>
              </w:rPr>
              <w:t>S. aureus</w:t>
            </w:r>
          </w:p>
        </w:tc>
        <w:tc>
          <w:tcPr>
            <w:tcW w:w="1273" w:type="dxa"/>
            <w:vMerge w:val="restart"/>
            <w:tcBorders>
              <w:top w:val="single" w:sz="12" w:space="0" w:color="auto"/>
              <w:left w:val="nil"/>
              <w:right w:val="single" w:sz="4" w:space="0" w:color="auto"/>
            </w:tcBorders>
            <w:vAlign w:val="center"/>
          </w:tcPr>
          <w:p w14:paraId="5D3DFE7F"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Overall</w:t>
            </w:r>
          </w:p>
        </w:tc>
        <w:tc>
          <w:tcPr>
            <w:tcW w:w="283" w:type="dxa"/>
            <w:tcBorders>
              <w:top w:val="single" w:sz="12" w:space="0" w:color="auto"/>
              <w:left w:val="single" w:sz="4" w:space="0" w:color="auto"/>
              <w:right w:val="nil"/>
            </w:tcBorders>
            <w:vAlign w:val="center"/>
          </w:tcPr>
          <w:p w14:paraId="2E59358A"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top w:val="single" w:sz="12" w:space="0" w:color="auto"/>
              <w:left w:val="nil"/>
            </w:tcBorders>
            <w:vAlign w:val="center"/>
          </w:tcPr>
          <w:p w14:paraId="2F67BC16"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20"/>
                <w:szCs w:val="20"/>
              </w:rPr>
              <w:t>-6.2% ( -7.9, -4.5)*</w:t>
            </w:r>
          </w:p>
        </w:tc>
        <w:tc>
          <w:tcPr>
            <w:tcW w:w="284" w:type="dxa"/>
            <w:tcBorders>
              <w:top w:val="single" w:sz="12" w:space="0" w:color="auto"/>
              <w:left w:val="nil"/>
              <w:right w:val="nil"/>
            </w:tcBorders>
            <w:vAlign w:val="center"/>
          </w:tcPr>
          <w:p w14:paraId="39A76060" w14:textId="77777777" w:rsidR="005F6FCB" w:rsidRPr="00EA29EF" w:rsidRDefault="005F6FCB" w:rsidP="00FA153D">
            <w:pPr>
              <w:jc w:val="center"/>
              <w:rPr>
                <w:rFonts w:cstheme="minorHAnsi"/>
                <w:color w:val="000000"/>
                <w:sz w:val="20"/>
                <w:szCs w:val="20"/>
              </w:rPr>
            </w:pPr>
          </w:p>
        </w:tc>
        <w:tc>
          <w:tcPr>
            <w:tcW w:w="1842" w:type="dxa"/>
            <w:tcBorders>
              <w:top w:val="single" w:sz="12" w:space="0" w:color="auto"/>
              <w:left w:val="nil"/>
            </w:tcBorders>
            <w:vAlign w:val="center"/>
          </w:tcPr>
          <w:p w14:paraId="6529082F"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-1.2% ( -3.0,  0.7)</w:t>
            </w:r>
          </w:p>
        </w:tc>
        <w:tc>
          <w:tcPr>
            <w:tcW w:w="284" w:type="dxa"/>
            <w:tcBorders>
              <w:top w:val="single" w:sz="12" w:space="0" w:color="auto"/>
              <w:left w:val="nil"/>
              <w:right w:val="nil"/>
            </w:tcBorders>
            <w:vAlign w:val="center"/>
          </w:tcPr>
          <w:p w14:paraId="722BCD96" w14:textId="77777777" w:rsidR="005F6FCB" w:rsidRPr="009A35BA" w:rsidRDefault="005F6FCB" w:rsidP="00FA153D">
            <w:pPr>
              <w:jc w:val="center"/>
              <w:rPr>
                <w:rFonts w:ascii="Calibri" w:hAnsi="Calibri" w:cs="Calibri"/>
                <w:b/>
                <w:bCs/>
                <w:color w:val="000000"/>
                <w:sz w:val="18"/>
                <w:szCs w:val="18"/>
              </w:rPr>
            </w:pPr>
            <w:r w:rsidRPr="009A35BA">
              <w:rPr>
                <w:rFonts w:ascii="Calibri" w:hAnsi="Calibri" w:cs="Calibri"/>
                <w:b/>
                <w:bCs/>
                <w:color w:val="000000"/>
                <w:sz w:val="18"/>
                <w:szCs w:val="18"/>
              </w:rPr>
              <w:sym w:font="Symbol" w:char="F0AF"/>
            </w:r>
          </w:p>
        </w:tc>
        <w:tc>
          <w:tcPr>
            <w:tcW w:w="1843" w:type="dxa"/>
            <w:tcBorders>
              <w:top w:val="single" w:sz="12" w:space="0" w:color="auto"/>
              <w:left w:val="nil"/>
              <w:right w:val="nil"/>
            </w:tcBorders>
            <w:vAlign w:val="center"/>
          </w:tcPr>
          <w:p w14:paraId="157ADD85"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-2.6% (-4.6, -0.5)</w:t>
            </w:r>
          </w:p>
          <w:p w14:paraId="2590EBB1" w14:textId="77777777" w:rsidR="005F6FCB" w:rsidRPr="00D31AF3" w:rsidRDefault="005F6FCB" w:rsidP="00FA153D">
            <w:pPr>
              <w:jc w:val="center"/>
              <w:rPr>
                <w:rFonts w:ascii="Calibri" w:eastAsia="Times New Roman" w:hAnsi="Calibri" w:cs="Calibri"/>
                <w:color w:val="000000"/>
                <w:sz w:val="16"/>
                <w:szCs w:val="16"/>
                <w:lang w:eastAsia="en-GB"/>
              </w:rPr>
            </w:pPr>
            <w:r w:rsidRPr="00D31AF3">
              <w:rPr>
                <w:rFonts w:ascii="Calibri" w:eastAsia="Times New Roman" w:hAnsi="Calibri" w:cs="Calibri"/>
                <w:color w:val="000000"/>
                <w:sz w:val="16"/>
                <w:szCs w:val="16"/>
                <w:lang w:eastAsia="en-GB"/>
              </w:rPr>
              <w:t>p-value = 0.0163</w:t>
            </w:r>
          </w:p>
        </w:tc>
      </w:tr>
      <w:tr w:rsidR="005F6FCB" w:rsidRPr="004901B0" w14:paraId="1C3D2BF4" w14:textId="77777777" w:rsidTr="003E5AA2">
        <w:trPr>
          <w:trHeight w:val="106"/>
        </w:trPr>
        <w:tc>
          <w:tcPr>
            <w:tcW w:w="1276" w:type="dxa"/>
            <w:vMerge/>
            <w:tcBorders>
              <w:left w:val="nil"/>
            </w:tcBorders>
            <w:shd w:val="clear" w:color="auto" w:fill="auto"/>
            <w:noWrap/>
            <w:tcMar>
              <w:top w:w="15" w:type="dxa"/>
              <w:left w:w="15" w:type="dxa"/>
              <w:bottom w:w="0" w:type="dxa"/>
              <w:right w:w="15" w:type="dxa"/>
            </w:tcMar>
            <w:vAlign w:val="center"/>
            <w:hideMark/>
          </w:tcPr>
          <w:p w14:paraId="21B6BBF3" w14:textId="77777777" w:rsidR="005F6FCB" w:rsidRPr="00650F3D" w:rsidRDefault="005F6FCB" w:rsidP="00FA153D">
            <w:pPr>
              <w:jc w:val="center"/>
              <w:rPr>
                <w:rFonts w:ascii="Calibri" w:eastAsia="Times New Roman" w:hAnsi="Calibri" w:cs="Calibri"/>
                <w:i/>
                <w:iCs/>
                <w:color w:val="000000"/>
                <w:sz w:val="20"/>
                <w:szCs w:val="20"/>
                <w:lang w:eastAsia="en-GB"/>
              </w:rPr>
            </w:pPr>
          </w:p>
        </w:tc>
        <w:tc>
          <w:tcPr>
            <w:tcW w:w="1273" w:type="dxa"/>
            <w:vMerge/>
            <w:tcBorders>
              <w:left w:val="nil"/>
              <w:right w:val="single" w:sz="4" w:space="0" w:color="auto"/>
            </w:tcBorders>
            <w:vAlign w:val="center"/>
          </w:tcPr>
          <w:p w14:paraId="7A552BFF" w14:textId="77777777" w:rsidR="005F6FCB" w:rsidRPr="00650F3D"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3085C3DC"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16B789E5"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20"/>
                <w:szCs w:val="20"/>
              </w:rPr>
              <w:t>-8.1% (-16.5,  1.2)</w:t>
            </w:r>
          </w:p>
        </w:tc>
        <w:tc>
          <w:tcPr>
            <w:tcW w:w="284" w:type="dxa"/>
            <w:tcBorders>
              <w:left w:val="nil"/>
              <w:right w:val="nil"/>
            </w:tcBorders>
            <w:shd w:val="clear" w:color="auto" w:fill="D0CECE" w:themeFill="background2" w:themeFillShade="E6"/>
            <w:vAlign w:val="center"/>
          </w:tcPr>
          <w:p w14:paraId="1A31C7CC"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02CA9A08"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-2.6% (-10.4,  5.9)</w:t>
            </w:r>
          </w:p>
        </w:tc>
        <w:tc>
          <w:tcPr>
            <w:tcW w:w="284" w:type="dxa"/>
            <w:tcBorders>
              <w:left w:val="nil"/>
              <w:right w:val="nil"/>
            </w:tcBorders>
            <w:shd w:val="clear" w:color="auto" w:fill="D0CECE" w:themeFill="background2" w:themeFillShade="E6"/>
            <w:vAlign w:val="center"/>
          </w:tcPr>
          <w:p w14:paraId="3183CBDF"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D0CECE" w:themeFill="background2" w:themeFillShade="E6"/>
            <w:vAlign w:val="center"/>
          </w:tcPr>
          <w:p w14:paraId="2830EEE0"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-11.6% (-19.0, -3.6)</w:t>
            </w:r>
          </w:p>
          <w:p w14:paraId="7848CF14" w14:textId="77777777" w:rsidR="005F6FCB" w:rsidRPr="00D31AF3" w:rsidRDefault="005F6FCB" w:rsidP="00FA153D">
            <w:pPr>
              <w:jc w:val="center"/>
              <w:rPr>
                <w:rFonts w:ascii="Calibri" w:eastAsia="Times New Roman" w:hAnsi="Calibri" w:cs="Calibri"/>
                <w:color w:val="000000"/>
                <w:sz w:val="16"/>
                <w:szCs w:val="16"/>
                <w:lang w:eastAsia="en-GB"/>
              </w:rPr>
            </w:pPr>
            <w:r w:rsidRPr="00D31AF3">
              <w:rPr>
                <w:rFonts w:ascii="Calibri" w:eastAsia="Times New Roman" w:hAnsi="Calibri" w:cs="Calibri"/>
                <w:color w:val="000000"/>
                <w:sz w:val="16"/>
                <w:szCs w:val="16"/>
                <w:lang w:eastAsia="en-GB"/>
              </w:rPr>
              <w:t>p-value = 0.0055</w:t>
            </w:r>
          </w:p>
        </w:tc>
      </w:tr>
      <w:tr w:rsidR="005F6FCB" w:rsidRPr="004901B0" w14:paraId="54C7EFB0" w14:textId="77777777" w:rsidTr="003E5AA2">
        <w:trPr>
          <w:trHeight w:val="99"/>
        </w:trPr>
        <w:tc>
          <w:tcPr>
            <w:tcW w:w="1276" w:type="dxa"/>
            <w:vMerge/>
            <w:tcBorders>
              <w:left w:val="nil"/>
            </w:tcBorders>
            <w:shd w:val="clear" w:color="auto" w:fill="auto"/>
            <w:noWrap/>
            <w:tcMar>
              <w:top w:w="15" w:type="dxa"/>
              <w:left w:w="15" w:type="dxa"/>
              <w:bottom w:w="0" w:type="dxa"/>
              <w:right w:w="15" w:type="dxa"/>
            </w:tcMar>
            <w:vAlign w:val="center"/>
            <w:hideMark/>
          </w:tcPr>
          <w:p w14:paraId="71CBE284" w14:textId="77777777" w:rsidR="005F6FCB" w:rsidRPr="00650F3D" w:rsidRDefault="005F6FCB" w:rsidP="00FA153D">
            <w:pPr>
              <w:jc w:val="center"/>
              <w:rPr>
                <w:rFonts w:ascii="Calibri" w:eastAsia="Times New Roman" w:hAnsi="Calibri" w:cs="Calibri"/>
                <w:i/>
                <w:iCs/>
                <w:color w:val="000000"/>
                <w:sz w:val="20"/>
                <w:szCs w:val="20"/>
                <w:lang w:eastAsia="en-GB"/>
              </w:rPr>
            </w:pPr>
          </w:p>
        </w:tc>
        <w:tc>
          <w:tcPr>
            <w:tcW w:w="1273" w:type="dxa"/>
            <w:vMerge w:val="restart"/>
            <w:tcBorders>
              <w:left w:val="nil"/>
              <w:right w:val="single" w:sz="4" w:space="0" w:color="auto"/>
            </w:tcBorders>
            <w:vAlign w:val="center"/>
          </w:tcPr>
          <w:p w14:paraId="35BDC89B"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4CC5B674"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vAlign w:val="center"/>
          </w:tcPr>
          <w:p w14:paraId="57F5594E" w14:textId="77777777" w:rsidR="005F6FCB" w:rsidRDefault="005F6FCB" w:rsidP="00FA153D">
            <w:pPr>
              <w:jc w:val="center"/>
              <w:rPr>
                <w:rFonts w:ascii="Calibri" w:hAnsi="Calibri" w:cs="Calibri"/>
                <w:color w:val="000000"/>
                <w:sz w:val="20"/>
                <w:szCs w:val="20"/>
              </w:rPr>
            </w:pPr>
            <w:r w:rsidRPr="00650F3D">
              <w:rPr>
                <w:rFonts w:ascii="Calibri" w:hAnsi="Calibri" w:cs="Calibri"/>
                <w:color w:val="000000"/>
                <w:sz w:val="20"/>
                <w:szCs w:val="20"/>
              </w:rPr>
              <w:t>-3.8% ( -5.8, -1.8)</w:t>
            </w:r>
          </w:p>
          <w:p w14:paraId="7A6FE504"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16"/>
                <w:szCs w:val="16"/>
              </w:rPr>
              <w:t>p-value = 3e-04</w:t>
            </w:r>
          </w:p>
        </w:tc>
        <w:tc>
          <w:tcPr>
            <w:tcW w:w="284" w:type="dxa"/>
            <w:tcBorders>
              <w:left w:val="nil"/>
              <w:right w:val="nil"/>
            </w:tcBorders>
            <w:vAlign w:val="center"/>
          </w:tcPr>
          <w:p w14:paraId="31B1C8EF" w14:textId="77777777" w:rsidR="005F6FCB" w:rsidRPr="00EA29EF" w:rsidRDefault="005F6FCB" w:rsidP="00FA153D">
            <w:pPr>
              <w:jc w:val="center"/>
              <w:rPr>
                <w:rFonts w:cstheme="minorHAnsi"/>
                <w:color w:val="000000"/>
                <w:sz w:val="20"/>
                <w:szCs w:val="20"/>
              </w:rPr>
            </w:pPr>
          </w:p>
        </w:tc>
        <w:tc>
          <w:tcPr>
            <w:tcW w:w="1842" w:type="dxa"/>
            <w:tcBorders>
              <w:left w:val="nil"/>
            </w:tcBorders>
            <w:vAlign w:val="center"/>
          </w:tcPr>
          <w:p w14:paraId="0C7643AE"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0.4% ( -1.7,  2.4)</w:t>
            </w:r>
          </w:p>
        </w:tc>
        <w:tc>
          <w:tcPr>
            <w:tcW w:w="284" w:type="dxa"/>
            <w:tcBorders>
              <w:left w:val="nil"/>
              <w:right w:val="nil"/>
            </w:tcBorders>
            <w:vAlign w:val="center"/>
          </w:tcPr>
          <w:p w14:paraId="300F2F4C"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vAlign w:val="center"/>
          </w:tcPr>
          <w:p w14:paraId="51963C38"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-2.6% (-4.8, -0.5)</w:t>
            </w:r>
          </w:p>
          <w:p w14:paraId="0B91005F" w14:textId="77777777" w:rsidR="005F6FCB" w:rsidRPr="00D31AF3" w:rsidRDefault="005F6FCB" w:rsidP="00FA153D">
            <w:pPr>
              <w:jc w:val="center"/>
              <w:rPr>
                <w:rFonts w:ascii="Calibri" w:eastAsia="Times New Roman" w:hAnsi="Calibri" w:cs="Calibri"/>
                <w:color w:val="000000"/>
                <w:sz w:val="16"/>
                <w:szCs w:val="16"/>
                <w:lang w:eastAsia="en-GB"/>
              </w:rPr>
            </w:pPr>
            <w:r w:rsidRPr="00D31AF3">
              <w:rPr>
                <w:rFonts w:ascii="Calibri" w:eastAsia="Times New Roman" w:hAnsi="Calibri" w:cs="Calibri"/>
                <w:color w:val="000000"/>
                <w:sz w:val="16"/>
                <w:szCs w:val="16"/>
                <w:lang w:eastAsia="en-GB"/>
              </w:rPr>
              <w:t>p-value = 0.017</w:t>
            </w:r>
          </w:p>
        </w:tc>
      </w:tr>
      <w:tr w:rsidR="005F6FCB" w:rsidRPr="004901B0" w14:paraId="50A434A6" w14:textId="77777777" w:rsidTr="003E5AA2">
        <w:trPr>
          <w:trHeight w:val="84"/>
        </w:trPr>
        <w:tc>
          <w:tcPr>
            <w:tcW w:w="1276" w:type="dxa"/>
            <w:vMerge/>
            <w:tcBorders>
              <w:left w:val="nil"/>
            </w:tcBorders>
            <w:shd w:val="clear" w:color="auto" w:fill="auto"/>
            <w:noWrap/>
            <w:tcMar>
              <w:top w:w="15" w:type="dxa"/>
              <w:left w:w="15" w:type="dxa"/>
              <w:bottom w:w="0" w:type="dxa"/>
              <w:right w:w="15" w:type="dxa"/>
            </w:tcMar>
            <w:vAlign w:val="center"/>
            <w:hideMark/>
          </w:tcPr>
          <w:p w14:paraId="15430F1A" w14:textId="77777777" w:rsidR="005F6FCB" w:rsidRPr="00650F3D" w:rsidRDefault="005F6FCB" w:rsidP="00FA153D">
            <w:pPr>
              <w:jc w:val="center"/>
              <w:rPr>
                <w:rFonts w:ascii="Calibri" w:eastAsia="Times New Roman" w:hAnsi="Calibri" w:cs="Calibri"/>
                <w:i/>
                <w:iCs/>
                <w:color w:val="000000"/>
                <w:sz w:val="20"/>
                <w:szCs w:val="20"/>
                <w:lang w:eastAsia="en-GB"/>
              </w:rPr>
            </w:pPr>
          </w:p>
        </w:tc>
        <w:tc>
          <w:tcPr>
            <w:tcW w:w="1273" w:type="dxa"/>
            <w:vMerge/>
            <w:tcBorders>
              <w:left w:val="nil"/>
              <w:right w:val="single" w:sz="4" w:space="0" w:color="auto"/>
            </w:tcBorders>
            <w:vAlign w:val="center"/>
          </w:tcPr>
          <w:p w14:paraId="48A71BF5" w14:textId="77777777" w:rsidR="005F6FCB" w:rsidRPr="00650F3D"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4DE852BB"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D0CECE" w:themeFill="background2" w:themeFillShade="E6"/>
            <w:vAlign w:val="center"/>
          </w:tcPr>
          <w:p w14:paraId="64BAA9C5" w14:textId="77777777" w:rsidR="005F6FCB" w:rsidRDefault="005F6FCB" w:rsidP="00FA153D">
            <w:pPr>
              <w:jc w:val="center"/>
              <w:rPr>
                <w:rFonts w:ascii="Calibri" w:hAnsi="Calibri" w:cs="Calibri"/>
                <w:color w:val="000000"/>
                <w:sz w:val="20"/>
                <w:szCs w:val="20"/>
              </w:rPr>
            </w:pPr>
            <w:r w:rsidRPr="00650F3D">
              <w:rPr>
                <w:rFonts w:ascii="Calibri" w:hAnsi="Calibri" w:cs="Calibri"/>
                <w:color w:val="000000"/>
                <w:sz w:val="20"/>
                <w:szCs w:val="20"/>
              </w:rPr>
              <w:t>-16.9% (-25.2, -7.8)</w:t>
            </w:r>
          </w:p>
          <w:p w14:paraId="680FE299"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16"/>
                <w:szCs w:val="16"/>
              </w:rPr>
              <w:t>p-value = 5e-04</w:t>
            </w:r>
          </w:p>
        </w:tc>
        <w:tc>
          <w:tcPr>
            <w:tcW w:w="284" w:type="dxa"/>
            <w:tcBorders>
              <w:left w:val="nil"/>
              <w:right w:val="nil"/>
            </w:tcBorders>
            <w:shd w:val="clear" w:color="auto" w:fill="D0CECE" w:themeFill="background2" w:themeFillShade="E6"/>
            <w:vAlign w:val="center"/>
          </w:tcPr>
          <w:p w14:paraId="44750756"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F"/>
            </w:r>
          </w:p>
        </w:tc>
        <w:tc>
          <w:tcPr>
            <w:tcW w:w="1842" w:type="dxa"/>
            <w:tcBorders>
              <w:left w:val="nil"/>
            </w:tcBorders>
            <w:shd w:val="clear" w:color="auto" w:fill="D0CECE" w:themeFill="background2" w:themeFillShade="E6"/>
            <w:vAlign w:val="center"/>
          </w:tcPr>
          <w:p w14:paraId="58A73C77"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-15.1% (-21.3, -8.3)*</w:t>
            </w:r>
          </w:p>
        </w:tc>
        <w:tc>
          <w:tcPr>
            <w:tcW w:w="284" w:type="dxa"/>
            <w:tcBorders>
              <w:left w:val="nil"/>
              <w:right w:val="nil"/>
            </w:tcBorders>
            <w:shd w:val="clear" w:color="auto" w:fill="D0CECE" w:themeFill="background2" w:themeFillShade="E6"/>
            <w:vAlign w:val="center"/>
          </w:tcPr>
          <w:p w14:paraId="22C79359"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D0CECE" w:themeFill="background2" w:themeFillShade="E6"/>
            <w:vAlign w:val="center"/>
          </w:tcPr>
          <w:p w14:paraId="5D6C894F"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-8.5% (-16.0, -0.3)</w:t>
            </w:r>
          </w:p>
          <w:p w14:paraId="27DC7C95" w14:textId="77777777" w:rsidR="005F6FCB" w:rsidRPr="00D31AF3" w:rsidRDefault="005F6FCB" w:rsidP="00FA153D">
            <w:pPr>
              <w:jc w:val="center"/>
              <w:rPr>
                <w:rFonts w:ascii="Calibri" w:eastAsia="Times New Roman" w:hAnsi="Calibri" w:cs="Calibri"/>
                <w:color w:val="000000"/>
                <w:sz w:val="16"/>
                <w:szCs w:val="16"/>
                <w:lang w:eastAsia="en-GB"/>
              </w:rPr>
            </w:pPr>
            <w:r w:rsidRPr="00D31AF3">
              <w:rPr>
                <w:rFonts w:ascii="Calibri" w:eastAsia="Times New Roman" w:hAnsi="Calibri" w:cs="Calibri"/>
                <w:color w:val="000000"/>
                <w:sz w:val="16"/>
                <w:szCs w:val="16"/>
                <w:lang w:eastAsia="en-GB"/>
              </w:rPr>
              <w:t>p-value = 0.0421</w:t>
            </w:r>
          </w:p>
        </w:tc>
      </w:tr>
      <w:tr w:rsidR="005F6FCB" w:rsidRPr="004901B0" w14:paraId="70E1CEAA" w14:textId="77777777" w:rsidTr="003E5AA2">
        <w:trPr>
          <w:trHeight w:val="144"/>
        </w:trPr>
        <w:tc>
          <w:tcPr>
            <w:tcW w:w="1276" w:type="dxa"/>
            <w:vMerge/>
            <w:tcBorders>
              <w:left w:val="nil"/>
            </w:tcBorders>
            <w:shd w:val="clear" w:color="auto" w:fill="auto"/>
            <w:noWrap/>
            <w:tcMar>
              <w:top w:w="15" w:type="dxa"/>
              <w:left w:w="15" w:type="dxa"/>
              <w:bottom w:w="0" w:type="dxa"/>
              <w:right w:w="15" w:type="dxa"/>
            </w:tcMar>
            <w:vAlign w:val="center"/>
            <w:hideMark/>
          </w:tcPr>
          <w:p w14:paraId="468499F3" w14:textId="77777777" w:rsidR="005F6FCB" w:rsidRPr="00650F3D" w:rsidRDefault="005F6FCB" w:rsidP="00FA153D">
            <w:pPr>
              <w:jc w:val="center"/>
              <w:rPr>
                <w:rFonts w:ascii="Calibri" w:eastAsia="Times New Roman" w:hAnsi="Calibri" w:cs="Calibri"/>
                <w:i/>
                <w:iCs/>
                <w:color w:val="000000"/>
                <w:sz w:val="20"/>
                <w:szCs w:val="20"/>
                <w:lang w:eastAsia="en-GB"/>
              </w:rPr>
            </w:pPr>
          </w:p>
        </w:tc>
        <w:tc>
          <w:tcPr>
            <w:tcW w:w="1273" w:type="dxa"/>
            <w:vMerge w:val="restart"/>
            <w:tcBorders>
              <w:left w:val="nil"/>
              <w:right w:val="single" w:sz="4" w:space="0" w:color="auto"/>
            </w:tcBorders>
            <w:vAlign w:val="center"/>
          </w:tcPr>
          <w:p w14:paraId="6812CA5A"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33E9DF0C"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vAlign w:val="center"/>
          </w:tcPr>
          <w:p w14:paraId="2E1EAEF8"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20"/>
                <w:szCs w:val="20"/>
              </w:rPr>
              <w:t>-8.5% (-10.4, -6.6)*</w:t>
            </w:r>
          </w:p>
        </w:tc>
        <w:tc>
          <w:tcPr>
            <w:tcW w:w="284" w:type="dxa"/>
            <w:tcBorders>
              <w:left w:val="nil"/>
              <w:right w:val="nil"/>
            </w:tcBorders>
            <w:vAlign w:val="center"/>
          </w:tcPr>
          <w:p w14:paraId="6A2B313D"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F"/>
            </w:r>
          </w:p>
        </w:tc>
        <w:tc>
          <w:tcPr>
            <w:tcW w:w="1842" w:type="dxa"/>
            <w:tcBorders>
              <w:left w:val="nil"/>
            </w:tcBorders>
            <w:vAlign w:val="center"/>
          </w:tcPr>
          <w:p w14:paraId="160CE680" w14:textId="77777777" w:rsidR="005F6FCB" w:rsidRDefault="005F6FCB" w:rsidP="00FA153D">
            <w:pPr>
              <w:jc w:val="center"/>
              <w:rPr>
                <w:rFonts w:cstheme="minorHAnsi"/>
                <w:color w:val="000000"/>
                <w:sz w:val="20"/>
                <w:szCs w:val="20"/>
              </w:rPr>
            </w:pPr>
            <w:r w:rsidRPr="00650F3D">
              <w:rPr>
                <w:rFonts w:cstheme="minorHAnsi"/>
                <w:color w:val="000000"/>
                <w:sz w:val="20"/>
                <w:szCs w:val="20"/>
              </w:rPr>
              <w:t>-2.7% ( -4.7, -0.6)</w:t>
            </w:r>
          </w:p>
          <w:p w14:paraId="07F38137"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16"/>
                <w:szCs w:val="16"/>
              </w:rPr>
              <w:t>p-value = 0.0114</w:t>
            </w:r>
          </w:p>
        </w:tc>
        <w:tc>
          <w:tcPr>
            <w:tcW w:w="284" w:type="dxa"/>
            <w:tcBorders>
              <w:left w:val="nil"/>
              <w:right w:val="nil"/>
            </w:tcBorders>
            <w:vAlign w:val="center"/>
          </w:tcPr>
          <w:p w14:paraId="23B0BDC0"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vAlign w:val="center"/>
          </w:tcPr>
          <w:p w14:paraId="4E6C2D04"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-2.5% (-4.7, -0.3)</w:t>
            </w:r>
          </w:p>
          <w:p w14:paraId="2707CA1F" w14:textId="77777777" w:rsidR="005F6FCB" w:rsidRPr="00D31AF3" w:rsidRDefault="005F6FCB" w:rsidP="00FA153D">
            <w:pPr>
              <w:jc w:val="center"/>
              <w:rPr>
                <w:rFonts w:ascii="Calibri" w:eastAsia="Times New Roman" w:hAnsi="Calibri" w:cs="Calibri"/>
                <w:color w:val="000000"/>
                <w:sz w:val="16"/>
                <w:szCs w:val="16"/>
                <w:lang w:eastAsia="en-GB"/>
              </w:rPr>
            </w:pPr>
            <w:r w:rsidRPr="00D31AF3">
              <w:rPr>
                <w:rFonts w:ascii="Calibri" w:eastAsia="Times New Roman" w:hAnsi="Calibri" w:cs="Calibri"/>
                <w:color w:val="000000"/>
                <w:sz w:val="16"/>
                <w:szCs w:val="16"/>
                <w:lang w:eastAsia="en-GB"/>
              </w:rPr>
              <w:t>p-value = 0.0286</w:t>
            </w:r>
          </w:p>
        </w:tc>
      </w:tr>
      <w:tr w:rsidR="005F6FCB" w:rsidRPr="004901B0" w14:paraId="240CC4FE" w14:textId="77777777" w:rsidTr="003E5AA2">
        <w:trPr>
          <w:trHeight w:val="49"/>
        </w:trPr>
        <w:tc>
          <w:tcPr>
            <w:tcW w:w="1276" w:type="dxa"/>
            <w:vMerge/>
            <w:tcBorders>
              <w:left w:val="nil"/>
              <w:bottom w:val="single" w:sz="12" w:space="0" w:color="auto"/>
            </w:tcBorders>
            <w:shd w:val="clear" w:color="auto" w:fill="auto"/>
            <w:noWrap/>
            <w:tcMar>
              <w:top w:w="15" w:type="dxa"/>
              <w:left w:w="15" w:type="dxa"/>
              <w:bottom w:w="0" w:type="dxa"/>
              <w:right w:w="15" w:type="dxa"/>
            </w:tcMar>
            <w:vAlign w:val="center"/>
            <w:hideMark/>
          </w:tcPr>
          <w:p w14:paraId="21C253EF" w14:textId="77777777" w:rsidR="005F6FCB" w:rsidRPr="00650F3D" w:rsidRDefault="005F6FCB" w:rsidP="00FA153D">
            <w:pPr>
              <w:jc w:val="center"/>
              <w:rPr>
                <w:rFonts w:ascii="Calibri" w:eastAsia="Times New Roman" w:hAnsi="Calibri" w:cs="Calibri"/>
                <w:i/>
                <w:iCs/>
                <w:color w:val="000000"/>
                <w:sz w:val="20"/>
                <w:szCs w:val="20"/>
                <w:lang w:eastAsia="en-GB"/>
              </w:rPr>
            </w:pPr>
          </w:p>
        </w:tc>
        <w:tc>
          <w:tcPr>
            <w:tcW w:w="1273" w:type="dxa"/>
            <w:vMerge/>
            <w:tcBorders>
              <w:left w:val="nil"/>
              <w:bottom w:val="single" w:sz="12" w:space="0" w:color="auto"/>
              <w:right w:val="single" w:sz="4" w:space="0" w:color="auto"/>
            </w:tcBorders>
            <w:vAlign w:val="center"/>
          </w:tcPr>
          <w:p w14:paraId="371ABB30" w14:textId="77777777" w:rsidR="005F6FCB" w:rsidRPr="00650F3D"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bottom w:val="single" w:sz="12" w:space="0" w:color="auto"/>
              <w:right w:val="nil"/>
            </w:tcBorders>
            <w:shd w:val="clear" w:color="auto" w:fill="D0CECE" w:themeFill="background2" w:themeFillShade="E6"/>
            <w:vAlign w:val="center"/>
          </w:tcPr>
          <w:p w14:paraId="178BDF3B" w14:textId="77777777" w:rsidR="005F6FCB" w:rsidRPr="00EA29EF" w:rsidRDefault="005F6FCB" w:rsidP="00FA153D">
            <w:pPr>
              <w:jc w:val="center"/>
              <w:rPr>
                <w:rFonts w:ascii="Calibri" w:hAnsi="Calibri" w:cs="Calibri"/>
                <w:color w:val="000000"/>
                <w:sz w:val="20"/>
                <w:szCs w:val="20"/>
              </w:rPr>
            </w:pPr>
          </w:p>
        </w:tc>
        <w:tc>
          <w:tcPr>
            <w:tcW w:w="1846" w:type="dxa"/>
            <w:tcBorders>
              <w:left w:val="nil"/>
              <w:bottom w:val="single" w:sz="12" w:space="0" w:color="auto"/>
            </w:tcBorders>
            <w:shd w:val="clear" w:color="auto" w:fill="D0CECE" w:themeFill="background2" w:themeFillShade="E6"/>
            <w:vAlign w:val="center"/>
          </w:tcPr>
          <w:p w14:paraId="6BFF9626"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20"/>
                <w:szCs w:val="20"/>
              </w:rPr>
              <w:t>1.7% (-11.1, 16.2)</w:t>
            </w:r>
          </w:p>
        </w:tc>
        <w:tc>
          <w:tcPr>
            <w:tcW w:w="284" w:type="dxa"/>
            <w:tcBorders>
              <w:left w:val="nil"/>
              <w:bottom w:val="single" w:sz="12" w:space="0" w:color="auto"/>
              <w:right w:val="nil"/>
            </w:tcBorders>
            <w:shd w:val="clear" w:color="auto" w:fill="D0CECE" w:themeFill="background2" w:themeFillShade="E6"/>
            <w:vAlign w:val="center"/>
          </w:tcPr>
          <w:p w14:paraId="47302717" w14:textId="77777777" w:rsidR="005F6FCB" w:rsidRPr="00EA29EF" w:rsidRDefault="005F6FCB" w:rsidP="00FA153D">
            <w:pPr>
              <w:jc w:val="center"/>
              <w:rPr>
                <w:rFonts w:cstheme="minorHAnsi"/>
                <w:color w:val="000000"/>
                <w:sz w:val="20"/>
                <w:szCs w:val="20"/>
              </w:rPr>
            </w:pPr>
          </w:p>
        </w:tc>
        <w:tc>
          <w:tcPr>
            <w:tcW w:w="1842" w:type="dxa"/>
            <w:tcBorders>
              <w:left w:val="nil"/>
              <w:bottom w:val="single" w:sz="12" w:space="0" w:color="auto"/>
            </w:tcBorders>
            <w:shd w:val="clear" w:color="auto" w:fill="D0CECE" w:themeFill="background2" w:themeFillShade="E6"/>
            <w:vAlign w:val="center"/>
          </w:tcPr>
          <w:p w14:paraId="1D587DCA"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11.7% ( -1.2, 26.1)</w:t>
            </w:r>
          </w:p>
        </w:tc>
        <w:tc>
          <w:tcPr>
            <w:tcW w:w="284" w:type="dxa"/>
            <w:tcBorders>
              <w:left w:val="nil"/>
              <w:bottom w:val="single" w:sz="12" w:space="0" w:color="auto"/>
              <w:right w:val="nil"/>
            </w:tcBorders>
            <w:shd w:val="clear" w:color="auto" w:fill="D0CECE" w:themeFill="background2" w:themeFillShade="E6"/>
            <w:vAlign w:val="center"/>
          </w:tcPr>
          <w:p w14:paraId="66DE7F74"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bottom w:val="single" w:sz="12" w:space="0" w:color="auto"/>
              <w:right w:val="nil"/>
            </w:tcBorders>
            <w:shd w:val="clear" w:color="auto" w:fill="D0CECE" w:themeFill="background2" w:themeFillShade="E6"/>
            <w:vAlign w:val="center"/>
          </w:tcPr>
          <w:p w14:paraId="00CC7384"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-14.6% (-23.4, -4.9)</w:t>
            </w:r>
          </w:p>
          <w:p w14:paraId="3E78316C" w14:textId="77777777" w:rsidR="005F6FCB" w:rsidRPr="00D31AF3" w:rsidRDefault="005F6FCB" w:rsidP="00FA153D">
            <w:pPr>
              <w:jc w:val="center"/>
              <w:rPr>
                <w:rFonts w:ascii="Calibri" w:eastAsia="Times New Roman" w:hAnsi="Calibri" w:cs="Calibri"/>
                <w:color w:val="000000"/>
                <w:sz w:val="16"/>
                <w:szCs w:val="16"/>
                <w:lang w:eastAsia="en-GB"/>
              </w:rPr>
            </w:pPr>
            <w:r w:rsidRPr="00D31AF3">
              <w:rPr>
                <w:rFonts w:ascii="Calibri" w:eastAsia="Times New Roman" w:hAnsi="Calibri" w:cs="Calibri"/>
                <w:color w:val="000000"/>
                <w:sz w:val="16"/>
                <w:szCs w:val="16"/>
                <w:lang w:eastAsia="en-GB"/>
              </w:rPr>
              <w:t>p-value = 0.004</w:t>
            </w:r>
          </w:p>
        </w:tc>
      </w:tr>
      <w:tr w:rsidR="005F6FCB" w:rsidRPr="004901B0" w14:paraId="5D4FDF68" w14:textId="77777777" w:rsidTr="003E5AA2">
        <w:trPr>
          <w:trHeight w:val="49"/>
        </w:trPr>
        <w:tc>
          <w:tcPr>
            <w:tcW w:w="1276" w:type="dxa"/>
            <w:vMerge w:val="restart"/>
            <w:tcBorders>
              <w:top w:val="single" w:sz="12" w:space="0" w:color="auto"/>
              <w:left w:val="nil"/>
            </w:tcBorders>
            <w:shd w:val="clear" w:color="auto" w:fill="auto"/>
            <w:noWrap/>
            <w:tcMar>
              <w:top w:w="15" w:type="dxa"/>
              <w:left w:w="15" w:type="dxa"/>
              <w:bottom w:w="0" w:type="dxa"/>
              <w:right w:w="15" w:type="dxa"/>
            </w:tcMar>
            <w:vAlign w:val="center"/>
          </w:tcPr>
          <w:p w14:paraId="18EE1187" w14:textId="77777777" w:rsidR="005F6FCB" w:rsidRPr="00650F3D" w:rsidRDefault="005F6FCB" w:rsidP="00FA153D">
            <w:pPr>
              <w:jc w:val="center"/>
              <w:rPr>
                <w:rFonts w:ascii="Calibri" w:eastAsia="Times New Roman" w:hAnsi="Calibri" w:cs="Calibri"/>
                <w:i/>
                <w:iCs/>
                <w:color w:val="000000"/>
                <w:sz w:val="20"/>
                <w:szCs w:val="20"/>
                <w:lang w:eastAsia="en-GB"/>
              </w:rPr>
            </w:pPr>
            <w:r w:rsidRPr="00650F3D">
              <w:rPr>
                <w:rFonts w:ascii="Calibri" w:eastAsia="Times New Roman" w:hAnsi="Calibri" w:cs="Calibri"/>
                <w:i/>
                <w:iCs/>
                <w:color w:val="000000"/>
                <w:sz w:val="20"/>
                <w:szCs w:val="20"/>
                <w:lang w:eastAsia="en-GB"/>
              </w:rPr>
              <w:t>E. faecalis</w:t>
            </w:r>
          </w:p>
        </w:tc>
        <w:tc>
          <w:tcPr>
            <w:tcW w:w="1273" w:type="dxa"/>
            <w:vMerge w:val="restart"/>
            <w:tcBorders>
              <w:top w:val="single" w:sz="12" w:space="0" w:color="auto"/>
              <w:left w:val="nil"/>
              <w:right w:val="single" w:sz="4" w:space="0" w:color="auto"/>
            </w:tcBorders>
            <w:vAlign w:val="center"/>
          </w:tcPr>
          <w:p w14:paraId="002325F0"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Overall</w:t>
            </w:r>
          </w:p>
        </w:tc>
        <w:tc>
          <w:tcPr>
            <w:tcW w:w="283" w:type="dxa"/>
            <w:tcBorders>
              <w:top w:val="single" w:sz="12" w:space="0" w:color="auto"/>
              <w:left w:val="single" w:sz="4" w:space="0" w:color="auto"/>
              <w:right w:val="nil"/>
            </w:tcBorders>
            <w:vAlign w:val="center"/>
          </w:tcPr>
          <w:p w14:paraId="5F731D03"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top w:val="single" w:sz="12" w:space="0" w:color="auto"/>
              <w:left w:val="nil"/>
            </w:tcBorders>
            <w:shd w:val="clear" w:color="auto" w:fill="auto"/>
            <w:vAlign w:val="center"/>
          </w:tcPr>
          <w:p w14:paraId="5E2CD81A" w14:textId="77777777" w:rsidR="005F6FCB" w:rsidRDefault="005F6FCB" w:rsidP="00FA153D">
            <w:pPr>
              <w:jc w:val="center"/>
              <w:rPr>
                <w:rFonts w:ascii="Calibri" w:hAnsi="Calibri" w:cs="Calibri"/>
                <w:color w:val="000000"/>
                <w:sz w:val="20"/>
                <w:szCs w:val="20"/>
              </w:rPr>
            </w:pPr>
            <w:r w:rsidRPr="00650F3D">
              <w:rPr>
                <w:rFonts w:ascii="Calibri" w:hAnsi="Calibri" w:cs="Calibri"/>
                <w:color w:val="000000"/>
                <w:sz w:val="20"/>
                <w:szCs w:val="20"/>
              </w:rPr>
              <w:t>-5.7% ( -9.4, -1.9)</w:t>
            </w:r>
          </w:p>
          <w:p w14:paraId="796B47C4"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16"/>
                <w:szCs w:val="16"/>
              </w:rPr>
              <w:t>p-value = 0.0035</w:t>
            </w:r>
          </w:p>
        </w:tc>
        <w:tc>
          <w:tcPr>
            <w:tcW w:w="284" w:type="dxa"/>
            <w:tcBorders>
              <w:top w:val="single" w:sz="12" w:space="0" w:color="auto"/>
              <w:left w:val="nil"/>
              <w:right w:val="nil"/>
            </w:tcBorders>
            <w:vAlign w:val="center"/>
          </w:tcPr>
          <w:p w14:paraId="23AD20BE" w14:textId="77777777" w:rsidR="005F6FCB" w:rsidRPr="00EA29EF" w:rsidRDefault="005F6FCB" w:rsidP="00FA153D">
            <w:pPr>
              <w:jc w:val="center"/>
              <w:rPr>
                <w:rFonts w:cstheme="minorHAnsi"/>
                <w:color w:val="000000"/>
                <w:sz w:val="20"/>
                <w:szCs w:val="20"/>
              </w:rPr>
            </w:pPr>
          </w:p>
        </w:tc>
        <w:tc>
          <w:tcPr>
            <w:tcW w:w="1842" w:type="dxa"/>
            <w:tcBorders>
              <w:top w:val="single" w:sz="12" w:space="0" w:color="auto"/>
              <w:left w:val="nil"/>
            </w:tcBorders>
            <w:shd w:val="clear" w:color="auto" w:fill="auto"/>
            <w:vAlign w:val="center"/>
          </w:tcPr>
          <w:p w14:paraId="43CDDA49"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0.7% ( -2.2,  3.7)</w:t>
            </w:r>
          </w:p>
        </w:tc>
        <w:tc>
          <w:tcPr>
            <w:tcW w:w="284" w:type="dxa"/>
            <w:tcBorders>
              <w:top w:val="single" w:sz="12" w:space="0" w:color="auto"/>
              <w:left w:val="nil"/>
              <w:right w:val="nil"/>
            </w:tcBorders>
            <w:vAlign w:val="center"/>
          </w:tcPr>
          <w:p w14:paraId="4B3C0460"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top w:val="single" w:sz="12" w:space="0" w:color="auto"/>
              <w:left w:val="nil"/>
              <w:right w:val="nil"/>
            </w:tcBorders>
            <w:shd w:val="clear" w:color="auto" w:fill="auto"/>
            <w:vAlign w:val="center"/>
          </w:tcPr>
          <w:p w14:paraId="5880B941"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-6.4% (-9.2, -3.6)*</w:t>
            </w:r>
          </w:p>
        </w:tc>
      </w:tr>
      <w:tr w:rsidR="005F6FCB" w:rsidRPr="004901B0" w14:paraId="03AF1D99"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5C3A8F17" w14:textId="77777777" w:rsidR="005F6FCB" w:rsidRPr="00650F3D" w:rsidRDefault="005F6FCB" w:rsidP="00FA153D">
            <w:pPr>
              <w:jc w:val="center"/>
              <w:rPr>
                <w:rFonts w:ascii="Calibri" w:eastAsia="Times New Roman" w:hAnsi="Calibri" w:cs="Calibri"/>
                <w:i/>
                <w:iCs/>
                <w:color w:val="000000"/>
                <w:sz w:val="20"/>
                <w:szCs w:val="20"/>
                <w:lang w:eastAsia="en-GB"/>
              </w:rPr>
            </w:pPr>
          </w:p>
        </w:tc>
        <w:tc>
          <w:tcPr>
            <w:tcW w:w="1273" w:type="dxa"/>
            <w:vMerge/>
            <w:tcBorders>
              <w:left w:val="nil"/>
              <w:right w:val="single" w:sz="4" w:space="0" w:color="auto"/>
            </w:tcBorders>
            <w:vAlign w:val="center"/>
          </w:tcPr>
          <w:p w14:paraId="4D905E4A" w14:textId="77777777" w:rsidR="005F6FCB" w:rsidRPr="00650F3D"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367E1D2B"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1F31BDC2"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20"/>
                <w:szCs w:val="20"/>
              </w:rPr>
              <w:t>0.1% (-11.3, 13.0)</w:t>
            </w:r>
          </w:p>
        </w:tc>
        <w:tc>
          <w:tcPr>
            <w:tcW w:w="284" w:type="dxa"/>
            <w:tcBorders>
              <w:left w:val="nil"/>
              <w:right w:val="nil"/>
            </w:tcBorders>
            <w:shd w:val="clear" w:color="auto" w:fill="D0CECE" w:themeFill="background2" w:themeFillShade="E6"/>
            <w:vAlign w:val="center"/>
          </w:tcPr>
          <w:p w14:paraId="52498BB9"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6A8226A6"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6.5% ( -4.0, 18.2)</w:t>
            </w:r>
          </w:p>
        </w:tc>
        <w:tc>
          <w:tcPr>
            <w:tcW w:w="284" w:type="dxa"/>
            <w:tcBorders>
              <w:left w:val="nil"/>
              <w:right w:val="nil"/>
            </w:tcBorders>
            <w:shd w:val="clear" w:color="auto" w:fill="D0CECE" w:themeFill="background2" w:themeFillShade="E6"/>
            <w:vAlign w:val="center"/>
          </w:tcPr>
          <w:p w14:paraId="1E11A478"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25DF543B"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-9.9% (-20.9,  2.6)</w:t>
            </w:r>
          </w:p>
        </w:tc>
      </w:tr>
      <w:tr w:rsidR="005F6FCB" w:rsidRPr="004901B0" w14:paraId="37314FB3"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700F38F7" w14:textId="77777777" w:rsidR="005F6FCB" w:rsidRPr="00650F3D" w:rsidRDefault="005F6FCB" w:rsidP="00FA153D">
            <w:pPr>
              <w:jc w:val="center"/>
              <w:rPr>
                <w:rFonts w:ascii="Calibri" w:eastAsia="Times New Roman" w:hAnsi="Calibri" w:cs="Calibri"/>
                <w:i/>
                <w:iCs/>
                <w:color w:val="000000"/>
                <w:sz w:val="20"/>
                <w:szCs w:val="20"/>
                <w:lang w:eastAsia="en-GB"/>
              </w:rPr>
            </w:pPr>
          </w:p>
        </w:tc>
        <w:tc>
          <w:tcPr>
            <w:tcW w:w="1273" w:type="dxa"/>
            <w:vMerge w:val="restart"/>
            <w:tcBorders>
              <w:left w:val="nil"/>
              <w:right w:val="single" w:sz="4" w:space="0" w:color="auto"/>
            </w:tcBorders>
            <w:vAlign w:val="center"/>
          </w:tcPr>
          <w:p w14:paraId="13095963"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68B6F5F7"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auto"/>
            <w:vAlign w:val="center"/>
          </w:tcPr>
          <w:p w14:paraId="4E06FE1D" w14:textId="77777777" w:rsidR="005F6FCB" w:rsidRDefault="005F6FCB" w:rsidP="00FA153D">
            <w:pPr>
              <w:jc w:val="center"/>
              <w:rPr>
                <w:rFonts w:ascii="Calibri" w:hAnsi="Calibri" w:cs="Calibri"/>
                <w:color w:val="000000"/>
                <w:sz w:val="20"/>
                <w:szCs w:val="20"/>
              </w:rPr>
            </w:pPr>
            <w:r w:rsidRPr="00650F3D">
              <w:rPr>
                <w:rFonts w:ascii="Calibri" w:hAnsi="Calibri" w:cs="Calibri"/>
                <w:color w:val="000000"/>
                <w:sz w:val="20"/>
                <w:szCs w:val="20"/>
              </w:rPr>
              <w:t>-5.1% ( -9.3, -0.7)</w:t>
            </w:r>
          </w:p>
          <w:p w14:paraId="7D4F8243"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16"/>
                <w:szCs w:val="16"/>
              </w:rPr>
              <w:t>p-value = 0.0229</w:t>
            </w:r>
          </w:p>
        </w:tc>
        <w:tc>
          <w:tcPr>
            <w:tcW w:w="284" w:type="dxa"/>
            <w:tcBorders>
              <w:left w:val="nil"/>
              <w:right w:val="nil"/>
            </w:tcBorders>
            <w:vAlign w:val="center"/>
          </w:tcPr>
          <w:p w14:paraId="6E453B79"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710789F7"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1.4% ( -1.8,  4.7)</w:t>
            </w:r>
          </w:p>
        </w:tc>
        <w:tc>
          <w:tcPr>
            <w:tcW w:w="284" w:type="dxa"/>
            <w:tcBorders>
              <w:left w:val="nil"/>
              <w:right w:val="nil"/>
            </w:tcBorders>
            <w:vAlign w:val="center"/>
          </w:tcPr>
          <w:p w14:paraId="4944B00E"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auto"/>
            <w:vAlign w:val="center"/>
          </w:tcPr>
          <w:p w14:paraId="6B22F581"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-7.1% (-10.1, -4.0)*</w:t>
            </w:r>
          </w:p>
        </w:tc>
      </w:tr>
      <w:tr w:rsidR="005F6FCB" w:rsidRPr="004901B0" w14:paraId="40F48936"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79CB46FD" w14:textId="77777777" w:rsidR="005F6FCB" w:rsidRPr="00650F3D" w:rsidRDefault="005F6FCB" w:rsidP="00FA153D">
            <w:pPr>
              <w:jc w:val="center"/>
              <w:rPr>
                <w:rFonts w:ascii="Calibri" w:eastAsia="Times New Roman" w:hAnsi="Calibri" w:cs="Calibri"/>
                <w:i/>
                <w:iCs/>
                <w:color w:val="000000"/>
                <w:sz w:val="20"/>
                <w:szCs w:val="20"/>
                <w:lang w:eastAsia="en-GB"/>
              </w:rPr>
            </w:pPr>
          </w:p>
        </w:tc>
        <w:tc>
          <w:tcPr>
            <w:tcW w:w="1273" w:type="dxa"/>
            <w:vMerge/>
            <w:tcBorders>
              <w:left w:val="nil"/>
              <w:right w:val="single" w:sz="4" w:space="0" w:color="auto"/>
            </w:tcBorders>
            <w:vAlign w:val="center"/>
          </w:tcPr>
          <w:p w14:paraId="066F4443" w14:textId="77777777" w:rsidR="005F6FCB" w:rsidRPr="00650F3D"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759A64A0"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D0CECE" w:themeFill="background2" w:themeFillShade="E6"/>
            <w:vAlign w:val="center"/>
          </w:tcPr>
          <w:p w14:paraId="3F13475C"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20"/>
                <w:szCs w:val="20"/>
              </w:rPr>
              <w:t>-7.1% (-19.1,  6.8)</w:t>
            </w:r>
          </w:p>
        </w:tc>
        <w:tc>
          <w:tcPr>
            <w:tcW w:w="284" w:type="dxa"/>
            <w:tcBorders>
              <w:left w:val="nil"/>
              <w:right w:val="nil"/>
            </w:tcBorders>
            <w:shd w:val="clear" w:color="auto" w:fill="D0CECE" w:themeFill="background2" w:themeFillShade="E6"/>
            <w:vAlign w:val="center"/>
          </w:tcPr>
          <w:p w14:paraId="61A56A5D"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21EE58BD"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-4.4% (-14.1,  6.4)</w:t>
            </w:r>
          </w:p>
        </w:tc>
        <w:tc>
          <w:tcPr>
            <w:tcW w:w="284" w:type="dxa"/>
            <w:tcBorders>
              <w:left w:val="nil"/>
              <w:right w:val="nil"/>
            </w:tcBorders>
            <w:shd w:val="clear" w:color="auto" w:fill="D0CECE" w:themeFill="background2" w:themeFillShade="E6"/>
            <w:vAlign w:val="center"/>
          </w:tcPr>
          <w:p w14:paraId="4FCF142A"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5645705D"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-9.9% (-21.3,  3.1)</w:t>
            </w:r>
          </w:p>
        </w:tc>
      </w:tr>
      <w:tr w:rsidR="005F6FCB" w:rsidRPr="004901B0" w14:paraId="62119084"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0040A5E7" w14:textId="77777777" w:rsidR="005F6FCB" w:rsidRPr="00650F3D" w:rsidRDefault="005F6FCB" w:rsidP="00FA153D">
            <w:pPr>
              <w:jc w:val="center"/>
              <w:rPr>
                <w:rFonts w:ascii="Calibri" w:eastAsia="Times New Roman" w:hAnsi="Calibri" w:cs="Calibri"/>
                <w:i/>
                <w:iCs/>
                <w:color w:val="000000"/>
                <w:sz w:val="20"/>
                <w:szCs w:val="20"/>
                <w:lang w:eastAsia="en-GB"/>
              </w:rPr>
            </w:pPr>
          </w:p>
        </w:tc>
        <w:tc>
          <w:tcPr>
            <w:tcW w:w="1273" w:type="dxa"/>
            <w:vMerge w:val="restart"/>
            <w:tcBorders>
              <w:left w:val="nil"/>
              <w:right w:val="single" w:sz="4" w:space="0" w:color="auto"/>
            </w:tcBorders>
            <w:vAlign w:val="center"/>
          </w:tcPr>
          <w:p w14:paraId="4B2934C2"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06D9C5E8"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auto"/>
            <w:vAlign w:val="center"/>
          </w:tcPr>
          <w:p w14:paraId="6B8A0575" w14:textId="77777777" w:rsidR="005F6FCB" w:rsidRDefault="005F6FCB" w:rsidP="00FA153D">
            <w:pPr>
              <w:jc w:val="center"/>
              <w:rPr>
                <w:rFonts w:ascii="Calibri" w:hAnsi="Calibri" w:cs="Calibri"/>
                <w:color w:val="000000"/>
                <w:sz w:val="20"/>
                <w:szCs w:val="20"/>
              </w:rPr>
            </w:pPr>
            <w:r w:rsidRPr="00650F3D">
              <w:rPr>
                <w:rFonts w:ascii="Calibri" w:hAnsi="Calibri" w:cs="Calibri"/>
                <w:color w:val="000000"/>
                <w:sz w:val="20"/>
                <w:szCs w:val="20"/>
              </w:rPr>
              <w:t>-6.3% ( -9.9, -2.6)</w:t>
            </w:r>
          </w:p>
          <w:p w14:paraId="290051D7"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16"/>
                <w:szCs w:val="16"/>
              </w:rPr>
              <w:t>p-value = 0.001</w:t>
            </w:r>
          </w:p>
        </w:tc>
        <w:tc>
          <w:tcPr>
            <w:tcW w:w="284" w:type="dxa"/>
            <w:tcBorders>
              <w:left w:val="nil"/>
              <w:right w:val="nil"/>
            </w:tcBorders>
            <w:vAlign w:val="center"/>
          </w:tcPr>
          <w:p w14:paraId="0C507429"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0584EE36"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0.1% ( -2.9,  3.1)</w:t>
            </w:r>
          </w:p>
        </w:tc>
        <w:tc>
          <w:tcPr>
            <w:tcW w:w="284" w:type="dxa"/>
            <w:tcBorders>
              <w:left w:val="nil"/>
              <w:right w:val="nil"/>
            </w:tcBorders>
            <w:vAlign w:val="center"/>
          </w:tcPr>
          <w:p w14:paraId="57B352A0"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auto"/>
            <w:vAlign w:val="center"/>
          </w:tcPr>
          <w:p w14:paraId="1575A922"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-5.7% (-8.5, -2.9)</w:t>
            </w:r>
          </w:p>
          <w:p w14:paraId="5DE62B22"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1e-04</w:t>
            </w:r>
          </w:p>
        </w:tc>
      </w:tr>
      <w:tr w:rsidR="005F6FCB" w:rsidRPr="004901B0" w14:paraId="1DF339F5" w14:textId="77777777" w:rsidTr="003E5AA2">
        <w:trPr>
          <w:trHeight w:val="49"/>
        </w:trPr>
        <w:tc>
          <w:tcPr>
            <w:tcW w:w="1276" w:type="dxa"/>
            <w:vMerge/>
            <w:tcBorders>
              <w:left w:val="nil"/>
              <w:bottom w:val="single" w:sz="12" w:space="0" w:color="auto"/>
            </w:tcBorders>
            <w:shd w:val="clear" w:color="auto" w:fill="auto"/>
            <w:noWrap/>
            <w:tcMar>
              <w:top w:w="15" w:type="dxa"/>
              <w:left w:w="15" w:type="dxa"/>
              <w:bottom w:w="0" w:type="dxa"/>
              <w:right w:w="15" w:type="dxa"/>
            </w:tcMar>
            <w:vAlign w:val="center"/>
          </w:tcPr>
          <w:p w14:paraId="56E1F7A3" w14:textId="77777777" w:rsidR="005F6FCB" w:rsidRPr="00650F3D" w:rsidRDefault="005F6FCB" w:rsidP="00FA153D">
            <w:pPr>
              <w:jc w:val="center"/>
              <w:rPr>
                <w:rFonts w:ascii="Calibri" w:eastAsia="Times New Roman" w:hAnsi="Calibri" w:cs="Calibri"/>
                <w:i/>
                <w:iCs/>
                <w:color w:val="000000"/>
                <w:sz w:val="20"/>
                <w:szCs w:val="20"/>
                <w:lang w:eastAsia="en-GB"/>
              </w:rPr>
            </w:pPr>
          </w:p>
        </w:tc>
        <w:tc>
          <w:tcPr>
            <w:tcW w:w="1273" w:type="dxa"/>
            <w:vMerge/>
            <w:tcBorders>
              <w:left w:val="nil"/>
              <w:bottom w:val="single" w:sz="12" w:space="0" w:color="auto"/>
              <w:right w:val="single" w:sz="4" w:space="0" w:color="auto"/>
            </w:tcBorders>
            <w:vAlign w:val="center"/>
          </w:tcPr>
          <w:p w14:paraId="35E60055" w14:textId="77777777" w:rsidR="005F6FCB" w:rsidRPr="00650F3D"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bottom w:val="single" w:sz="12" w:space="0" w:color="auto"/>
              <w:right w:val="nil"/>
            </w:tcBorders>
            <w:shd w:val="clear" w:color="auto" w:fill="D0CECE" w:themeFill="background2" w:themeFillShade="E6"/>
            <w:vAlign w:val="center"/>
          </w:tcPr>
          <w:p w14:paraId="53A787BB" w14:textId="77777777" w:rsidR="005F6FCB" w:rsidRPr="00EA29EF" w:rsidRDefault="005F6FCB" w:rsidP="00FA153D">
            <w:pPr>
              <w:jc w:val="center"/>
              <w:rPr>
                <w:rFonts w:ascii="Calibri" w:hAnsi="Calibri" w:cs="Calibri"/>
                <w:color w:val="000000"/>
                <w:sz w:val="20"/>
                <w:szCs w:val="20"/>
              </w:rPr>
            </w:pPr>
          </w:p>
        </w:tc>
        <w:tc>
          <w:tcPr>
            <w:tcW w:w="1846" w:type="dxa"/>
            <w:tcBorders>
              <w:left w:val="nil"/>
              <w:bottom w:val="single" w:sz="12" w:space="0" w:color="auto"/>
            </w:tcBorders>
            <w:shd w:val="clear" w:color="auto" w:fill="D0CECE" w:themeFill="background2" w:themeFillShade="E6"/>
            <w:vAlign w:val="center"/>
          </w:tcPr>
          <w:p w14:paraId="5D0EFC61"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20"/>
                <w:szCs w:val="20"/>
              </w:rPr>
              <w:t>7.8% ( -6.2, 23.9)</w:t>
            </w:r>
          </w:p>
        </w:tc>
        <w:tc>
          <w:tcPr>
            <w:tcW w:w="284" w:type="dxa"/>
            <w:tcBorders>
              <w:left w:val="nil"/>
              <w:bottom w:val="single" w:sz="12" w:space="0" w:color="auto"/>
              <w:right w:val="nil"/>
            </w:tcBorders>
            <w:shd w:val="clear" w:color="auto" w:fill="D0CECE" w:themeFill="background2" w:themeFillShade="E6"/>
            <w:vAlign w:val="center"/>
          </w:tcPr>
          <w:p w14:paraId="22F50136"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D"/>
            </w:r>
          </w:p>
        </w:tc>
        <w:tc>
          <w:tcPr>
            <w:tcW w:w="1842" w:type="dxa"/>
            <w:tcBorders>
              <w:left w:val="nil"/>
              <w:bottom w:val="single" w:sz="12" w:space="0" w:color="auto"/>
            </w:tcBorders>
            <w:shd w:val="clear" w:color="auto" w:fill="D0CECE" w:themeFill="background2" w:themeFillShade="E6"/>
            <w:vAlign w:val="center"/>
          </w:tcPr>
          <w:p w14:paraId="2C3C44A4" w14:textId="77777777" w:rsidR="005F6FCB" w:rsidRDefault="005F6FCB" w:rsidP="00FA153D">
            <w:pPr>
              <w:jc w:val="center"/>
              <w:rPr>
                <w:rFonts w:cstheme="minorHAnsi"/>
                <w:color w:val="000000"/>
                <w:sz w:val="20"/>
                <w:szCs w:val="20"/>
              </w:rPr>
            </w:pPr>
            <w:r w:rsidRPr="00650F3D">
              <w:rPr>
                <w:rFonts w:cstheme="minorHAnsi"/>
                <w:color w:val="000000"/>
                <w:sz w:val="20"/>
                <w:szCs w:val="20"/>
              </w:rPr>
              <w:t>18.7% (  4.3, 35.0)</w:t>
            </w:r>
          </w:p>
          <w:p w14:paraId="1F22211F"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16"/>
                <w:szCs w:val="16"/>
              </w:rPr>
              <w:t>p-value = 0.0094</w:t>
            </w:r>
          </w:p>
        </w:tc>
        <w:tc>
          <w:tcPr>
            <w:tcW w:w="284" w:type="dxa"/>
            <w:tcBorders>
              <w:left w:val="nil"/>
              <w:bottom w:val="single" w:sz="12" w:space="0" w:color="auto"/>
              <w:right w:val="nil"/>
            </w:tcBorders>
            <w:shd w:val="clear" w:color="auto" w:fill="D0CECE" w:themeFill="background2" w:themeFillShade="E6"/>
            <w:vAlign w:val="center"/>
          </w:tcPr>
          <w:p w14:paraId="7B5D580F" w14:textId="77777777" w:rsidR="005F6FCB" w:rsidRPr="009A35BA" w:rsidRDefault="005F6FCB" w:rsidP="00FA153D">
            <w:pPr>
              <w:jc w:val="center"/>
              <w:rPr>
                <w:rFonts w:ascii="Calibri" w:hAnsi="Calibri" w:cs="Calibri"/>
                <w:color w:val="000000"/>
                <w:sz w:val="18"/>
                <w:szCs w:val="18"/>
              </w:rPr>
            </w:pPr>
          </w:p>
        </w:tc>
        <w:tc>
          <w:tcPr>
            <w:tcW w:w="1843" w:type="dxa"/>
            <w:tcBorders>
              <w:left w:val="nil"/>
              <w:bottom w:val="single" w:sz="12" w:space="0" w:color="auto"/>
              <w:right w:val="nil"/>
            </w:tcBorders>
            <w:shd w:val="clear" w:color="auto" w:fill="D0CECE" w:themeFill="background2" w:themeFillShade="E6"/>
            <w:vAlign w:val="center"/>
          </w:tcPr>
          <w:p w14:paraId="47082153"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-9.9% (-22.4,  4.6)</w:t>
            </w:r>
          </w:p>
        </w:tc>
      </w:tr>
      <w:tr w:rsidR="005F6FCB" w:rsidRPr="004901B0" w14:paraId="35A16472" w14:textId="77777777" w:rsidTr="003E5AA2">
        <w:trPr>
          <w:trHeight w:val="49"/>
        </w:trPr>
        <w:tc>
          <w:tcPr>
            <w:tcW w:w="1276" w:type="dxa"/>
            <w:vMerge w:val="restart"/>
            <w:tcBorders>
              <w:top w:val="single" w:sz="12" w:space="0" w:color="auto"/>
              <w:left w:val="nil"/>
            </w:tcBorders>
            <w:shd w:val="clear" w:color="auto" w:fill="auto"/>
            <w:noWrap/>
            <w:tcMar>
              <w:top w:w="15" w:type="dxa"/>
              <w:left w:w="15" w:type="dxa"/>
              <w:bottom w:w="0" w:type="dxa"/>
              <w:right w:w="15" w:type="dxa"/>
            </w:tcMar>
            <w:vAlign w:val="center"/>
          </w:tcPr>
          <w:p w14:paraId="17032673" w14:textId="77777777" w:rsidR="005F6FCB" w:rsidRPr="00650F3D" w:rsidRDefault="005F6FCB" w:rsidP="00FA153D">
            <w:pPr>
              <w:jc w:val="center"/>
              <w:rPr>
                <w:rFonts w:ascii="Calibri" w:eastAsia="Times New Roman" w:hAnsi="Calibri" w:cs="Calibri"/>
                <w:i/>
                <w:iCs/>
                <w:color w:val="000000"/>
                <w:sz w:val="20"/>
                <w:szCs w:val="20"/>
                <w:lang w:eastAsia="en-GB"/>
              </w:rPr>
            </w:pPr>
            <w:r w:rsidRPr="00650F3D">
              <w:rPr>
                <w:rFonts w:ascii="Calibri" w:eastAsia="Times New Roman" w:hAnsi="Calibri" w:cs="Calibri"/>
                <w:i/>
                <w:iCs/>
                <w:color w:val="000000"/>
                <w:sz w:val="20"/>
                <w:szCs w:val="20"/>
                <w:lang w:eastAsia="en-GB"/>
              </w:rPr>
              <w:t>E. faecium</w:t>
            </w:r>
          </w:p>
        </w:tc>
        <w:tc>
          <w:tcPr>
            <w:tcW w:w="1273" w:type="dxa"/>
            <w:vMerge w:val="restart"/>
            <w:tcBorders>
              <w:top w:val="single" w:sz="12" w:space="0" w:color="auto"/>
              <w:left w:val="nil"/>
              <w:right w:val="single" w:sz="4" w:space="0" w:color="auto"/>
            </w:tcBorders>
            <w:vAlign w:val="center"/>
          </w:tcPr>
          <w:p w14:paraId="6EE6D753"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eastAsia="Times New Roman" w:hAnsi="Calibri" w:cs="Calibri"/>
                <w:color w:val="000000"/>
                <w:sz w:val="20"/>
                <w:szCs w:val="20"/>
                <w:lang w:eastAsia="en-GB"/>
              </w:rPr>
              <w:t>Overall</w:t>
            </w:r>
          </w:p>
        </w:tc>
        <w:tc>
          <w:tcPr>
            <w:tcW w:w="283" w:type="dxa"/>
            <w:tcBorders>
              <w:top w:val="single" w:sz="12" w:space="0" w:color="auto"/>
              <w:left w:val="single" w:sz="4" w:space="0" w:color="auto"/>
              <w:right w:val="nil"/>
            </w:tcBorders>
            <w:vAlign w:val="center"/>
          </w:tcPr>
          <w:p w14:paraId="28DF8B48"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top w:val="single" w:sz="12" w:space="0" w:color="auto"/>
              <w:left w:val="nil"/>
            </w:tcBorders>
            <w:shd w:val="clear" w:color="auto" w:fill="auto"/>
            <w:vAlign w:val="center"/>
          </w:tcPr>
          <w:p w14:paraId="22EF1403" w14:textId="77777777" w:rsidR="005F6FCB" w:rsidRDefault="005F6FCB" w:rsidP="00FA153D">
            <w:pPr>
              <w:jc w:val="center"/>
              <w:rPr>
                <w:rFonts w:ascii="Calibri" w:hAnsi="Calibri" w:cs="Calibri"/>
                <w:color w:val="000000"/>
                <w:sz w:val="20"/>
                <w:szCs w:val="20"/>
              </w:rPr>
            </w:pPr>
            <w:r w:rsidRPr="00650F3D">
              <w:rPr>
                <w:rFonts w:ascii="Calibri" w:hAnsi="Calibri" w:cs="Calibri"/>
                <w:color w:val="000000"/>
                <w:sz w:val="20"/>
                <w:szCs w:val="20"/>
              </w:rPr>
              <w:t>-9.3% (-14.2, -4.0)</w:t>
            </w:r>
          </w:p>
          <w:p w14:paraId="48DF7C2C"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16"/>
                <w:szCs w:val="16"/>
              </w:rPr>
              <w:t>p-value = 7e-04</w:t>
            </w:r>
          </w:p>
        </w:tc>
        <w:tc>
          <w:tcPr>
            <w:tcW w:w="284" w:type="dxa"/>
            <w:tcBorders>
              <w:top w:val="single" w:sz="12" w:space="0" w:color="auto"/>
              <w:left w:val="nil"/>
              <w:right w:val="nil"/>
            </w:tcBorders>
            <w:vAlign w:val="center"/>
          </w:tcPr>
          <w:p w14:paraId="40AB8FF5" w14:textId="77777777" w:rsidR="005F6FCB" w:rsidRPr="00EA29EF" w:rsidRDefault="005F6FCB" w:rsidP="00FA153D">
            <w:pPr>
              <w:jc w:val="center"/>
              <w:rPr>
                <w:rFonts w:cstheme="minorHAnsi"/>
                <w:color w:val="000000"/>
                <w:sz w:val="20"/>
                <w:szCs w:val="20"/>
              </w:rPr>
            </w:pPr>
          </w:p>
        </w:tc>
        <w:tc>
          <w:tcPr>
            <w:tcW w:w="1842" w:type="dxa"/>
            <w:tcBorders>
              <w:top w:val="single" w:sz="12" w:space="0" w:color="auto"/>
              <w:left w:val="nil"/>
            </w:tcBorders>
            <w:shd w:val="clear" w:color="auto" w:fill="auto"/>
            <w:vAlign w:val="center"/>
          </w:tcPr>
          <w:p w14:paraId="10BE7A08" w14:textId="77777777" w:rsidR="005F6FCB" w:rsidRPr="00650F3D" w:rsidRDefault="005F6FCB" w:rsidP="00FA153D">
            <w:pPr>
              <w:jc w:val="center"/>
              <w:rPr>
                <w:rFonts w:eastAsia="Times New Roman" w:cstheme="minorHAnsi"/>
                <w:color w:val="000000"/>
                <w:sz w:val="20"/>
                <w:szCs w:val="20"/>
                <w:lang w:eastAsia="en-GB"/>
              </w:rPr>
            </w:pPr>
            <w:r w:rsidRPr="00650F3D">
              <w:rPr>
                <w:rFonts w:cstheme="minorHAnsi"/>
                <w:color w:val="000000"/>
                <w:sz w:val="20"/>
                <w:szCs w:val="20"/>
              </w:rPr>
              <w:t>2.4% ( -0.7,  5.7)</w:t>
            </w:r>
          </w:p>
        </w:tc>
        <w:tc>
          <w:tcPr>
            <w:tcW w:w="284" w:type="dxa"/>
            <w:tcBorders>
              <w:top w:val="single" w:sz="12" w:space="0" w:color="auto"/>
              <w:left w:val="nil"/>
              <w:right w:val="nil"/>
            </w:tcBorders>
            <w:vAlign w:val="center"/>
          </w:tcPr>
          <w:p w14:paraId="765C3814" w14:textId="77777777" w:rsidR="005F6FCB" w:rsidRPr="009A35BA" w:rsidRDefault="005F6FCB" w:rsidP="00FA153D">
            <w:pPr>
              <w:jc w:val="center"/>
              <w:rPr>
                <w:rFonts w:ascii="Calibri" w:hAnsi="Calibri" w:cs="Calibri"/>
                <w:color w:val="000000"/>
                <w:sz w:val="18"/>
                <w:szCs w:val="18"/>
              </w:rPr>
            </w:pPr>
          </w:p>
        </w:tc>
        <w:tc>
          <w:tcPr>
            <w:tcW w:w="1843" w:type="dxa"/>
            <w:tcBorders>
              <w:top w:val="single" w:sz="12" w:space="0" w:color="auto"/>
              <w:left w:val="nil"/>
              <w:right w:val="nil"/>
            </w:tcBorders>
            <w:shd w:val="clear" w:color="auto" w:fill="auto"/>
            <w:vAlign w:val="center"/>
          </w:tcPr>
          <w:p w14:paraId="4AE059CA"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-4.5% (-8.6, -0.2)</w:t>
            </w:r>
          </w:p>
          <w:p w14:paraId="1BE18469"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0.0418</w:t>
            </w:r>
          </w:p>
        </w:tc>
      </w:tr>
      <w:tr w:rsidR="005F6FCB" w:rsidRPr="004901B0" w14:paraId="0C01E71F"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0B973B04" w14:textId="77777777" w:rsidR="005F6FCB" w:rsidRPr="00650F3D"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43BFB483" w14:textId="77777777" w:rsidR="005F6FCB" w:rsidRPr="00650F3D"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2C7CD7F0"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4C74DD91" w14:textId="77777777" w:rsidR="005F6FCB" w:rsidRPr="00650F3D" w:rsidRDefault="005F6FCB" w:rsidP="00FA153D">
            <w:pPr>
              <w:jc w:val="center"/>
              <w:rPr>
                <w:rFonts w:ascii="Calibri" w:eastAsia="Times New Roman" w:hAnsi="Calibri" w:cs="Calibri"/>
                <w:color w:val="000000"/>
                <w:sz w:val="20"/>
                <w:szCs w:val="20"/>
                <w:lang w:eastAsia="en-GB"/>
              </w:rPr>
            </w:pPr>
            <w:r w:rsidRPr="00650F3D">
              <w:rPr>
                <w:rFonts w:ascii="Calibri" w:hAnsi="Calibri" w:cs="Calibri"/>
                <w:color w:val="000000"/>
                <w:sz w:val="20"/>
                <w:szCs w:val="20"/>
              </w:rPr>
              <w:t>12.6% ( -4.5, 32.6)</w:t>
            </w:r>
          </w:p>
        </w:tc>
        <w:tc>
          <w:tcPr>
            <w:tcW w:w="284" w:type="dxa"/>
            <w:tcBorders>
              <w:left w:val="nil"/>
              <w:right w:val="nil"/>
            </w:tcBorders>
            <w:shd w:val="clear" w:color="auto" w:fill="D0CECE" w:themeFill="background2" w:themeFillShade="E6"/>
            <w:vAlign w:val="center"/>
          </w:tcPr>
          <w:p w14:paraId="3A64D32D"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D"/>
            </w:r>
          </w:p>
        </w:tc>
        <w:tc>
          <w:tcPr>
            <w:tcW w:w="1842" w:type="dxa"/>
            <w:tcBorders>
              <w:left w:val="nil"/>
            </w:tcBorders>
            <w:shd w:val="clear" w:color="auto" w:fill="D0CECE" w:themeFill="background2" w:themeFillShade="E6"/>
            <w:vAlign w:val="center"/>
          </w:tcPr>
          <w:p w14:paraId="49063479" w14:textId="77777777" w:rsidR="005F6FCB" w:rsidRDefault="005F6FCB" w:rsidP="00FA153D">
            <w:pPr>
              <w:jc w:val="center"/>
              <w:rPr>
                <w:rFonts w:cstheme="minorHAnsi"/>
                <w:color w:val="000000"/>
                <w:sz w:val="20"/>
                <w:szCs w:val="20"/>
              </w:rPr>
            </w:pPr>
            <w:r w:rsidRPr="005F6FCB">
              <w:rPr>
                <w:rFonts w:cstheme="minorHAnsi"/>
                <w:color w:val="000000"/>
                <w:sz w:val="20"/>
                <w:szCs w:val="20"/>
              </w:rPr>
              <w:t>33.3% ( 11.4, 59.4)</w:t>
            </w:r>
          </w:p>
          <w:p w14:paraId="0E17D89B"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t>p-value = 0.0017</w:t>
            </w:r>
          </w:p>
        </w:tc>
        <w:tc>
          <w:tcPr>
            <w:tcW w:w="284" w:type="dxa"/>
            <w:tcBorders>
              <w:left w:val="nil"/>
              <w:right w:val="nil"/>
            </w:tcBorders>
            <w:shd w:val="clear" w:color="auto" w:fill="D0CECE" w:themeFill="background2" w:themeFillShade="E6"/>
            <w:vAlign w:val="center"/>
          </w:tcPr>
          <w:p w14:paraId="43DD7332"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21992A8B"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-4.2% (-18.2, 12.1)</w:t>
            </w:r>
          </w:p>
        </w:tc>
      </w:tr>
      <w:tr w:rsidR="005F6FCB" w:rsidRPr="004901B0" w14:paraId="77F4BC5A"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400C54D2"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341EDDD9"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1F319458"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auto"/>
            <w:vAlign w:val="center"/>
          </w:tcPr>
          <w:p w14:paraId="4C14A486"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-8.8% (-15.4, -1.7)</w:t>
            </w:r>
          </w:p>
          <w:p w14:paraId="4EF87721"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0.0162</w:t>
            </w:r>
          </w:p>
        </w:tc>
        <w:tc>
          <w:tcPr>
            <w:tcW w:w="284" w:type="dxa"/>
            <w:tcBorders>
              <w:left w:val="nil"/>
              <w:right w:val="nil"/>
            </w:tcBorders>
            <w:vAlign w:val="center"/>
          </w:tcPr>
          <w:p w14:paraId="2CFF0DA6"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4FBB58EB"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2.0% ( -1.8,  6.0)</w:t>
            </w:r>
          </w:p>
        </w:tc>
        <w:tc>
          <w:tcPr>
            <w:tcW w:w="284" w:type="dxa"/>
            <w:tcBorders>
              <w:left w:val="nil"/>
              <w:right w:val="nil"/>
            </w:tcBorders>
            <w:vAlign w:val="center"/>
          </w:tcPr>
          <w:p w14:paraId="614F1160"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auto"/>
            <w:vAlign w:val="center"/>
          </w:tcPr>
          <w:p w14:paraId="315A8032"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-4.4% (-8.8,  0.2)</w:t>
            </w:r>
          </w:p>
        </w:tc>
      </w:tr>
      <w:tr w:rsidR="005F6FCB" w:rsidRPr="004901B0" w14:paraId="075FDA4F"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02EABFC3"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02CB4115"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4A8C80AC"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0B31203F"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5.4% (-13.2, 28.2)</w:t>
            </w:r>
          </w:p>
        </w:tc>
        <w:tc>
          <w:tcPr>
            <w:tcW w:w="284" w:type="dxa"/>
            <w:tcBorders>
              <w:left w:val="nil"/>
              <w:right w:val="nil"/>
            </w:tcBorders>
            <w:shd w:val="clear" w:color="auto" w:fill="D0CECE" w:themeFill="background2" w:themeFillShade="E6"/>
            <w:vAlign w:val="center"/>
          </w:tcPr>
          <w:p w14:paraId="76AED3F2"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2C05DA8F"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13.1% (-15.8, 51.9)</w:t>
            </w:r>
          </w:p>
        </w:tc>
        <w:tc>
          <w:tcPr>
            <w:tcW w:w="284" w:type="dxa"/>
            <w:tcBorders>
              <w:left w:val="nil"/>
              <w:right w:val="nil"/>
            </w:tcBorders>
            <w:shd w:val="clear" w:color="auto" w:fill="D0CECE" w:themeFill="background2" w:themeFillShade="E6"/>
            <w:vAlign w:val="center"/>
          </w:tcPr>
          <w:p w14:paraId="779E6C4C"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13ADA356"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-3.0% (-19.3, 16.8)</w:t>
            </w:r>
          </w:p>
        </w:tc>
      </w:tr>
      <w:tr w:rsidR="005F6FCB" w:rsidRPr="004901B0" w14:paraId="7EE073A2"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0346C7CB"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4D6B67F9"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2C80A243"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auto"/>
            <w:vAlign w:val="center"/>
          </w:tcPr>
          <w:p w14:paraId="5DDDB6E9"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-9.7% (-14.3, -4.9)*</w:t>
            </w:r>
          </w:p>
          <w:p w14:paraId="1DBEE8EE"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1e-04</w:t>
            </w:r>
          </w:p>
        </w:tc>
        <w:tc>
          <w:tcPr>
            <w:tcW w:w="284" w:type="dxa"/>
            <w:tcBorders>
              <w:left w:val="nil"/>
              <w:right w:val="nil"/>
            </w:tcBorders>
            <w:vAlign w:val="center"/>
          </w:tcPr>
          <w:p w14:paraId="3FFAB599"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10157ED5"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2.9% ( -1.2,  7.1)</w:t>
            </w:r>
          </w:p>
        </w:tc>
        <w:tc>
          <w:tcPr>
            <w:tcW w:w="284" w:type="dxa"/>
            <w:tcBorders>
              <w:left w:val="nil"/>
              <w:right w:val="nil"/>
            </w:tcBorders>
            <w:vAlign w:val="center"/>
          </w:tcPr>
          <w:p w14:paraId="23AF7976"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auto"/>
            <w:vAlign w:val="center"/>
          </w:tcPr>
          <w:p w14:paraId="1DD373AB"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-4.6% (-8.8, -0.2)</w:t>
            </w:r>
          </w:p>
          <w:p w14:paraId="54092BC1"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0.0406</w:t>
            </w:r>
          </w:p>
        </w:tc>
      </w:tr>
      <w:tr w:rsidR="005F6FCB" w:rsidRPr="004901B0" w14:paraId="498466D8" w14:textId="77777777" w:rsidTr="003E5AA2">
        <w:trPr>
          <w:trHeight w:val="49"/>
        </w:trPr>
        <w:tc>
          <w:tcPr>
            <w:tcW w:w="1276" w:type="dxa"/>
            <w:vMerge/>
            <w:tcBorders>
              <w:left w:val="nil"/>
              <w:bottom w:val="single" w:sz="12" w:space="0" w:color="auto"/>
            </w:tcBorders>
            <w:shd w:val="clear" w:color="auto" w:fill="auto"/>
            <w:noWrap/>
            <w:tcMar>
              <w:top w:w="15" w:type="dxa"/>
              <w:left w:w="15" w:type="dxa"/>
              <w:bottom w:w="0" w:type="dxa"/>
              <w:right w:w="15" w:type="dxa"/>
            </w:tcMar>
            <w:vAlign w:val="center"/>
          </w:tcPr>
          <w:p w14:paraId="03C11CF8"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bottom w:val="single" w:sz="12" w:space="0" w:color="auto"/>
              <w:right w:val="single" w:sz="4" w:space="0" w:color="auto"/>
            </w:tcBorders>
            <w:vAlign w:val="center"/>
          </w:tcPr>
          <w:p w14:paraId="2281072D"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bottom w:val="single" w:sz="12" w:space="0" w:color="auto"/>
              <w:right w:val="nil"/>
            </w:tcBorders>
            <w:shd w:val="clear" w:color="auto" w:fill="D0CECE" w:themeFill="background2" w:themeFillShade="E6"/>
            <w:vAlign w:val="center"/>
          </w:tcPr>
          <w:p w14:paraId="4AFCFBD9" w14:textId="77777777" w:rsidR="005F6FCB" w:rsidRPr="00EA29EF" w:rsidRDefault="005F6FCB" w:rsidP="00FA153D">
            <w:pPr>
              <w:jc w:val="center"/>
              <w:rPr>
                <w:rFonts w:ascii="Calibri" w:hAnsi="Calibri" w:cs="Calibri"/>
                <w:color w:val="000000"/>
                <w:sz w:val="20"/>
                <w:szCs w:val="20"/>
              </w:rPr>
            </w:pPr>
          </w:p>
        </w:tc>
        <w:tc>
          <w:tcPr>
            <w:tcW w:w="1846" w:type="dxa"/>
            <w:tcBorders>
              <w:left w:val="nil"/>
              <w:bottom w:val="single" w:sz="12" w:space="0" w:color="auto"/>
            </w:tcBorders>
            <w:shd w:val="clear" w:color="auto" w:fill="D0CECE" w:themeFill="background2" w:themeFillShade="E6"/>
            <w:vAlign w:val="center"/>
          </w:tcPr>
          <w:p w14:paraId="66569E01"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20.2% ( -3.6, 49.9)</w:t>
            </w:r>
          </w:p>
        </w:tc>
        <w:tc>
          <w:tcPr>
            <w:tcW w:w="284" w:type="dxa"/>
            <w:tcBorders>
              <w:left w:val="nil"/>
              <w:bottom w:val="single" w:sz="12" w:space="0" w:color="auto"/>
              <w:right w:val="nil"/>
            </w:tcBorders>
            <w:shd w:val="clear" w:color="auto" w:fill="D0CECE" w:themeFill="background2" w:themeFillShade="E6"/>
            <w:vAlign w:val="center"/>
          </w:tcPr>
          <w:p w14:paraId="23F874F7" w14:textId="77777777" w:rsidR="005F6FCB" w:rsidRPr="00EA29EF" w:rsidRDefault="005F6FCB" w:rsidP="00FA153D">
            <w:pPr>
              <w:jc w:val="center"/>
              <w:rPr>
                <w:rFonts w:cstheme="minorHAnsi"/>
                <w:color w:val="000000"/>
                <w:sz w:val="20"/>
                <w:szCs w:val="20"/>
              </w:rPr>
            </w:pPr>
          </w:p>
        </w:tc>
        <w:tc>
          <w:tcPr>
            <w:tcW w:w="1842" w:type="dxa"/>
            <w:tcBorders>
              <w:left w:val="nil"/>
              <w:bottom w:val="single" w:sz="12" w:space="0" w:color="auto"/>
            </w:tcBorders>
            <w:shd w:val="clear" w:color="auto" w:fill="D0CECE" w:themeFill="background2" w:themeFillShade="E6"/>
            <w:vAlign w:val="center"/>
          </w:tcPr>
          <w:p w14:paraId="0DABF117"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57.0% ( 29.5, 90.3)*</w:t>
            </w:r>
          </w:p>
        </w:tc>
        <w:tc>
          <w:tcPr>
            <w:tcW w:w="284" w:type="dxa"/>
            <w:tcBorders>
              <w:left w:val="nil"/>
              <w:bottom w:val="single" w:sz="12" w:space="0" w:color="auto"/>
              <w:right w:val="nil"/>
            </w:tcBorders>
            <w:shd w:val="clear" w:color="auto" w:fill="D0CECE" w:themeFill="background2" w:themeFillShade="E6"/>
            <w:vAlign w:val="center"/>
          </w:tcPr>
          <w:p w14:paraId="184CAC2A" w14:textId="77777777" w:rsidR="005F6FCB" w:rsidRPr="009A35BA" w:rsidRDefault="005F6FCB" w:rsidP="00FA153D">
            <w:pPr>
              <w:jc w:val="center"/>
              <w:rPr>
                <w:rFonts w:ascii="Calibri" w:hAnsi="Calibri" w:cs="Calibri"/>
                <w:color w:val="000000"/>
                <w:sz w:val="18"/>
                <w:szCs w:val="18"/>
              </w:rPr>
            </w:pPr>
          </w:p>
        </w:tc>
        <w:tc>
          <w:tcPr>
            <w:tcW w:w="1843" w:type="dxa"/>
            <w:tcBorders>
              <w:left w:val="nil"/>
              <w:bottom w:val="single" w:sz="12" w:space="0" w:color="auto"/>
              <w:right w:val="nil"/>
            </w:tcBorders>
            <w:shd w:val="clear" w:color="auto" w:fill="D0CECE" w:themeFill="background2" w:themeFillShade="E6"/>
            <w:vAlign w:val="center"/>
          </w:tcPr>
          <w:p w14:paraId="5075928F"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-5.5% (-20.7, 12.6)</w:t>
            </w:r>
          </w:p>
        </w:tc>
      </w:tr>
      <w:tr w:rsidR="005F6FCB" w:rsidRPr="004901B0" w14:paraId="1F3E0B28" w14:textId="77777777" w:rsidTr="003E5AA2">
        <w:trPr>
          <w:trHeight w:val="49"/>
        </w:trPr>
        <w:tc>
          <w:tcPr>
            <w:tcW w:w="1276" w:type="dxa"/>
            <w:vMerge w:val="restart"/>
            <w:tcBorders>
              <w:top w:val="single" w:sz="12" w:space="0" w:color="auto"/>
              <w:left w:val="nil"/>
            </w:tcBorders>
            <w:shd w:val="clear" w:color="auto" w:fill="auto"/>
            <w:noWrap/>
            <w:tcMar>
              <w:top w:w="15" w:type="dxa"/>
              <w:left w:w="15" w:type="dxa"/>
              <w:bottom w:w="0" w:type="dxa"/>
              <w:right w:w="15" w:type="dxa"/>
            </w:tcMar>
            <w:vAlign w:val="center"/>
          </w:tcPr>
          <w:p w14:paraId="776A3FB6" w14:textId="77777777" w:rsidR="005F6FCB" w:rsidRPr="005F6FCB" w:rsidRDefault="005F6FCB" w:rsidP="00FA153D">
            <w:pPr>
              <w:jc w:val="center"/>
              <w:rPr>
                <w:rFonts w:ascii="Calibri" w:eastAsia="Times New Roman" w:hAnsi="Calibri" w:cs="Calibri"/>
                <w:i/>
                <w:iCs/>
                <w:color w:val="000000"/>
                <w:sz w:val="20"/>
                <w:szCs w:val="20"/>
                <w:lang w:eastAsia="en-GB"/>
              </w:rPr>
            </w:pPr>
            <w:r w:rsidRPr="005F6FCB">
              <w:rPr>
                <w:rFonts w:ascii="Calibri" w:eastAsia="Times New Roman" w:hAnsi="Calibri" w:cs="Calibri"/>
                <w:i/>
                <w:iCs/>
                <w:color w:val="000000"/>
                <w:sz w:val="20"/>
                <w:szCs w:val="20"/>
                <w:lang w:eastAsia="en-GB"/>
              </w:rPr>
              <w:t>E. coli</w:t>
            </w:r>
          </w:p>
        </w:tc>
        <w:tc>
          <w:tcPr>
            <w:tcW w:w="1273" w:type="dxa"/>
            <w:vMerge w:val="restart"/>
            <w:tcBorders>
              <w:top w:val="single" w:sz="12" w:space="0" w:color="auto"/>
              <w:left w:val="nil"/>
              <w:right w:val="single" w:sz="4" w:space="0" w:color="auto"/>
            </w:tcBorders>
            <w:vAlign w:val="center"/>
          </w:tcPr>
          <w:p w14:paraId="421B21C0"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Overall</w:t>
            </w:r>
          </w:p>
        </w:tc>
        <w:tc>
          <w:tcPr>
            <w:tcW w:w="283" w:type="dxa"/>
            <w:tcBorders>
              <w:top w:val="single" w:sz="12" w:space="0" w:color="auto"/>
              <w:left w:val="single" w:sz="4" w:space="0" w:color="auto"/>
              <w:right w:val="nil"/>
            </w:tcBorders>
            <w:vAlign w:val="center"/>
          </w:tcPr>
          <w:p w14:paraId="25EAADAD"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top w:val="single" w:sz="12" w:space="0" w:color="auto"/>
              <w:left w:val="nil"/>
            </w:tcBorders>
            <w:shd w:val="clear" w:color="auto" w:fill="auto"/>
            <w:vAlign w:val="center"/>
          </w:tcPr>
          <w:p w14:paraId="3715810B"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-1.4% ( -2.6, -0.1)*</w:t>
            </w:r>
          </w:p>
          <w:p w14:paraId="4F044981"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0.0319</w:t>
            </w:r>
          </w:p>
        </w:tc>
        <w:tc>
          <w:tcPr>
            <w:tcW w:w="284" w:type="dxa"/>
            <w:tcBorders>
              <w:top w:val="single" w:sz="12" w:space="0" w:color="auto"/>
              <w:left w:val="nil"/>
              <w:right w:val="nil"/>
            </w:tcBorders>
            <w:vAlign w:val="center"/>
          </w:tcPr>
          <w:p w14:paraId="7284B0C7" w14:textId="77777777" w:rsidR="005F6FCB" w:rsidRPr="00EA29EF" w:rsidRDefault="005F6FCB" w:rsidP="00FA153D">
            <w:pPr>
              <w:jc w:val="center"/>
              <w:rPr>
                <w:rFonts w:cstheme="minorHAnsi"/>
                <w:color w:val="000000"/>
                <w:sz w:val="20"/>
                <w:szCs w:val="20"/>
              </w:rPr>
            </w:pPr>
          </w:p>
        </w:tc>
        <w:tc>
          <w:tcPr>
            <w:tcW w:w="1842" w:type="dxa"/>
            <w:tcBorders>
              <w:top w:val="single" w:sz="12" w:space="0" w:color="auto"/>
              <w:left w:val="nil"/>
            </w:tcBorders>
            <w:shd w:val="clear" w:color="auto" w:fill="auto"/>
            <w:vAlign w:val="center"/>
          </w:tcPr>
          <w:p w14:paraId="677EB71B"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-1.0% ( -1.9,  0.0)</w:t>
            </w:r>
          </w:p>
        </w:tc>
        <w:tc>
          <w:tcPr>
            <w:tcW w:w="284" w:type="dxa"/>
            <w:tcBorders>
              <w:top w:val="single" w:sz="12" w:space="0" w:color="auto"/>
              <w:left w:val="nil"/>
              <w:right w:val="nil"/>
            </w:tcBorders>
            <w:vAlign w:val="center"/>
          </w:tcPr>
          <w:p w14:paraId="0343678C" w14:textId="77777777" w:rsidR="005F6FCB" w:rsidRPr="009A35BA" w:rsidRDefault="005F6FCB" w:rsidP="00FA153D">
            <w:pPr>
              <w:jc w:val="center"/>
              <w:rPr>
                <w:rFonts w:ascii="Calibri" w:hAnsi="Calibri" w:cs="Calibri"/>
                <w:color w:val="000000"/>
                <w:sz w:val="18"/>
                <w:szCs w:val="18"/>
              </w:rPr>
            </w:pPr>
          </w:p>
        </w:tc>
        <w:tc>
          <w:tcPr>
            <w:tcW w:w="1843" w:type="dxa"/>
            <w:tcBorders>
              <w:top w:val="single" w:sz="12" w:space="0" w:color="auto"/>
              <w:left w:val="nil"/>
              <w:right w:val="nil"/>
            </w:tcBorders>
            <w:shd w:val="clear" w:color="auto" w:fill="auto"/>
            <w:vAlign w:val="center"/>
          </w:tcPr>
          <w:p w14:paraId="4BE80614"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-0.1% (-1.1,  1.0)</w:t>
            </w:r>
          </w:p>
        </w:tc>
      </w:tr>
      <w:tr w:rsidR="005F6FCB" w:rsidRPr="004901B0" w14:paraId="30CD8A77"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2A3EB880"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4338DE77"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77BB5E82"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6A2594EA"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-2.8% ( -8.9,  3.7)</w:t>
            </w:r>
          </w:p>
        </w:tc>
        <w:tc>
          <w:tcPr>
            <w:tcW w:w="284" w:type="dxa"/>
            <w:tcBorders>
              <w:left w:val="nil"/>
              <w:right w:val="nil"/>
            </w:tcBorders>
            <w:shd w:val="clear" w:color="auto" w:fill="D0CECE" w:themeFill="background2" w:themeFillShade="E6"/>
            <w:vAlign w:val="center"/>
          </w:tcPr>
          <w:p w14:paraId="3ECEC03B"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1CB16E81"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-1.6% ( -5.3,  2.3)</w:t>
            </w:r>
          </w:p>
        </w:tc>
        <w:tc>
          <w:tcPr>
            <w:tcW w:w="284" w:type="dxa"/>
            <w:tcBorders>
              <w:left w:val="nil"/>
              <w:right w:val="nil"/>
            </w:tcBorders>
            <w:shd w:val="clear" w:color="auto" w:fill="D0CECE" w:themeFill="background2" w:themeFillShade="E6"/>
            <w:vAlign w:val="center"/>
          </w:tcPr>
          <w:p w14:paraId="5DE900E3"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4ED3DCE1"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-4.5% (-8.8,  0.1)</w:t>
            </w:r>
          </w:p>
        </w:tc>
      </w:tr>
      <w:tr w:rsidR="005F6FCB" w:rsidRPr="004901B0" w14:paraId="2EFB0F49"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5845D231"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099D8F46"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7C8E325D"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auto"/>
            <w:vAlign w:val="center"/>
          </w:tcPr>
          <w:p w14:paraId="762F13FD"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0.0% ( -1.3,  1.4)</w:t>
            </w:r>
          </w:p>
        </w:tc>
        <w:tc>
          <w:tcPr>
            <w:tcW w:w="284" w:type="dxa"/>
            <w:tcBorders>
              <w:left w:val="nil"/>
              <w:right w:val="nil"/>
            </w:tcBorders>
            <w:vAlign w:val="center"/>
          </w:tcPr>
          <w:p w14:paraId="071EDB02"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45C48636"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-0.4% ( -1.4,  0.6)</w:t>
            </w:r>
          </w:p>
        </w:tc>
        <w:tc>
          <w:tcPr>
            <w:tcW w:w="284" w:type="dxa"/>
            <w:tcBorders>
              <w:left w:val="nil"/>
              <w:right w:val="nil"/>
            </w:tcBorders>
            <w:vAlign w:val="center"/>
          </w:tcPr>
          <w:p w14:paraId="1F5D9F15"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auto"/>
            <w:vAlign w:val="center"/>
          </w:tcPr>
          <w:p w14:paraId="65ACBDD2"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0.5% (-0.6,  1.6)</w:t>
            </w:r>
          </w:p>
        </w:tc>
      </w:tr>
      <w:tr w:rsidR="005F6FCB" w:rsidRPr="004901B0" w14:paraId="79DCACDB"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70862FDE"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66E75B5F"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54A931F0"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D0CECE" w:themeFill="background2" w:themeFillShade="E6"/>
            <w:vAlign w:val="center"/>
          </w:tcPr>
          <w:p w14:paraId="79EDA9A3"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-7.5% (-13.6, -0.9)</w:t>
            </w:r>
          </w:p>
          <w:p w14:paraId="2D91D02C"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0.0256</w:t>
            </w:r>
          </w:p>
        </w:tc>
        <w:tc>
          <w:tcPr>
            <w:tcW w:w="284" w:type="dxa"/>
            <w:tcBorders>
              <w:left w:val="nil"/>
              <w:right w:val="nil"/>
            </w:tcBorders>
            <w:shd w:val="clear" w:color="auto" w:fill="D0CECE" w:themeFill="background2" w:themeFillShade="E6"/>
            <w:vAlign w:val="center"/>
          </w:tcPr>
          <w:p w14:paraId="4DEBE87F"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F"/>
            </w:r>
          </w:p>
        </w:tc>
        <w:tc>
          <w:tcPr>
            <w:tcW w:w="1842" w:type="dxa"/>
            <w:tcBorders>
              <w:left w:val="nil"/>
            </w:tcBorders>
            <w:shd w:val="clear" w:color="auto" w:fill="D0CECE" w:themeFill="background2" w:themeFillShade="E6"/>
            <w:vAlign w:val="center"/>
          </w:tcPr>
          <w:p w14:paraId="6E433909" w14:textId="77777777" w:rsidR="005F6FCB" w:rsidRDefault="005F6FCB" w:rsidP="00FA153D">
            <w:pPr>
              <w:jc w:val="center"/>
              <w:rPr>
                <w:rFonts w:cstheme="minorHAnsi"/>
                <w:color w:val="000000"/>
                <w:sz w:val="20"/>
                <w:szCs w:val="20"/>
              </w:rPr>
            </w:pPr>
            <w:r w:rsidRPr="005F6FCB">
              <w:rPr>
                <w:rFonts w:cstheme="minorHAnsi"/>
                <w:color w:val="000000"/>
                <w:sz w:val="20"/>
                <w:szCs w:val="20"/>
              </w:rPr>
              <w:t>-6.7% (-10.7, -2.4)</w:t>
            </w:r>
          </w:p>
          <w:p w14:paraId="23EFF380"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t>p-value = 0.0024</w:t>
            </w:r>
          </w:p>
        </w:tc>
        <w:tc>
          <w:tcPr>
            <w:tcW w:w="284" w:type="dxa"/>
            <w:tcBorders>
              <w:left w:val="nil"/>
              <w:right w:val="nil"/>
            </w:tcBorders>
            <w:shd w:val="clear" w:color="auto" w:fill="D0CECE" w:themeFill="background2" w:themeFillShade="E6"/>
            <w:vAlign w:val="center"/>
          </w:tcPr>
          <w:p w14:paraId="475D3843"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5E44361C"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-4.5% (-9.7,  0.9)</w:t>
            </w:r>
          </w:p>
        </w:tc>
      </w:tr>
      <w:tr w:rsidR="005F6FCB" w:rsidRPr="004901B0" w14:paraId="635700D7"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21E041D9"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334AF813"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5E1BCD5D"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auto"/>
            <w:vAlign w:val="center"/>
          </w:tcPr>
          <w:p w14:paraId="6BA2482B"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-2.8% ( -4.1, -1.4)</w:t>
            </w:r>
          </w:p>
          <w:p w14:paraId="4BB77C3A"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1e-04</w:t>
            </w:r>
          </w:p>
        </w:tc>
        <w:tc>
          <w:tcPr>
            <w:tcW w:w="284" w:type="dxa"/>
            <w:tcBorders>
              <w:left w:val="nil"/>
              <w:right w:val="nil"/>
            </w:tcBorders>
            <w:vAlign w:val="center"/>
          </w:tcPr>
          <w:p w14:paraId="59259868"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F"/>
            </w:r>
          </w:p>
        </w:tc>
        <w:tc>
          <w:tcPr>
            <w:tcW w:w="1842" w:type="dxa"/>
            <w:tcBorders>
              <w:left w:val="nil"/>
            </w:tcBorders>
            <w:shd w:val="clear" w:color="auto" w:fill="auto"/>
            <w:vAlign w:val="center"/>
          </w:tcPr>
          <w:p w14:paraId="1254B7BC" w14:textId="77777777" w:rsidR="005F6FCB" w:rsidRDefault="005F6FCB" w:rsidP="00FA153D">
            <w:pPr>
              <w:jc w:val="center"/>
              <w:rPr>
                <w:rFonts w:cstheme="minorHAnsi"/>
                <w:color w:val="000000"/>
                <w:sz w:val="20"/>
                <w:szCs w:val="20"/>
              </w:rPr>
            </w:pPr>
            <w:r w:rsidRPr="005F6FCB">
              <w:rPr>
                <w:rFonts w:cstheme="minorHAnsi"/>
                <w:color w:val="000000"/>
                <w:sz w:val="20"/>
                <w:szCs w:val="20"/>
              </w:rPr>
              <w:t>-1.5% ( -2.7, -0.3)</w:t>
            </w:r>
          </w:p>
          <w:p w14:paraId="571954A1"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t>p-value = 0.012</w:t>
            </w:r>
          </w:p>
        </w:tc>
        <w:tc>
          <w:tcPr>
            <w:tcW w:w="284" w:type="dxa"/>
            <w:tcBorders>
              <w:left w:val="nil"/>
              <w:right w:val="nil"/>
            </w:tcBorders>
            <w:vAlign w:val="center"/>
          </w:tcPr>
          <w:p w14:paraId="01D07A36"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auto"/>
            <w:vAlign w:val="center"/>
          </w:tcPr>
          <w:p w14:paraId="35ED154D"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-0.6% (-1.8,  0.6)</w:t>
            </w:r>
          </w:p>
        </w:tc>
      </w:tr>
      <w:tr w:rsidR="005F6FCB" w:rsidRPr="004901B0" w14:paraId="464D6CFA" w14:textId="77777777" w:rsidTr="003E5AA2">
        <w:trPr>
          <w:trHeight w:val="49"/>
        </w:trPr>
        <w:tc>
          <w:tcPr>
            <w:tcW w:w="1276" w:type="dxa"/>
            <w:vMerge/>
            <w:tcBorders>
              <w:left w:val="nil"/>
              <w:bottom w:val="single" w:sz="12" w:space="0" w:color="auto"/>
            </w:tcBorders>
            <w:shd w:val="clear" w:color="auto" w:fill="auto"/>
            <w:noWrap/>
            <w:tcMar>
              <w:top w:w="15" w:type="dxa"/>
              <w:left w:w="15" w:type="dxa"/>
              <w:bottom w:w="0" w:type="dxa"/>
              <w:right w:w="15" w:type="dxa"/>
            </w:tcMar>
            <w:vAlign w:val="center"/>
          </w:tcPr>
          <w:p w14:paraId="1BC82F18"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bottom w:val="single" w:sz="12" w:space="0" w:color="auto"/>
              <w:right w:val="single" w:sz="4" w:space="0" w:color="auto"/>
            </w:tcBorders>
            <w:vAlign w:val="center"/>
          </w:tcPr>
          <w:p w14:paraId="69C37047"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bottom w:val="single" w:sz="12" w:space="0" w:color="auto"/>
              <w:right w:val="nil"/>
            </w:tcBorders>
            <w:shd w:val="clear" w:color="auto" w:fill="D0CECE" w:themeFill="background2" w:themeFillShade="E6"/>
            <w:vAlign w:val="center"/>
          </w:tcPr>
          <w:p w14:paraId="09B7355A" w14:textId="77777777" w:rsidR="005F6FCB" w:rsidRPr="00EA29EF" w:rsidRDefault="005F6FCB" w:rsidP="00FA153D">
            <w:pPr>
              <w:jc w:val="center"/>
              <w:rPr>
                <w:rFonts w:ascii="Calibri" w:hAnsi="Calibri" w:cs="Calibri"/>
                <w:color w:val="000000"/>
                <w:sz w:val="20"/>
                <w:szCs w:val="20"/>
              </w:rPr>
            </w:pPr>
          </w:p>
        </w:tc>
        <w:tc>
          <w:tcPr>
            <w:tcW w:w="1846" w:type="dxa"/>
            <w:tcBorders>
              <w:left w:val="nil"/>
              <w:bottom w:val="single" w:sz="12" w:space="0" w:color="auto"/>
            </w:tcBorders>
            <w:shd w:val="clear" w:color="auto" w:fill="D0CECE" w:themeFill="background2" w:themeFillShade="E6"/>
            <w:vAlign w:val="center"/>
          </w:tcPr>
          <w:p w14:paraId="54868434"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2.1% ( -6.1, 10.9)</w:t>
            </w:r>
          </w:p>
        </w:tc>
        <w:tc>
          <w:tcPr>
            <w:tcW w:w="284" w:type="dxa"/>
            <w:tcBorders>
              <w:left w:val="nil"/>
              <w:bottom w:val="single" w:sz="12" w:space="0" w:color="auto"/>
              <w:right w:val="nil"/>
            </w:tcBorders>
            <w:shd w:val="clear" w:color="auto" w:fill="D0CECE" w:themeFill="background2" w:themeFillShade="E6"/>
            <w:vAlign w:val="center"/>
          </w:tcPr>
          <w:p w14:paraId="478A95CF" w14:textId="77777777" w:rsidR="005F6FCB" w:rsidRPr="00EA29EF" w:rsidRDefault="005F6FCB" w:rsidP="00FA153D">
            <w:pPr>
              <w:jc w:val="center"/>
              <w:rPr>
                <w:rFonts w:cstheme="minorHAnsi"/>
                <w:color w:val="000000"/>
                <w:sz w:val="20"/>
                <w:szCs w:val="20"/>
              </w:rPr>
            </w:pPr>
          </w:p>
        </w:tc>
        <w:tc>
          <w:tcPr>
            <w:tcW w:w="1842" w:type="dxa"/>
            <w:tcBorders>
              <w:left w:val="nil"/>
              <w:bottom w:val="single" w:sz="12" w:space="0" w:color="auto"/>
            </w:tcBorders>
            <w:shd w:val="clear" w:color="auto" w:fill="D0CECE" w:themeFill="background2" w:themeFillShade="E6"/>
            <w:vAlign w:val="center"/>
          </w:tcPr>
          <w:p w14:paraId="2AA1F4A7"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3.8% ( -1.5,  9.4)</w:t>
            </w:r>
          </w:p>
        </w:tc>
        <w:tc>
          <w:tcPr>
            <w:tcW w:w="284" w:type="dxa"/>
            <w:tcBorders>
              <w:left w:val="nil"/>
              <w:bottom w:val="single" w:sz="12" w:space="0" w:color="auto"/>
              <w:right w:val="nil"/>
            </w:tcBorders>
            <w:shd w:val="clear" w:color="auto" w:fill="D0CECE" w:themeFill="background2" w:themeFillShade="E6"/>
            <w:vAlign w:val="center"/>
          </w:tcPr>
          <w:p w14:paraId="223364F7" w14:textId="77777777" w:rsidR="005F6FCB" w:rsidRPr="009A35BA" w:rsidRDefault="005F6FCB" w:rsidP="00FA153D">
            <w:pPr>
              <w:jc w:val="center"/>
              <w:rPr>
                <w:rFonts w:ascii="Calibri" w:hAnsi="Calibri" w:cs="Calibri"/>
                <w:color w:val="000000"/>
                <w:sz w:val="18"/>
                <w:szCs w:val="18"/>
              </w:rPr>
            </w:pPr>
          </w:p>
        </w:tc>
        <w:tc>
          <w:tcPr>
            <w:tcW w:w="1843" w:type="dxa"/>
            <w:tcBorders>
              <w:left w:val="nil"/>
              <w:bottom w:val="single" w:sz="12" w:space="0" w:color="auto"/>
              <w:right w:val="nil"/>
            </w:tcBorders>
            <w:shd w:val="clear" w:color="auto" w:fill="D0CECE" w:themeFill="background2" w:themeFillShade="E6"/>
            <w:vAlign w:val="center"/>
          </w:tcPr>
          <w:p w14:paraId="28B51759"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-4.4% (-9.6,  1.1)</w:t>
            </w:r>
          </w:p>
        </w:tc>
      </w:tr>
      <w:tr w:rsidR="005F6FCB" w:rsidRPr="004901B0" w14:paraId="417E8592" w14:textId="77777777" w:rsidTr="003E5AA2">
        <w:trPr>
          <w:trHeight w:val="49"/>
        </w:trPr>
        <w:tc>
          <w:tcPr>
            <w:tcW w:w="1276" w:type="dxa"/>
            <w:vMerge w:val="restart"/>
            <w:tcBorders>
              <w:top w:val="single" w:sz="12" w:space="0" w:color="auto"/>
              <w:left w:val="nil"/>
            </w:tcBorders>
            <w:shd w:val="clear" w:color="auto" w:fill="auto"/>
            <w:noWrap/>
            <w:tcMar>
              <w:top w:w="15" w:type="dxa"/>
              <w:left w:w="15" w:type="dxa"/>
              <w:bottom w:w="0" w:type="dxa"/>
              <w:right w:w="15" w:type="dxa"/>
            </w:tcMar>
            <w:vAlign w:val="center"/>
          </w:tcPr>
          <w:p w14:paraId="235A7CC7" w14:textId="77777777" w:rsidR="005F6FCB" w:rsidRPr="005F6FCB" w:rsidRDefault="005F6FCB" w:rsidP="00FA153D">
            <w:pPr>
              <w:jc w:val="center"/>
              <w:rPr>
                <w:rFonts w:ascii="Calibri" w:eastAsia="Times New Roman" w:hAnsi="Calibri" w:cs="Calibri"/>
                <w:i/>
                <w:iCs/>
                <w:color w:val="000000"/>
                <w:sz w:val="20"/>
                <w:szCs w:val="20"/>
                <w:lang w:eastAsia="en-GB"/>
              </w:rPr>
            </w:pPr>
            <w:r w:rsidRPr="005F6FCB">
              <w:rPr>
                <w:rFonts w:ascii="Calibri" w:eastAsia="Times New Roman" w:hAnsi="Calibri" w:cs="Calibri"/>
                <w:i/>
                <w:iCs/>
                <w:color w:val="000000"/>
                <w:sz w:val="20"/>
                <w:szCs w:val="20"/>
                <w:lang w:eastAsia="en-GB"/>
              </w:rPr>
              <w:t>K. pneumoniae</w:t>
            </w:r>
          </w:p>
        </w:tc>
        <w:tc>
          <w:tcPr>
            <w:tcW w:w="1273" w:type="dxa"/>
            <w:vMerge w:val="restart"/>
            <w:tcBorders>
              <w:top w:val="single" w:sz="12" w:space="0" w:color="auto"/>
              <w:left w:val="nil"/>
              <w:right w:val="single" w:sz="4" w:space="0" w:color="auto"/>
            </w:tcBorders>
            <w:vAlign w:val="center"/>
          </w:tcPr>
          <w:p w14:paraId="61719C7B"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Overall</w:t>
            </w:r>
          </w:p>
        </w:tc>
        <w:tc>
          <w:tcPr>
            <w:tcW w:w="283" w:type="dxa"/>
            <w:tcBorders>
              <w:top w:val="single" w:sz="12" w:space="0" w:color="auto"/>
              <w:left w:val="single" w:sz="4" w:space="0" w:color="auto"/>
              <w:right w:val="nil"/>
            </w:tcBorders>
            <w:vAlign w:val="center"/>
          </w:tcPr>
          <w:p w14:paraId="5E8D11BE" w14:textId="77777777" w:rsidR="005F6FCB" w:rsidRPr="00EA29EF" w:rsidRDefault="005F6FCB" w:rsidP="00FA153D">
            <w:pPr>
              <w:jc w:val="center"/>
              <w:rPr>
                <w:rFonts w:ascii="Calibri" w:hAnsi="Calibri" w:cs="Calibri"/>
                <w:color w:val="000000"/>
                <w:sz w:val="20"/>
                <w:szCs w:val="20"/>
              </w:rPr>
            </w:pPr>
          </w:p>
        </w:tc>
        <w:tc>
          <w:tcPr>
            <w:tcW w:w="1846" w:type="dxa"/>
            <w:tcBorders>
              <w:top w:val="single" w:sz="12" w:space="0" w:color="auto"/>
              <w:left w:val="nil"/>
            </w:tcBorders>
            <w:shd w:val="clear" w:color="auto" w:fill="auto"/>
            <w:vAlign w:val="center"/>
          </w:tcPr>
          <w:p w14:paraId="64EE97EA"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-1.4% ( -4.5,  1.8)</w:t>
            </w:r>
          </w:p>
        </w:tc>
        <w:tc>
          <w:tcPr>
            <w:tcW w:w="284" w:type="dxa"/>
            <w:tcBorders>
              <w:top w:val="single" w:sz="12" w:space="0" w:color="auto"/>
              <w:left w:val="nil"/>
              <w:right w:val="nil"/>
            </w:tcBorders>
            <w:vAlign w:val="center"/>
          </w:tcPr>
          <w:p w14:paraId="3046C972" w14:textId="77777777" w:rsidR="005F6FCB" w:rsidRPr="00EA29EF" w:rsidRDefault="005F6FCB" w:rsidP="00FA153D">
            <w:pPr>
              <w:jc w:val="center"/>
              <w:rPr>
                <w:rFonts w:cstheme="minorHAnsi"/>
                <w:color w:val="000000"/>
                <w:sz w:val="20"/>
                <w:szCs w:val="20"/>
              </w:rPr>
            </w:pPr>
          </w:p>
        </w:tc>
        <w:tc>
          <w:tcPr>
            <w:tcW w:w="1842" w:type="dxa"/>
            <w:tcBorders>
              <w:top w:val="single" w:sz="12" w:space="0" w:color="auto"/>
              <w:left w:val="nil"/>
            </w:tcBorders>
            <w:shd w:val="clear" w:color="auto" w:fill="auto"/>
            <w:vAlign w:val="center"/>
          </w:tcPr>
          <w:p w14:paraId="26AAE14C"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0.0% ( -1.1,  1.1)</w:t>
            </w:r>
          </w:p>
        </w:tc>
        <w:tc>
          <w:tcPr>
            <w:tcW w:w="284" w:type="dxa"/>
            <w:tcBorders>
              <w:top w:val="single" w:sz="12" w:space="0" w:color="auto"/>
              <w:left w:val="nil"/>
              <w:right w:val="nil"/>
            </w:tcBorders>
            <w:vAlign w:val="center"/>
          </w:tcPr>
          <w:p w14:paraId="0491F402" w14:textId="77777777" w:rsidR="005F6FCB" w:rsidRPr="009A35BA" w:rsidRDefault="005F6FCB" w:rsidP="00FA153D">
            <w:pPr>
              <w:jc w:val="center"/>
              <w:rPr>
                <w:rFonts w:ascii="Calibri" w:hAnsi="Calibri" w:cs="Calibri"/>
                <w:color w:val="000000"/>
                <w:sz w:val="18"/>
                <w:szCs w:val="18"/>
              </w:rPr>
            </w:pPr>
          </w:p>
        </w:tc>
        <w:tc>
          <w:tcPr>
            <w:tcW w:w="1843" w:type="dxa"/>
            <w:tcBorders>
              <w:top w:val="single" w:sz="12" w:space="0" w:color="auto"/>
              <w:left w:val="nil"/>
              <w:right w:val="nil"/>
            </w:tcBorders>
            <w:shd w:val="clear" w:color="auto" w:fill="auto"/>
            <w:vAlign w:val="center"/>
          </w:tcPr>
          <w:p w14:paraId="6E4AAA92"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-1.6% (-4.0,  0.9)</w:t>
            </w:r>
          </w:p>
        </w:tc>
      </w:tr>
      <w:tr w:rsidR="005F6FCB" w:rsidRPr="004901B0" w14:paraId="2DC63750"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2DD7067C"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2D2091B9"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55833568"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25A4B066"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12.4% ( -0.3, 26.6)</w:t>
            </w:r>
          </w:p>
        </w:tc>
        <w:tc>
          <w:tcPr>
            <w:tcW w:w="284" w:type="dxa"/>
            <w:tcBorders>
              <w:left w:val="nil"/>
              <w:right w:val="nil"/>
            </w:tcBorders>
            <w:shd w:val="clear" w:color="auto" w:fill="D0CECE" w:themeFill="background2" w:themeFillShade="E6"/>
            <w:vAlign w:val="center"/>
          </w:tcPr>
          <w:p w14:paraId="3A0FF5D2"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F"/>
            </w:r>
          </w:p>
        </w:tc>
        <w:tc>
          <w:tcPr>
            <w:tcW w:w="1842" w:type="dxa"/>
            <w:tcBorders>
              <w:left w:val="nil"/>
            </w:tcBorders>
            <w:shd w:val="clear" w:color="auto" w:fill="D0CECE" w:themeFill="background2" w:themeFillShade="E6"/>
            <w:vAlign w:val="center"/>
          </w:tcPr>
          <w:p w14:paraId="11565F0B" w14:textId="77777777" w:rsidR="005F6FCB" w:rsidRDefault="005F6FCB" w:rsidP="00FA153D">
            <w:pPr>
              <w:jc w:val="center"/>
              <w:rPr>
                <w:rFonts w:cstheme="minorHAnsi"/>
                <w:color w:val="000000"/>
                <w:sz w:val="20"/>
                <w:szCs w:val="20"/>
              </w:rPr>
            </w:pPr>
            <w:r w:rsidRPr="005F6FCB">
              <w:rPr>
                <w:rFonts w:cstheme="minorHAnsi"/>
                <w:color w:val="000000"/>
                <w:sz w:val="20"/>
                <w:szCs w:val="20"/>
              </w:rPr>
              <w:t>-4.1% ( -7.9, -0.1)</w:t>
            </w:r>
          </w:p>
          <w:p w14:paraId="3988F619"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t>p-value = 0.0457</w:t>
            </w:r>
          </w:p>
        </w:tc>
        <w:tc>
          <w:tcPr>
            <w:tcW w:w="284" w:type="dxa"/>
            <w:tcBorders>
              <w:left w:val="nil"/>
              <w:right w:val="nil"/>
            </w:tcBorders>
            <w:shd w:val="clear" w:color="auto" w:fill="D0CECE" w:themeFill="background2" w:themeFillShade="E6"/>
            <w:vAlign w:val="center"/>
          </w:tcPr>
          <w:p w14:paraId="5655F366"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3A67737C"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7.6% (-3.7, 20.3)</w:t>
            </w:r>
          </w:p>
        </w:tc>
      </w:tr>
      <w:tr w:rsidR="005F6FCB" w:rsidRPr="004901B0" w14:paraId="730E896A"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2844B4AE"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6ED44F06"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61E894E2"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auto"/>
            <w:vAlign w:val="center"/>
          </w:tcPr>
          <w:p w14:paraId="32A49E1C"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0.5% ( -2.7,  3.7)</w:t>
            </w:r>
          </w:p>
        </w:tc>
        <w:tc>
          <w:tcPr>
            <w:tcW w:w="284" w:type="dxa"/>
            <w:tcBorders>
              <w:left w:val="nil"/>
              <w:right w:val="nil"/>
            </w:tcBorders>
            <w:vAlign w:val="center"/>
          </w:tcPr>
          <w:p w14:paraId="7052633F"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D"/>
            </w:r>
          </w:p>
        </w:tc>
        <w:tc>
          <w:tcPr>
            <w:tcW w:w="1842" w:type="dxa"/>
            <w:tcBorders>
              <w:left w:val="nil"/>
            </w:tcBorders>
            <w:shd w:val="clear" w:color="auto" w:fill="auto"/>
            <w:vAlign w:val="center"/>
          </w:tcPr>
          <w:p w14:paraId="23B6683E" w14:textId="77777777" w:rsidR="005F6FCB" w:rsidRDefault="005F6FCB" w:rsidP="00FA153D">
            <w:pPr>
              <w:jc w:val="center"/>
              <w:rPr>
                <w:rFonts w:cstheme="minorHAnsi"/>
                <w:color w:val="000000"/>
                <w:sz w:val="20"/>
                <w:szCs w:val="20"/>
              </w:rPr>
            </w:pPr>
            <w:r w:rsidRPr="005F6FCB">
              <w:rPr>
                <w:rFonts w:cstheme="minorHAnsi"/>
                <w:color w:val="000000"/>
                <w:sz w:val="20"/>
                <w:szCs w:val="20"/>
              </w:rPr>
              <w:t>1.3% (  0.1,  2.6)</w:t>
            </w:r>
          </w:p>
          <w:p w14:paraId="27C9CBD8"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t>p-value = 0.0353</w:t>
            </w:r>
          </w:p>
        </w:tc>
        <w:tc>
          <w:tcPr>
            <w:tcW w:w="284" w:type="dxa"/>
            <w:tcBorders>
              <w:left w:val="nil"/>
              <w:right w:val="nil"/>
            </w:tcBorders>
            <w:vAlign w:val="center"/>
          </w:tcPr>
          <w:p w14:paraId="039DF597"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auto"/>
            <w:vAlign w:val="center"/>
          </w:tcPr>
          <w:p w14:paraId="5DE34658"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-0.8% (-3.3,  1.7)</w:t>
            </w:r>
          </w:p>
        </w:tc>
      </w:tr>
      <w:tr w:rsidR="005F6FCB" w:rsidRPr="004901B0" w14:paraId="7CFFD62E"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0FBA937C"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03B8A5C9"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bottom w:val="single" w:sz="4" w:space="0" w:color="auto"/>
              <w:right w:val="nil"/>
            </w:tcBorders>
            <w:shd w:val="clear" w:color="auto" w:fill="D0CECE" w:themeFill="background2" w:themeFillShade="E6"/>
            <w:vAlign w:val="center"/>
          </w:tcPr>
          <w:p w14:paraId="5DBCCA2A"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2EA4854D"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7.6% ( -5.3, 22.3)</w:t>
            </w:r>
          </w:p>
        </w:tc>
        <w:tc>
          <w:tcPr>
            <w:tcW w:w="284" w:type="dxa"/>
            <w:tcBorders>
              <w:left w:val="nil"/>
              <w:right w:val="nil"/>
            </w:tcBorders>
            <w:shd w:val="clear" w:color="auto" w:fill="D0CECE" w:themeFill="background2" w:themeFillShade="E6"/>
            <w:vAlign w:val="center"/>
          </w:tcPr>
          <w:p w14:paraId="789A9EDB"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F"/>
            </w:r>
          </w:p>
        </w:tc>
        <w:tc>
          <w:tcPr>
            <w:tcW w:w="1842" w:type="dxa"/>
            <w:tcBorders>
              <w:left w:val="nil"/>
            </w:tcBorders>
            <w:shd w:val="clear" w:color="auto" w:fill="D0CECE" w:themeFill="background2" w:themeFillShade="E6"/>
            <w:vAlign w:val="center"/>
          </w:tcPr>
          <w:p w14:paraId="5ECD2720" w14:textId="77777777" w:rsidR="005F6FCB" w:rsidRDefault="005F6FCB" w:rsidP="00FA153D">
            <w:pPr>
              <w:jc w:val="center"/>
              <w:rPr>
                <w:rFonts w:cstheme="minorHAnsi"/>
                <w:color w:val="000000"/>
                <w:sz w:val="20"/>
                <w:szCs w:val="20"/>
              </w:rPr>
            </w:pPr>
            <w:r w:rsidRPr="005F6FCB">
              <w:rPr>
                <w:rFonts w:cstheme="minorHAnsi"/>
                <w:color w:val="000000"/>
                <w:sz w:val="20"/>
                <w:szCs w:val="20"/>
              </w:rPr>
              <w:t>-7.2% (-11.5, -2.6)</w:t>
            </w:r>
          </w:p>
          <w:p w14:paraId="7F62E24B"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lastRenderedPageBreak/>
              <w:t>p-value = 0.0025</w:t>
            </w:r>
          </w:p>
        </w:tc>
        <w:tc>
          <w:tcPr>
            <w:tcW w:w="284" w:type="dxa"/>
            <w:tcBorders>
              <w:left w:val="nil"/>
              <w:right w:val="nil"/>
            </w:tcBorders>
            <w:shd w:val="clear" w:color="auto" w:fill="D0CECE" w:themeFill="background2" w:themeFillShade="E6"/>
            <w:vAlign w:val="center"/>
          </w:tcPr>
          <w:p w14:paraId="0F905820"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2F918749"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8.2% (-3.4, 21.1)</w:t>
            </w:r>
          </w:p>
        </w:tc>
      </w:tr>
      <w:tr w:rsidR="005F6FCB" w:rsidRPr="004901B0" w14:paraId="1A4258E9"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7DC89AAB"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13E28AFC"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74FA9892"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auto"/>
            <w:vAlign w:val="center"/>
          </w:tcPr>
          <w:p w14:paraId="4CBC0DA1"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-3.2% ( -6.7,  0.4)</w:t>
            </w:r>
          </w:p>
        </w:tc>
        <w:tc>
          <w:tcPr>
            <w:tcW w:w="284" w:type="dxa"/>
            <w:tcBorders>
              <w:left w:val="nil"/>
              <w:right w:val="nil"/>
            </w:tcBorders>
            <w:vAlign w:val="center"/>
          </w:tcPr>
          <w:p w14:paraId="6563A53D"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3AC70780"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-1.4% ( -2.8,  0.0)</w:t>
            </w:r>
          </w:p>
        </w:tc>
        <w:tc>
          <w:tcPr>
            <w:tcW w:w="284" w:type="dxa"/>
            <w:tcBorders>
              <w:left w:val="nil"/>
              <w:right w:val="nil"/>
            </w:tcBorders>
            <w:vAlign w:val="center"/>
          </w:tcPr>
          <w:p w14:paraId="00779A63"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auto"/>
            <w:vAlign w:val="center"/>
          </w:tcPr>
          <w:p w14:paraId="076A7620"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-2.3% (-5.0,  0.4)</w:t>
            </w:r>
          </w:p>
        </w:tc>
      </w:tr>
      <w:tr w:rsidR="005F6FCB" w:rsidRPr="004901B0" w14:paraId="5D7A35AF" w14:textId="77777777" w:rsidTr="003E5AA2">
        <w:trPr>
          <w:trHeight w:val="49"/>
        </w:trPr>
        <w:tc>
          <w:tcPr>
            <w:tcW w:w="1276" w:type="dxa"/>
            <w:vMerge/>
            <w:tcBorders>
              <w:left w:val="nil"/>
              <w:bottom w:val="single" w:sz="12" w:space="0" w:color="auto"/>
            </w:tcBorders>
            <w:shd w:val="clear" w:color="auto" w:fill="auto"/>
            <w:noWrap/>
            <w:tcMar>
              <w:top w:w="15" w:type="dxa"/>
              <w:left w:w="15" w:type="dxa"/>
              <w:bottom w:w="0" w:type="dxa"/>
              <w:right w:w="15" w:type="dxa"/>
            </w:tcMar>
            <w:vAlign w:val="center"/>
          </w:tcPr>
          <w:p w14:paraId="7E5992DB"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bottom w:val="single" w:sz="12" w:space="0" w:color="auto"/>
              <w:right w:val="single" w:sz="4" w:space="0" w:color="auto"/>
            </w:tcBorders>
            <w:vAlign w:val="center"/>
          </w:tcPr>
          <w:p w14:paraId="4D63EA8F"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bottom w:val="single" w:sz="12" w:space="0" w:color="auto"/>
              <w:right w:val="nil"/>
            </w:tcBorders>
            <w:shd w:val="clear" w:color="auto" w:fill="D0CECE" w:themeFill="background2" w:themeFillShade="E6"/>
            <w:vAlign w:val="center"/>
          </w:tcPr>
          <w:p w14:paraId="0D2A5016"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D"/>
            </w:r>
          </w:p>
        </w:tc>
        <w:tc>
          <w:tcPr>
            <w:tcW w:w="1846" w:type="dxa"/>
            <w:tcBorders>
              <w:left w:val="nil"/>
              <w:bottom w:val="single" w:sz="12" w:space="0" w:color="auto"/>
            </w:tcBorders>
            <w:shd w:val="clear" w:color="auto" w:fill="D0CECE" w:themeFill="background2" w:themeFillShade="E6"/>
            <w:vAlign w:val="center"/>
          </w:tcPr>
          <w:p w14:paraId="2B4F1131"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17.3% (  1.0, 36.3)</w:t>
            </w:r>
          </w:p>
          <w:p w14:paraId="13535D4B"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0.0372</w:t>
            </w:r>
          </w:p>
        </w:tc>
        <w:tc>
          <w:tcPr>
            <w:tcW w:w="284" w:type="dxa"/>
            <w:tcBorders>
              <w:left w:val="nil"/>
              <w:bottom w:val="single" w:sz="12" w:space="0" w:color="auto"/>
              <w:right w:val="nil"/>
            </w:tcBorders>
            <w:shd w:val="clear" w:color="auto" w:fill="D0CECE" w:themeFill="background2" w:themeFillShade="E6"/>
            <w:vAlign w:val="center"/>
          </w:tcPr>
          <w:p w14:paraId="002ECD95" w14:textId="77777777" w:rsidR="005F6FCB" w:rsidRPr="00EA29EF" w:rsidRDefault="005F6FCB" w:rsidP="00FA153D">
            <w:pPr>
              <w:jc w:val="center"/>
              <w:rPr>
                <w:rFonts w:cstheme="minorHAnsi"/>
                <w:color w:val="000000"/>
                <w:sz w:val="20"/>
                <w:szCs w:val="20"/>
              </w:rPr>
            </w:pPr>
          </w:p>
        </w:tc>
        <w:tc>
          <w:tcPr>
            <w:tcW w:w="1842" w:type="dxa"/>
            <w:tcBorders>
              <w:left w:val="nil"/>
              <w:bottom w:val="single" w:sz="12" w:space="0" w:color="auto"/>
            </w:tcBorders>
            <w:shd w:val="clear" w:color="auto" w:fill="D0CECE" w:themeFill="background2" w:themeFillShade="E6"/>
            <w:vAlign w:val="center"/>
          </w:tcPr>
          <w:p w14:paraId="1E917D9C"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-0.8% ( -6.6,  5.3)</w:t>
            </w:r>
          </w:p>
        </w:tc>
        <w:tc>
          <w:tcPr>
            <w:tcW w:w="284" w:type="dxa"/>
            <w:tcBorders>
              <w:left w:val="nil"/>
              <w:bottom w:val="single" w:sz="12" w:space="0" w:color="auto"/>
              <w:right w:val="nil"/>
            </w:tcBorders>
            <w:shd w:val="clear" w:color="auto" w:fill="D0CECE" w:themeFill="background2" w:themeFillShade="E6"/>
            <w:vAlign w:val="center"/>
          </w:tcPr>
          <w:p w14:paraId="4E8C9128" w14:textId="77777777" w:rsidR="005F6FCB" w:rsidRPr="009A35BA" w:rsidRDefault="005F6FCB" w:rsidP="00FA153D">
            <w:pPr>
              <w:jc w:val="center"/>
              <w:rPr>
                <w:rFonts w:ascii="Calibri" w:hAnsi="Calibri" w:cs="Calibri"/>
                <w:color w:val="000000"/>
                <w:sz w:val="18"/>
                <w:szCs w:val="18"/>
              </w:rPr>
            </w:pPr>
          </w:p>
        </w:tc>
        <w:tc>
          <w:tcPr>
            <w:tcW w:w="1843" w:type="dxa"/>
            <w:tcBorders>
              <w:left w:val="nil"/>
              <w:bottom w:val="single" w:sz="12" w:space="0" w:color="auto"/>
              <w:right w:val="nil"/>
            </w:tcBorders>
            <w:shd w:val="clear" w:color="auto" w:fill="D0CECE" w:themeFill="background2" w:themeFillShade="E6"/>
            <w:vAlign w:val="center"/>
          </w:tcPr>
          <w:p w14:paraId="01A97856"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7.1% (-7.7, 24.3)</w:t>
            </w:r>
          </w:p>
        </w:tc>
      </w:tr>
      <w:tr w:rsidR="005F6FCB" w:rsidRPr="004901B0" w14:paraId="5D116EA6" w14:textId="77777777" w:rsidTr="003E5AA2">
        <w:trPr>
          <w:trHeight w:val="49"/>
        </w:trPr>
        <w:tc>
          <w:tcPr>
            <w:tcW w:w="1276" w:type="dxa"/>
            <w:vMerge w:val="restart"/>
            <w:tcBorders>
              <w:top w:val="single" w:sz="12" w:space="0" w:color="auto"/>
              <w:left w:val="nil"/>
            </w:tcBorders>
            <w:shd w:val="clear" w:color="auto" w:fill="auto"/>
            <w:noWrap/>
            <w:tcMar>
              <w:top w:w="15" w:type="dxa"/>
              <w:left w:w="15" w:type="dxa"/>
              <w:bottom w:w="0" w:type="dxa"/>
              <w:right w:w="15" w:type="dxa"/>
            </w:tcMar>
            <w:vAlign w:val="center"/>
          </w:tcPr>
          <w:p w14:paraId="346A6E7E" w14:textId="77777777" w:rsidR="005F6FCB" w:rsidRPr="005F6FCB" w:rsidRDefault="005F6FCB" w:rsidP="00FA153D">
            <w:pPr>
              <w:jc w:val="center"/>
              <w:rPr>
                <w:rFonts w:ascii="Calibri" w:eastAsia="Times New Roman" w:hAnsi="Calibri" w:cs="Calibri"/>
                <w:i/>
                <w:iCs/>
                <w:color w:val="000000"/>
                <w:sz w:val="20"/>
                <w:szCs w:val="20"/>
                <w:lang w:eastAsia="en-GB"/>
              </w:rPr>
            </w:pPr>
            <w:r w:rsidRPr="005F6FCB">
              <w:rPr>
                <w:rFonts w:ascii="Calibri" w:eastAsia="Times New Roman" w:hAnsi="Calibri" w:cs="Calibri"/>
                <w:i/>
                <w:iCs/>
                <w:color w:val="000000"/>
                <w:sz w:val="20"/>
                <w:szCs w:val="20"/>
                <w:lang w:eastAsia="en-GB"/>
              </w:rPr>
              <w:t>Enterobacter cl.</w:t>
            </w:r>
          </w:p>
        </w:tc>
        <w:tc>
          <w:tcPr>
            <w:tcW w:w="1273" w:type="dxa"/>
            <w:vMerge w:val="restart"/>
            <w:tcBorders>
              <w:top w:val="single" w:sz="12" w:space="0" w:color="auto"/>
              <w:left w:val="nil"/>
              <w:right w:val="single" w:sz="4" w:space="0" w:color="auto"/>
            </w:tcBorders>
            <w:vAlign w:val="center"/>
          </w:tcPr>
          <w:p w14:paraId="721D96A3"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Overall</w:t>
            </w:r>
          </w:p>
        </w:tc>
        <w:tc>
          <w:tcPr>
            <w:tcW w:w="283" w:type="dxa"/>
            <w:tcBorders>
              <w:top w:val="single" w:sz="12" w:space="0" w:color="auto"/>
              <w:left w:val="single" w:sz="4" w:space="0" w:color="auto"/>
              <w:right w:val="nil"/>
            </w:tcBorders>
            <w:vAlign w:val="center"/>
          </w:tcPr>
          <w:p w14:paraId="7428D443" w14:textId="77777777" w:rsidR="005F6FCB" w:rsidRPr="00EA29EF" w:rsidRDefault="005F6FCB" w:rsidP="00FA153D">
            <w:pPr>
              <w:jc w:val="center"/>
              <w:rPr>
                <w:rFonts w:ascii="Calibri" w:hAnsi="Calibri" w:cs="Calibri"/>
                <w:color w:val="000000"/>
                <w:sz w:val="20"/>
                <w:szCs w:val="20"/>
              </w:rPr>
            </w:pPr>
          </w:p>
        </w:tc>
        <w:tc>
          <w:tcPr>
            <w:tcW w:w="1846" w:type="dxa"/>
            <w:tcBorders>
              <w:top w:val="single" w:sz="12" w:space="0" w:color="auto"/>
              <w:left w:val="nil"/>
            </w:tcBorders>
            <w:shd w:val="clear" w:color="auto" w:fill="auto"/>
            <w:vAlign w:val="center"/>
          </w:tcPr>
          <w:p w14:paraId="5D6401A7"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-1.5% ( -4.4,  1.5)</w:t>
            </w:r>
          </w:p>
        </w:tc>
        <w:tc>
          <w:tcPr>
            <w:tcW w:w="284" w:type="dxa"/>
            <w:tcBorders>
              <w:top w:val="single" w:sz="12" w:space="0" w:color="auto"/>
              <w:left w:val="nil"/>
              <w:right w:val="nil"/>
            </w:tcBorders>
            <w:vAlign w:val="center"/>
          </w:tcPr>
          <w:p w14:paraId="60A0527C" w14:textId="77777777" w:rsidR="005F6FCB" w:rsidRPr="00EA29EF" w:rsidRDefault="005F6FCB" w:rsidP="00FA153D">
            <w:pPr>
              <w:jc w:val="center"/>
              <w:rPr>
                <w:rFonts w:cstheme="minorHAnsi"/>
                <w:color w:val="000000"/>
                <w:sz w:val="20"/>
                <w:szCs w:val="20"/>
              </w:rPr>
            </w:pPr>
          </w:p>
        </w:tc>
        <w:tc>
          <w:tcPr>
            <w:tcW w:w="1842" w:type="dxa"/>
            <w:tcBorders>
              <w:top w:val="single" w:sz="12" w:space="0" w:color="auto"/>
              <w:left w:val="nil"/>
            </w:tcBorders>
            <w:shd w:val="clear" w:color="auto" w:fill="auto"/>
            <w:vAlign w:val="center"/>
          </w:tcPr>
          <w:p w14:paraId="018951B1"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-0.4% ( -1.9,  1.0)</w:t>
            </w:r>
          </w:p>
        </w:tc>
        <w:tc>
          <w:tcPr>
            <w:tcW w:w="284" w:type="dxa"/>
            <w:tcBorders>
              <w:top w:val="single" w:sz="12" w:space="0" w:color="auto"/>
              <w:left w:val="nil"/>
              <w:right w:val="nil"/>
            </w:tcBorders>
            <w:vAlign w:val="center"/>
          </w:tcPr>
          <w:p w14:paraId="0C0FA355"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top w:val="single" w:sz="12" w:space="0" w:color="auto"/>
              <w:left w:val="nil"/>
              <w:right w:val="nil"/>
            </w:tcBorders>
            <w:shd w:val="clear" w:color="auto" w:fill="auto"/>
            <w:vAlign w:val="center"/>
          </w:tcPr>
          <w:p w14:paraId="4EF9B7EA"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-6.5% (-9.2, -3.7)*</w:t>
            </w:r>
          </w:p>
        </w:tc>
      </w:tr>
      <w:tr w:rsidR="005F6FCB" w:rsidRPr="004901B0" w14:paraId="65718555"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00CEC85A"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17E8C358"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579AC59C"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679BD151"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22.8% (  7.9, 39.8)</w:t>
            </w:r>
          </w:p>
          <w:p w14:paraId="5FB9F846"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0.0019</w:t>
            </w:r>
          </w:p>
        </w:tc>
        <w:tc>
          <w:tcPr>
            <w:tcW w:w="284" w:type="dxa"/>
            <w:tcBorders>
              <w:left w:val="nil"/>
              <w:right w:val="nil"/>
            </w:tcBorders>
            <w:shd w:val="clear" w:color="auto" w:fill="D0CECE" w:themeFill="background2" w:themeFillShade="E6"/>
            <w:vAlign w:val="center"/>
          </w:tcPr>
          <w:p w14:paraId="7C768C30"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6AED09D1"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1.8% ( -3.9,  7.8)</w:t>
            </w:r>
          </w:p>
        </w:tc>
        <w:tc>
          <w:tcPr>
            <w:tcW w:w="284" w:type="dxa"/>
            <w:tcBorders>
              <w:left w:val="nil"/>
              <w:right w:val="nil"/>
            </w:tcBorders>
            <w:shd w:val="clear" w:color="auto" w:fill="D0CECE" w:themeFill="background2" w:themeFillShade="E6"/>
            <w:vAlign w:val="center"/>
          </w:tcPr>
          <w:p w14:paraId="229E84D9"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365B3E4B"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12.4% (-7.2, 36.1)</w:t>
            </w:r>
          </w:p>
        </w:tc>
      </w:tr>
      <w:tr w:rsidR="005F6FCB" w:rsidRPr="004901B0" w14:paraId="0EE70762"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4F14EFA9"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713B01CE"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7FC12CC0"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auto"/>
            <w:vAlign w:val="center"/>
          </w:tcPr>
          <w:p w14:paraId="30DEB7C3"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1.2% ( -2.2,  4.7)</w:t>
            </w:r>
          </w:p>
        </w:tc>
        <w:tc>
          <w:tcPr>
            <w:tcW w:w="284" w:type="dxa"/>
            <w:tcBorders>
              <w:left w:val="nil"/>
              <w:right w:val="nil"/>
            </w:tcBorders>
            <w:vAlign w:val="center"/>
          </w:tcPr>
          <w:p w14:paraId="6B3C90F9"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0D929832"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1.4% ( -0.5,  3.3)</w:t>
            </w:r>
          </w:p>
        </w:tc>
        <w:tc>
          <w:tcPr>
            <w:tcW w:w="284" w:type="dxa"/>
            <w:tcBorders>
              <w:left w:val="nil"/>
              <w:right w:val="nil"/>
            </w:tcBorders>
            <w:vAlign w:val="center"/>
          </w:tcPr>
          <w:p w14:paraId="4BE573D4"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auto"/>
            <w:vAlign w:val="center"/>
          </w:tcPr>
          <w:p w14:paraId="3C9978AA"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-5.7% (-8.9, -2.3)</w:t>
            </w:r>
          </w:p>
          <w:p w14:paraId="66B6D3C5"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0.0011</w:t>
            </w:r>
          </w:p>
        </w:tc>
      </w:tr>
      <w:tr w:rsidR="005F6FCB" w:rsidRPr="004901B0" w14:paraId="28DEB54A"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5012F3C5"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021EBD1D"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7049AE44"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55AF5167"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15.5% ( -3.6, 38.3)</w:t>
            </w:r>
          </w:p>
        </w:tc>
        <w:tc>
          <w:tcPr>
            <w:tcW w:w="284" w:type="dxa"/>
            <w:tcBorders>
              <w:left w:val="nil"/>
              <w:right w:val="nil"/>
            </w:tcBorders>
            <w:shd w:val="clear" w:color="auto" w:fill="D0CECE" w:themeFill="background2" w:themeFillShade="E6"/>
            <w:vAlign w:val="center"/>
          </w:tcPr>
          <w:p w14:paraId="41D2C026"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4D224294"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-1.2% ( -8.2,  6.4)</w:t>
            </w:r>
          </w:p>
        </w:tc>
        <w:tc>
          <w:tcPr>
            <w:tcW w:w="284" w:type="dxa"/>
            <w:tcBorders>
              <w:left w:val="nil"/>
              <w:right w:val="nil"/>
            </w:tcBorders>
            <w:shd w:val="clear" w:color="auto" w:fill="D0CECE" w:themeFill="background2" w:themeFillShade="E6"/>
            <w:vAlign w:val="center"/>
          </w:tcPr>
          <w:p w14:paraId="3660FA43"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416DB5A8"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14.1% (-10.9, 46.1)</w:t>
            </w:r>
          </w:p>
        </w:tc>
      </w:tr>
      <w:tr w:rsidR="005F6FCB" w:rsidRPr="004901B0" w14:paraId="62BAE6C5"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02DDA7C3"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0C798915"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2D8CA8AC"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auto"/>
            <w:vAlign w:val="center"/>
          </w:tcPr>
          <w:p w14:paraId="082FA83E"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-4.1% ( -6.7, -1.4)*</w:t>
            </w:r>
          </w:p>
          <w:p w14:paraId="27560DFB"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0.0032</w:t>
            </w:r>
          </w:p>
        </w:tc>
        <w:tc>
          <w:tcPr>
            <w:tcW w:w="284" w:type="dxa"/>
            <w:tcBorders>
              <w:left w:val="nil"/>
              <w:right w:val="nil"/>
            </w:tcBorders>
            <w:vAlign w:val="center"/>
          </w:tcPr>
          <w:p w14:paraId="2B6321E6"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F"/>
            </w:r>
          </w:p>
        </w:tc>
        <w:tc>
          <w:tcPr>
            <w:tcW w:w="1842" w:type="dxa"/>
            <w:tcBorders>
              <w:left w:val="nil"/>
            </w:tcBorders>
            <w:shd w:val="clear" w:color="auto" w:fill="auto"/>
            <w:vAlign w:val="center"/>
          </w:tcPr>
          <w:p w14:paraId="1518503B" w14:textId="77777777" w:rsidR="005F6FCB" w:rsidRDefault="005F6FCB" w:rsidP="00FA153D">
            <w:pPr>
              <w:jc w:val="center"/>
              <w:rPr>
                <w:rFonts w:cstheme="minorHAnsi"/>
                <w:color w:val="000000"/>
                <w:sz w:val="20"/>
                <w:szCs w:val="20"/>
              </w:rPr>
            </w:pPr>
            <w:r w:rsidRPr="005F6FCB">
              <w:rPr>
                <w:rFonts w:cstheme="minorHAnsi"/>
                <w:color w:val="000000"/>
                <w:sz w:val="20"/>
                <w:szCs w:val="20"/>
              </w:rPr>
              <w:t>-2.2% ( -3.9, -0.6)</w:t>
            </w:r>
          </w:p>
          <w:p w14:paraId="60CAB731"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t>p-value = 0.0082</w:t>
            </w:r>
          </w:p>
        </w:tc>
        <w:tc>
          <w:tcPr>
            <w:tcW w:w="284" w:type="dxa"/>
            <w:tcBorders>
              <w:left w:val="nil"/>
              <w:right w:val="nil"/>
            </w:tcBorders>
            <w:vAlign w:val="center"/>
          </w:tcPr>
          <w:p w14:paraId="5BE2CD7F"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auto"/>
            <w:vAlign w:val="center"/>
          </w:tcPr>
          <w:p w14:paraId="26F25881"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-7.3% (-10.8, -3.6)</w:t>
            </w:r>
          </w:p>
          <w:p w14:paraId="3A3A1EC3"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1e-04</w:t>
            </w:r>
          </w:p>
        </w:tc>
      </w:tr>
      <w:tr w:rsidR="005F6FCB" w:rsidRPr="004901B0" w14:paraId="000102EE" w14:textId="77777777" w:rsidTr="003E5AA2">
        <w:trPr>
          <w:trHeight w:val="49"/>
        </w:trPr>
        <w:tc>
          <w:tcPr>
            <w:tcW w:w="1276" w:type="dxa"/>
            <w:vMerge/>
            <w:tcBorders>
              <w:left w:val="nil"/>
              <w:bottom w:val="single" w:sz="12" w:space="0" w:color="auto"/>
            </w:tcBorders>
            <w:shd w:val="clear" w:color="auto" w:fill="auto"/>
            <w:noWrap/>
            <w:tcMar>
              <w:top w:w="15" w:type="dxa"/>
              <w:left w:w="15" w:type="dxa"/>
              <w:bottom w:w="0" w:type="dxa"/>
              <w:right w:w="15" w:type="dxa"/>
            </w:tcMar>
            <w:vAlign w:val="center"/>
          </w:tcPr>
          <w:p w14:paraId="3733FBCB"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bottom w:val="single" w:sz="12" w:space="0" w:color="auto"/>
              <w:right w:val="single" w:sz="4" w:space="0" w:color="auto"/>
            </w:tcBorders>
            <w:vAlign w:val="center"/>
          </w:tcPr>
          <w:p w14:paraId="604F679F"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bottom w:val="single" w:sz="12" w:space="0" w:color="auto"/>
              <w:right w:val="nil"/>
            </w:tcBorders>
            <w:shd w:val="clear" w:color="auto" w:fill="D0CECE" w:themeFill="background2" w:themeFillShade="E6"/>
            <w:vAlign w:val="center"/>
          </w:tcPr>
          <w:p w14:paraId="61472689"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D"/>
            </w:r>
          </w:p>
        </w:tc>
        <w:tc>
          <w:tcPr>
            <w:tcW w:w="1846" w:type="dxa"/>
            <w:tcBorders>
              <w:left w:val="nil"/>
              <w:bottom w:val="single" w:sz="12" w:space="0" w:color="auto"/>
            </w:tcBorders>
            <w:shd w:val="clear" w:color="auto" w:fill="D0CECE" w:themeFill="background2" w:themeFillShade="E6"/>
            <w:vAlign w:val="center"/>
          </w:tcPr>
          <w:p w14:paraId="019E4591"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30.6% ( 14.7, 48.7)*</w:t>
            </w:r>
          </w:p>
          <w:p w14:paraId="2FDF7F74"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1e-04</w:t>
            </w:r>
          </w:p>
        </w:tc>
        <w:tc>
          <w:tcPr>
            <w:tcW w:w="284" w:type="dxa"/>
            <w:tcBorders>
              <w:left w:val="nil"/>
              <w:bottom w:val="single" w:sz="12" w:space="0" w:color="auto"/>
              <w:right w:val="nil"/>
            </w:tcBorders>
            <w:shd w:val="clear" w:color="auto" w:fill="D0CECE" w:themeFill="background2" w:themeFillShade="E6"/>
            <w:vAlign w:val="center"/>
          </w:tcPr>
          <w:p w14:paraId="2C294C53" w14:textId="77777777" w:rsidR="005F6FCB" w:rsidRPr="00EA29EF" w:rsidRDefault="005F6FCB" w:rsidP="00FA153D">
            <w:pPr>
              <w:jc w:val="center"/>
              <w:rPr>
                <w:rFonts w:cstheme="minorHAnsi"/>
                <w:color w:val="000000"/>
                <w:sz w:val="20"/>
                <w:szCs w:val="20"/>
              </w:rPr>
            </w:pPr>
          </w:p>
        </w:tc>
        <w:tc>
          <w:tcPr>
            <w:tcW w:w="1842" w:type="dxa"/>
            <w:tcBorders>
              <w:left w:val="nil"/>
              <w:bottom w:val="single" w:sz="12" w:space="0" w:color="auto"/>
            </w:tcBorders>
            <w:shd w:val="clear" w:color="auto" w:fill="D0CECE" w:themeFill="background2" w:themeFillShade="E6"/>
            <w:vAlign w:val="center"/>
          </w:tcPr>
          <w:p w14:paraId="4761E08F"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4.9% ( -3.2, 13.7)</w:t>
            </w:r>
          </w:p>
        </w:tc>
        <w:tc>
          <w:tcPr>
            <w:tcW w:w="284" w:type="dxa"/>
            <w:tcBorders>
              <w:left w:val="nil"/>
              <w:bottom w:val="single" w:sz="12" w:space="0" w:color="auto"/>
              <w:right w:val="nil"/>
            </w:tcBorders>
            <w:shd w:val="clear" w:color="auto" w:fill="D0CECE" w:themeFill="background2" w:themeFillShade="E6"/>
            <w:vAlign w:val="center"/>
          </w:tcPr>
          <w:p w14:paraId="10F0AC53" w14:textId="77777777" w:rsidR="005F6FCB" w:rsidRPr="009A35BA" w:rsidRDefault="005F6FCB" w:rsidP="00FA153D">
            <w:pPr>
              <w:jc w:val="center"/>
              <w:rPr>
                <w:rFonts w:ascii="Calibri" w:hAnsi="Calibri" w:cs="Calibri"/>
                <w:color w:val="000000"/>
                <w:sz w:val="18"/>
                <w:szCs w:val="18"/>
              </w:rPr>
            </w:pPr>
          </w:p>
        </w:tc>
        <w:tc>
          <w:tcPr>
            <w:tcW w:w="1843" w:type="dxa"/>
            <w:tcBorders>
              <w:left w:val="nil"/>
              <w:bottom w:val="single" w:sz="12" w:space="0" w:color="auto"/>
              <w:right w:val="nil"/>
            </w:tcBorders>
            <w:shd w:val="clear" w:color="auto" w:fill="D0CECE" w:themeFill="background2" w:themeFillShade="E6"/>
            <w:vAlign w:val="center"/>
          </w:tcPr>
          <w:p w14:paraId="7C0FAA31"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10.6% (-13.7, 41.8)</w:t>
            </w:r>
          </w:p>
        </w:tc>
      </w:tr>
      <w:tr w:rsidR="005F6FCB" w:rsidRPr="004901B0" w14:paraId="25536963" w14:textId="77777777" w:rsidTr="003E5AA2">
        <w:trPr>
          <w:trHeight w:val="49"/>
        </w:trPr>
        <w:tc>
          <w:tcPr>
            <w:tcW w:w="1276" w:type="dxa"/>
            <w:vMerge w:val="restart"/>
            <w:tcBorders>
              <w:top w:val="single" w:sz="12" w:space="0" w:color="auto"/>
              <w:left w:val="nil"/>
            </w:tcBorders>
            <w:shd w:val="clear" w:color="auto" w:fill="auto"/>
            <w:noWrap/>
            <w:tcMar>
              <w:top w:w="15" w:type="dxa"/>
              <w:left w:w="15" w:type="dxa"/>
              <w:bottom w:w="0" w:type="dxa"/>
              <w:right w:w="15" w:type="dxa"/>
            </w:tcMar>
            <w:vAlign w:val="center"/>
          </w:tcPr>
          <w:p w14:paraId="41DA11F1" w14:textId="77777777" w:rsidR="005F6FCB" w:rsidRPr="005F6FCB" w:rsidRDefault="005F6FCB" w:rsidP="00FA153D">
            <w:pPr>
              <w:jc w:val="center"/>
              <w:rPr>
                <w:rFonts w:ascii="Calibri" w:eastAsia="Times New Roman" w:hAnsi="Calibri" w:cs="Calibri"/>
                <w:i/>
                <w:iCs/>
                <w:color w:val="000000"/>
                <w:sz w:val="20"/>
                <w:szCs w:val="20"/>
                <w:lang w:eastAsia="en-GB"/>
              </w:rPr>
            </w:pPr>
            <w:r w:rsidRPr="005F6FCB">
              <w:rPr>
                <w:rFonts w:ascii="Calibri" w:eastAsia="Times New Roman" w:hAnsi="Calibri" w:cs="Calibri"/>
                <w:i/>
                <w:iCs/>
                <w:color w:val="000000"/>
                <w:sz w:val="20"/>
                <w:szCs w:val="20"/>
                <w:lang w:eastAsia="en-GB"/>
              </w:rPr>
              <w:t>Serratia m.</w:t>
            </w:r>
          </w:p>
        </w:tc>
        <w:tc>
          <w:tcPr>
            <w:tcW w:w="1273" w:type="dxa"/>
            <w:vMerge w:val="restart"/>
            <w:tcBorders>
              <w:top w:val="single" w:sz="12" w:space="0" w:color="auto"/>
              <w:left w:val="nil"/>
              <w:right w:val="single" w:sz="4" w:space="0" w:color="auto"/>
            </w:tcBorders>
            <w:vAlign w:val="center"/>
          </w:tcPr>
          <w:p w14:paraId="65EF2E34"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Overall</w:t>
            </w:r>
          </w:p>
        </w:tc>
        <w:tc>
          <w:tcPr>
            <w:tcW w:w="283" w:type="dxa"/>
            <w:tcBorders>
              <w:top w:val="single" w:sz="12" w:space="0" w:color="auto"/>
              <w:left w:val="single" w:sz="4" w:space="0" w:color="auto"/>
              <w:right w:val="nil"/>
            </w:tcBorders>
            <w:vAlign w:val="center"/>
          </w:tcPr>
          <w:p w14:paraId="23CC7EEC" w14:textId="77777777" w:rsidR="005F6FCB" w:rsidRPr="00EA29EF" w:rsidRDefault="005F6FCB" w:rsidP="00FA153D">
            <w:pPr>
              <w:jc w:val="center"/>
              <w:rPr>
                <w:rFonts w:ascii="Calibri" w:hAnsi="Calibri" w:cs="Calibri"/>
                <w:color w:val="000000"/>
                <w:sz w:val="20"/>
                <w:szCs w:val="20"/>
              </w:rPr>
            </w:pPr>
          </w:p>
        </w:tc>
        <w:tc>
          <w:tcPr>
            <w:tcW w:w="1846" w:type="dxa"/>
            <w:tcBorders>
              <w:top w:val="single" w:sz="12" w:space="0" w:color="auto"/>
              <w:left w:val="nil"/>
            </w:tcBorders>
            <w:shd w:val="clear" w:color="auto" w:fill="auto"/>
            <w:vAlign w:val="center"/>
          </w:tcPr>
          <w:p w14:paraId="772DEB23"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1.6% ( -1.4,  4.7)</w:t>
            </w:r>
          </w:p>
        </w:tc>
        <w:tc>
          <w:tcPr>
            <w:tcW w:w="284" w:type="dxa"/>
            <w:tcBorders>
              <w:top w:val="single" w:sz="12" w:space="0" w:color="auto"/>
              <w:left w:val="nil"/>
              <w:right w:val="nil"/>
            </w:tcBorders>
            <w:vAlign w:val="center"/>
          </w:tcPr>
          <w:p w14:paraId="37A2A1E4" w14:textId="77777777" w:rsidR="005F6FCB" w:rsidRPr="00EA29EF" w:rsidRDefault="005F6FCB" w:rsidP="00FA153D">
            <w:pPr>
              <w:jc w:val="center"/>
              <w:rPr>
                <w:rFonts w:cstheme="minorHAnsi"/>
                <w:color w:val="000000"/>
                <w:sz w:val="20"/>
                <w:szCs w:val="20"/>
              </w:rPr>
            </w:pPr>
          </w:p>
        </w:tc>
        <w:tc>
          <w:tcPr>
            <w:tcW w:w="1842" w:type="dxa"/>
            <w:tcBorders>
              <w:top w:val="single" w:sz="12" w:space="0" w:color="auto"/>
              <w:left w:val="nil"/>
            </w:tcBorders>
            <w:shd w:val="clear" w:color="auto" w:fill="auto"/>
            <w:vAlign w:val="center"/>
          </w:tcPr>
          <w:p w14:paraId="75296B30"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0.7% ( -0.8,  2.1)</w:t>
            </w:r>
          </w:p>
        </w:tc>
        <w:tc>
          <w:tcPr>
            <w:tcW w:w="284" w:type="dxa"/>
            <w:tcBorders>
              <w:top w:val="single" w:sz="12" w:space="0" w:color="auto"/>
              <w:left w:val="nil"/>
              <w:right w:val="nil"/>
            </w:tcBorders>
            <w:vAlign w:val="center"/>
          </w:tcPr>
          <w:p w14:paraId="5101F597"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top w:val="single" w:sz="12" w:space="0" w:color="auto"/>
              <w:left w:val="nil"/>
              <w:right w:val="nil"/>
            </w:tcBorders>
            <w:shd w:val="clear" w:color="auto" w:fill="auto"/>
            <w:vAlign w:val="center"/>
          </w:tcPr>
          <w:p w14:paraId="53378416"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-7.2% (-10.9, -3.4)</w:t>
            </w:r>
          </w:p>
          <w:p w14:paraId="13D31EDB"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3e-04</w:t>
            </w:r>
          </w:p>
        </w:tc>
      </w:tr>
      <w:tr w:rsidR="005F6FCB" w:rsidRPr="004901B0" w14:paraId="7BAE66AB"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0BFECCCA"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49032258"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18497651"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554CCDED"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10.8% ( -3.6, 27.2)</w:t>
            </w:r>
          </w:p>
        </w:tc>
        <w:tc>
          <w:tcPr>
            <w:tcW w:w="284" w:type="dxa"/>
            <w:tcBorders>
              <w:left w:val="nil"/>
              <w:right w:val="nil"/>
            </w:tcBorders>
            <w:shd w:val="clear" w:color="auto" w:fill="D0CECE" w:themeFill="background2" w:themeFillShade="E6"/>
            <w:vAlign w:val="center"/>
          </w:tcPr>
          <w:p w14:paraId="7E84E864"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4BD448BA"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2.3% ( -4.4,  9.4)</w:t>
            </w:r>
          </w:p>
        </w:tc>
        <w:tc>
          <w:tcPr>
            <w:tcW w:w="284" w:type="dxa"/>
            <w:tcBorders>
              <w:left w:val="nil"/>
              <w:right w:val="nil"/>
            </w:tcBorders>
            <w:shd w:val="clear" w:color="auto" w:fill="D0CECE" w:themeFill="background2" w:themeFillShade="E6"/>
            <w:vAlign w:val="center"/>
          </w:tcPr>
          <w:p w14:paraId="29F6DFEA"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D"/>
            </w:r>
          </w:p>
        </w:tc>
        <w:tc>
          <w:tcPr>
            <w:tcW w:w="1843" w:type="dxa"/>
            <w:tcBorders>
              <w:left w:val="nil"/>
              <w:right w:val="nil"/>
            </w:tcBorders>
            <w:shd w:val="clear" w:color="auto" w:fill="D0CECE" w:themeFill="background2" w:themeFillShade="E6"/>
            <w:vAlign w:val="center"/>
          </w:tcPr>
          <w:p w14:paraId="7EF8CD66"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27.9% ( 0.2, 63.2)</w:t>
            </w:r>
          </w:p>
          <w:p w14:paraId="29ECC781"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0.0478</w:t>
            </w:r>
          </w:p>
        </w:tc>
      </w:tr>
      <w:tr w:rsidR="005F6FCB" w:rsidRPr="004901B0" w14:paraId="211D2F09"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6CA5A0E9"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291AEEFA"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094EA8B1"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D"/>
            </w:r>
          </w:p>
        </w:tc>
        <w:tc>
          <w:tcPr>
            <w:tcW w:w="1846" w:type="dxa"/>
            <w:tcBorders>
              <w:left w:val="nil"/>
            </w:tcBorders>
            <w:shd w:val="clear" w:color="auto" w:fill="auto"/>
            <w:vAlign w:val="center"/>
          </w:tcPr>
          <w:p w14:paraId="29AA46CC"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4.1% (  0.4,  7.9)*</w:t>
            </w:r>
          </w:p>
          <w:p w14:paraId="046AD84E"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0.0277</w:t>
            </w:r>
          </w:p>
        </w:tc>
        <w:tc>
          <w:tcPr>
            <w:tcW w:w="284" w:type="dxa"/>
            <w:tcBorders>
              <w:left w:val="nil"/>
              <w:right w:val="nil"/>
            </w:tcBorders>
            <w:vAlign w:val="center"/>
          </w:tcPr>
          <w:p w14:paraId="11F8D3CC"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D"/>
            </w:r>
          </w:p>
        </w:tc>
        <w:tc>
          <w:tcPr>
            <w:tcW w:w="1842" w:type="dxa"/>
            <w:tcBorders>
              <w:left w:val="nil"/>
            </w:tcBorders>
            <w:shd w:val="clear" w:color="auto" w:fill="auto"/>
            <w:vAlign w:val="center"/>
          </w:tcPr>
          <w:p w14:paraId="11E1FA13" w14:textId="77777777" w:rsidR="005F6FCB" w:rsidRDefault="005F6FCB" w:rsidP="00FA153D">
            <w:pPr>
              <w:jc w:val="center"/>
              <w:rPr>
                <w:rFonts w:cstheme="minorHAnsi"/>
                <w:color w:val="000000"/>
                <w:sz w:val="20"/>
                <w:szCs w:val="20"/>
              </w:rPr>
            </w:pPr>
            <w:r w:rsidRPr="005F6FCB">
              <w:rPr>
                <w:rFonts w:cstheme="minorHAnsi"/>
                <w:color w:val="000000"/>
                <w:sz w:val="20"/>
                <w:szCs w:val="20"/>
              </w:rPr>
              <w:t>2.4% (  0.6,  4.2)</w:t>
            </w:r>
          </w:p>
          <w:p w14:paraId="254370E3"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t>p-value = 0.0076</w:t>
            </w:r>
          </w:p>
        </w:tc>
        <w:tc>
          <w:tcPr>
            <w:tcW w:w="284" w:type="dxa"/>
            <w:tcBorders>
              <w:left w:val="nil"/>
              <w:right w:val="nil"/>
            </w:tcBorders>
            <w:vAlign w:val="center"/>
          </w:tcPr>
          <w:p w14:paraId="274E80F8"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auto"/>
            <w:vAlign w:val="center"/>
          </w:tcPr>
          <w:p w14:paraId="09B66F08"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-7.2% (-11.7, -2.6)</w:t>
            </w:r>
          </w:p>
          <w:p w14:paraId="36CE3D94"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0.0026</w:t>
            </w:r>
          </w:p>
        </w:tc>
      </w:tr>
      <w:tr w:rsidR="005F6FCB" w:rsidRPr="004901B0" w14:paraId="4B1C5260"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77A21EB1"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218075DF"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5836B25E"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4565AF7E"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1.1% (-18.4, 25.3)</w:t>
            </w:r>
          </w:p>
        </w:tc>
        <w:tc>
          <w:tcPr>
            <w:tcW w:w="284" w:type="dxa"/>
            <w:tcBorders>
              <w:left w:val="nil"/>
              <w:right w:val="nil"/>
            </w:tcBorders>
            <w:shd w:val="clear" w:color="auto" w:fill="D0CECE" w:themeFill="background2" w:themeFillShade="E6"/>
            <w:vAlign w:val="center"/>
          </w:tcPr>
          <w:p w14:paraId="690A4B77"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4AFDF423"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3.0% ( -5.2, 12.0)</w:t>
            </w:r>
          </w:p>
        </w:tc>
        <w:tc>
          <w:tcPr>
            <w:tcW w:w="284" w:type="dxa"/>
            <w:tcBorders>
              <w:left w:val="nil"/>
              <w:right w:val="nil"/>
            </w:tcBorders>
            <w:shd w:val="clear" w:color="auto" w:fill="D0CECE" w:themeFill="background2" w:themeFillShade="E6"/>
            <w:vAlign w:val="center"/>
          </w:tcPr>
          <w:p w14:paraId="0B8BCFBD"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0DAD4427"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4.6% (-22.8, 41.7)</w:t>
            </w:r>
          </w:p>
        </w:tc>
      </w:tr>
      <w:tr w:rsidR="005F6FCB" w:rsidRPr="004901B0" w14:paraId="358F5B0E"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18910E49"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0FDDBF18"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48F8B484"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auto"/>
            <w:vAlign w:val="center"/>
          </w:tcPr>
          <w:p w14:paraId="0831F9A8"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-0.9% ( -3.7,  2.0)</w:t>
            </w:r>
          </w:p>
        </w:tc>
        <w:tc>
          <w:tcPr>
            <w:tcW w:w="284" w:type="dxa"/>
            <w:tcBorders>
              <w:left w:val="nil"/>
              <w:right w:val="nil"/>
            </w:tcBorders>
            <w:vAlign w:val="center"/>
          </w:tcPr>
          <w:p w14:paraId="0043635F"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3447F5F9"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-1.1% ( -2.9,  0.8)</w:t>
            </w:r>
          </w:p>
        </w:tc>
        <w:tc>
          <w:tcPr>
            <w:tcW w:w="284" w:type="dxa"/>
            <w:tcBorders>
              <w:left w:val="nil"/>
              <w:right w:val="nil"/>
            </w:tcBorders>
            <w:vAlign w:val="center"/>
          </w:tcPr>
          <w:p w14:paraId="47B42FB8"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auto"/>
            <w:vAlign w:val="center"/>
          </w:tcPr>
          <w:p w14:paraId="66977B09"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-7.2% (-11.9, -2.4)</w:t>
            </w:r>
          </w:p>
          <w:p w14:paraId="5C57F643"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0.0039</w:t>
            </w:r>
          </w:p>
        </w:tc>
      </w:tr>
      <w:tr w:rsidR="005F6FCB" w:rsidRPr="004901B0" w14:paraId="324A6355" w14:textId="77777777" w:rsidTr="003E5AA2">
        <w:trPr>
          <w:trHeight w:val="49"/>
        </w:trPr>
        <w:tc>
          <w:tcPr>
            <w:tcW w:w="1276" w:type="dxa"/>
            <w:vMerge/>
            <w:tcBorders>
              <w:left w:val="nil"/>
              <w:bottom w:val="single" w:sz="12" w:space="0" w:color="auto"/>
            </w:tcBorders>
            <w:shd w:val="clear" w:color="auto" w:fill="auto"/>
            <w:noWrap/>
            <w:tcMar>
              <w:top w:w="15" w:type="dxa"/>
              <w:left w:w="15" w:type="dxa"/>
              <w:bottom w:w="0" w:type="dxa"/>
              <w:right w:w="15" w:type="dxa"/>
            </w:tcMar>
            <w:vAlign w:val="center"/>
          </w:tcPr>
          <w:p w14:paraId="57A50572"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bottom w:val="single" w:sz="12" w:space="0" w:color="auto"/>
              <w:right w:val="single" w:sz="4" w:space="0" w:color="auto"/>
            </w:tcBorders>
            <w:vAlign w:val="center"/>
          </w:tcPr>
          <w:p w14:paraId="70CECCB0"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bottom w:val="single" w:sz="12" w:space="0" w:color="auto"/>
              <w:right w:val="nil"/>
            </w:tcBorders>
            <w:shd w:val="clear" w:color="auto" w:fill="D0CECE" w:themeFill="background2" w:themeFillShade="E6"/>
            <w:vAlign w:val="center"/>
          </w:tcPr>
          <w:p w14:paraId="488F79D1"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D"/>
            </w:r>
          </w:p>
        </w:tc>
        <w:tc>
          <w:tcPr>
            <w:tcW w:w="1846" w:type="dxa"/>
            <w:tcBorders>
              <w:left w:val="nil"/>
              <w:bottom w:val="single" w:sz="12" w:space="0" w:color="auto"/>
            </w:tcBorders>
            <w:shd w:val="clear" w:color="auto" w:fill="D0CECE" w:themeFill="background2" w:themeFillShade="E6"/>
            <w:vAlign w:val="center"/>
          </w:tcPr>
          <w:p w14:paraId="434126C2"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21.3% (  4.1, 41.4)*</w:t>
            </w:r>
          </w:p>
          <w:p w14:paraId="3578C688"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0.0135</w:t>
            </w:r>
          </w:p>
        </w:tc>
        <w:tc>
          <w:tcPr>
            <w:tcW w:w="284" w:type="dxa"/>
            <w:tcBorders>
              <w:left w:val="nil"/>
              <w:bottom w:val="single" w:sz="12" w:space="0" w:color="auto"/>
              <w:right w:val="nil"/>
            </w:tcBorders>
            <w:shd w:val="clear" w:color="auto" w:fill="D0CECE" w:themeFill="background2" w:themeFillShade="E6"/>
            <w:vAlign w:val="center"/>
          </w:tcPr>
          <w:p w14:paraId="75651204" w14:textId="77777777" w:rsidR="005F6FCB" w:rsidRPr="00EA29EF" w:rsidRDefault="005F6FCB" w:rsidP="00FA153D">
            <w:pPr>
              <w:jc w:val="center"/>
              <w:rPr>
                <w:rFonts w:cstheme="minorHAnsi"/>
                <w:color w:val="000000"/>
                <w:sz w:val="20"/>
                <w:szCs w:val="20"/>
              </w:rPr>
            </w:pPr>
          </w:p>
        </w:tc>
        <w:tc>
          <w:tcPr>
            <w:tcW w:w="1842" w:type="dxa"/>
            <w:tcBorders>
              <w:left w:val="nil"/>
              <w:bottom w:val="single" w:sz="12" w:space="0" w:color="auto"/>
            </w:tcBorders>
            <w:shd w:val="clear" w:color="auto" w:fill="D0CECE" w:themeFill="background2" w:themeFillShade="E6"/>
            <w:vAlign w:val="center"/>
          </w:tcPr>
          <w:p w14:paraId="41710FA6"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1.5% (-9.1, 13.4)</w:t>
            </w:r>
          </w:p>
        </w:tc>
        <w:tc>
          <w:tcPr>
            <w:tcW w:w="284" w:type="dxa"/>
            <w:tcBorders>
              <w:left w:val="nil"/>
              <w:bottom w:val="single" w:sz="12" w:space="0" w:color="auto"/>
              <w:right w:val="nil"/>
            </w:tcBorders>
            <w:shd w:val="clear" w:color="auto" w:fill="D0CECE" w:themeFill="background2" w:themeFillShade="E6"/>
            <w:vAlign w:val="center"/>
          </w:tcPr>
          <w:p w14:paraId="2972383C"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D"/>
            </w:r>
          </w:p>
        </w:tc>
        <w:tc>
          <w:tcPr>
            <w:tcW w:w="1843" w:type="dxa"/>
            <w:tcBorders>
              <w:left w:val="nil"/>
              <w:bottom w:val="single" w:sz="12" w:space="0" w:color="auto"/>
              <w:right w:val="nil"/>
            </w:tcBorders>
            <w:shd w:val="clear" w:color="auto" w:fill="D0CECE" w:themeFill="background2" w:themeFillShade="E6"/>
            <w:vAlign w:val="center"/>
          </w:tcPr>
          <w:p w14:paraId="1DE422FA"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56.3% (6.4, 129.8)</w:t>
            </w:r>
          </w:p>
          <w:p w14:paraId="541E87BE"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0.0229</w:t>
            </w:r>
          </w:p>
        </w:tc>
      </w:tr>
      <w:tr w:rsidR="005F6FCB" w:rsidRPr="004901B0" w14:paraId="0FF188F7" w14:textId="77777777" w:rsidTr="003E5AA2">
        <w:trPr>
          <w:trHeight w:val="49"/>
        </w:trPr>
        <w:tc>
          <w:tcPr>
            <w:tcW w:w="1276" w:type="dxa"/>
            <w:vMerge w:val="restart"/>
            <w:tcBorders>
              <w:top w:val="single" w:sz="12" w:space="0" w:color="auto"/>
              <w:left w:val="nil"/>
            </w:tcBorders>
            <w:shd w:val="clear" w:color="auto" w:fill="auto"/>
            <w:noWrap/>
            <w:tcMar>
              <w:top w:w="15" w:type="dxa"/>
              <w:left w:w="15" w:type="dxa"/>
              <w:bottom w:w="0" w:type="dxa"/>
              <w:right w:w="15" w:type="dxa"/>
            </w:tcMar>
            <w:vAlign w:val="center"/>
          </w:tcPr>
          <w:p w14:paraId="6AD18F84" w14:textId="77777777" w:rsidR="005F6FCB" w:rsidRPr="005F6FCB" w:rsidRDefault="005F6FCB" w:rsidP="00FA153D">
            <w:pPr>
              <w:jc w:val="center"/>
              <w:rPr>
                <w:rFonts w:ascii="Calibri" w:eastAsia="Times New Roman" w:hAnsi="Calibri" w:cs="Calibri"/>
                <w:i/>
                <w:iCs/>
                <w:color w:val="000000"/>
                <w:sz w:val="20"/>
                <w:szCs w:val="20"/>
                <w:lang w:eastAsia="en-GB"/>
              </w:rPr>
            </w:pPr>
            <w:r w:rsidRPr="005F6FCB">
              <w:rPr>
                <w:rFonts w:ascii="Calibri" w:eastAsia="Times New Roman" w:hAnsi="Calibri" w:cs="Calibri"/>
                <w:i/>
                <w:iCs/>
                <w:color w:val="000000"/>
                <w:sz w:val="20"/>
                <w:szCs w:val="20"/>
                <w:lang w:eastAsia="en-GB"/>
              </w:rPr>
              <w:t>P. aeruginosa</w:t>
            </w:r>
          </w:p>
        </w:tc>
        <w:tc>
          <w:tcPr>
            <w:tcW w:w="1273" w:type="dxa"/>
            <w:vMerge w:val="restart"/>
            <w:tcBorders>
              <w:top w:val="single" w:sz="12" w:space="0" w:color="auto"/>
              <w:left w:val="nil"/>
              <w:right w:val="single" w:sz="4" w:space="0" w:color="auto"/>
            </w:tcBorders>
            <w:vAlign w:val="center"/>
          </w:tcPr>
          <w:p w14:paraId="047B9A6A"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Overall</w:t>
            </w:r>
          </w:p>
        </w:tc>
        <w:tc>
          <w:tcPr>
            <w:tcW w:w="283" w:type="dxa"/>
            <w:tcBorders>
              <w:top w:val="single" w:sz="12" w:space="0" w:color="auto"/>
              <w:left w:val="single" w:sz="4" w:space="0" w:color="auto"/>
              <w:right w:val="nil"/>
            </w:tcBorders>
            <w:vAlign w:val="center"/>
          </w:tcPr>
          <w:p w14:paraId="14DF97DF" w14:textId="77777777" w:rsidR="005F6FCB" w:rsidRPr="00EA29EF" w:rsidRDefault="005F6FCB" w:rsidP="00FA153D">
            <w:pPr>
              <w:jc w:val="center"/>
              <w:rPr>
                <w:rFonts w:ascii="Calibri" w:hAnsi="Calibri" w:cs="Calibri"/>
                <w:color w:val="000000"/>
                <w:sz w:val="20"/>
                <w:szCs w:val="20"/>
              </w:rPr>
            </w:pPr>
          </w:p>
        </w:tc>
        <w:tc>
          <w:tcPr>
            <w:tcW w:w="1846" w:type="dxa"/>
            <w:tcBorders>
              <w:top w:val="single" w:sz="12" w:space="0" w:color="auto"/>
              <w:left w:val="nil"/>
            </w:tcBorders>
            <w:shd w:val="clear" w:color="auto" w:fill="auto"/>
            <w:vAlign w:val="center"/>
          </w:tcPr>
          <w:p w14:paraId="60D204CD"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-5.0% ( -6.9, -3.1)*</w:t>
            </w:r>
          </w:p>
        </w:tc>
        <w:tc>
          <w:tcPr>
            <w:tcW w:w="284" w:type="dxa"/>
            <w:tcBorders>
              <w:top w:val="single" w:sz="12" w:space="0" w:color="auto"/>
              <w:left w:val="nil"/>
              <w:right w:val="nil"/>
            </w:tcBorders>
            <w:vAlign w:val="center"/>
          </w:tcPr>
          <w:p w14:paraId="740F0E8D" w14:textId="77777777" w:rsidR="005F6FCB" w:rsidRPr="00EA29EF" w:rsidRDefault="005F6FCB" w:rsidP="00FA153D">
            <w:pPr>
              <w:jc w:val="center"/>
              <w:rPr>
                <w:rFonts w:cstheme="minorHAnsi"/>
                <w:color w:val="000000"/>
                <w:sz w:val="20"/>
                <w:szCs w:val="20"/>
              </w:rPr>
            </w:pPr>
          </w:p>
        </w:tc>
        <w:tc>
          <w:tcPr>
            <w:tcW w:w="1842" w:type="dxa"/>
            <w:tcBorders>
              <w:top w:val="single" w:sz="12" w:space="0" w:color="auto"/>
              <w:left w:val="nil"/>
            </w:tcBorders>
            <w:shd w:val="clear" w:color="auto" w:fill="auto"/>
            <w:vAlign w:val="center"/>
          </w:tcPr>
          <w:p w14:paraId="00AE2E83"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 xml:space="preserve">-1.0% </w:t>
            </w:r>
            <w:r>
              <w:rPr>
                <w:rFonts w:cstheme="minorHAnsi"/>
                <w:color w:val="000000"/>
                <w:sz w:val="20"/>
                <w:szCs w:val="20"/>
              </w:rPr>
              <w:t>(</w:t>
            </w:r>
            <w:r w:rsidRPr="005F6FCB">
              <w:rPr>
                <w:rFonts w:cstheme="minorHAnsi"/>
                <w:color w:val="000000"/>
                <w:sz w:val="20"/>
                <w:szCs w:val="20"/>
              </w:rPr>
              <w:t>-2.3,  0.4)</w:t>
            </w:r>
          </w:p>
        </w:tc>
        <w:tc>
          <w:tcPr>
            <w:tcW w:w="284" w:type="dxa"/>
            <w:tcBorders>
              <w:top w:val="single" w:sz="12" w:space="0" w:color="auto"/>
              <w:left w:val="nil"/>
              <w:right w:val="nil"/>
            </w:tcBorders>
            <w:vAlign w:val="center"/>
          </w:tcPr>
          <w:p w14:paraId="353B11A9"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top w:val="single" w:sz="12" w:space="0" w:color="auto"/>
              <w:left w:val="nil"/>
              <w:right w:val="nil"/>
            </w:tcBorders>
            <w:shd w:val="clear" w:color="auto" w:fill="auto"/>
            <w:vAlign w:val="center"/>
          </w:tcPr>
          <w:p w14:paraId="36215178"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-3.3% (-4.9, -1.7)</w:t>
            </w:r>
          </w:p>
          <w:p w14:paraId="373F3C1A"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1e-04</w:t>
            </w:r>
          </w:p>
        </w:tc>
      </w:tr>
      <w:tr w:rsidR="005F6FCB" w:rsidRPr="004901B0" w14:paraId="2F9AA6D4"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40202533"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2C3FFB95"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2DA345BE"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6BB74FDB"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0.7% ( -8.5, 10.9)</w:t>
            </w:r>
          </w:p>
        </w:tc>
        <w:tc>
          <w:tcPr>
            <w:tcW w:w="284" w:type="dxa"/>
            <w:tcBorders>
              <w:left w:val="nil"/>
              <w:right w:val="nil"/>
            </w:tcBorders>
            <w:shd w:val="clear" w:color="auto" w:fill="D0CECE" w:themeFill="background2" w:themeFillShade="E6"/>
            <w:vAlign w:val="center"/>
          </w:tcPr>
          <w:p w14:paraId="727F697C"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1CFEADAA"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0.3% (-4.5,  5.4)</w:t>
            </w:r>
          </w:p>
        </w:tc>
        <w:tc>
          <w:tcPr>
            <w:tcW w:w="284" w:type="dxa"/>
            <w:tcBorders>
              <w:left w:val="nil"/>
              <w:right w:val="nil"/>
            </w:tcBorders>
            <w:shd w:val="clear" w:color="auto" w:fill="D0CECE" w:themeFill="background2" w:themeFillShade="E6"/>
            <w:vAlign w:val="center"/>
          </w:tcPr>
          <w:p w14:paraId="715910B9"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00E36B5E"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-3.4% (-11.8,  5.8)</w:t>
            </w:r>
          </w:p>
        </w:tc>
      </w:tr>
      <w:tr w:rsidR="005F6FCB" w:rsidRPr="004901B0" w14:paraId="47C300BC"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5AFED6E7"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7D87309F"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46613E0B"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auto"/>
            <w:vAlign w:val="center"/>
          </w:tcPr>
          <w:p w14:paraId="1B96169F"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-2.6% ( -4.6, -0.6)*</w:t>
            </w:r>
          </w:p>
          <w:p w14:paraId="67EE9771"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0.0127</w:t>
            </w:r>
          </w:p>
        </w:tc>
        <w:tc>
          <w:tcPr>
            <w:tcW w:w="284" w:type="dxa"/>
            <w:tcBorders>
              <w:left w:val="nil"/>
              <w:right w:val="nil"/>
            </w:tcBorders>
            <w:vAlign w:val="center"/>
          </w:tcPr>
          <w:p w14:paraId="4734C768"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4ED2B633"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0.3% ( -1.2,  1.9)</w:t>
            </w:r>
          </w:p>
        </w:tc>
        <w:tc>
          <w:tcPr>
            <w:tcW w:w="284" w:type="dxa"/>
            <w:tcBorders>
              <w:left w:val="nil"/>
              <w:right w:val="nil"/>
            </w:tcBorders>
            <w:vAlign w:val="center"/>
          </w:tcPr>
          <w:p w14:paraId="04A49F11"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auto"/>
            <w:vAlign w:val="center"/>
          </w:tcPr>
          <w:p w14:paraId="3A770F2A"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-2.4% (-4.0, -0.8)</w:t>
            </w:r>
          </w:p>
          <w:p w14:paraId="048D9CBF"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0.0029</w:t>
            </w:r>
          </w:p>
        </w:tc>
      </w:tr>
      <w:tr w:rsidR="005F6FCB" w:rsidRPr="004901B0" w14:paraId="05C54BA3"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1F0012BA"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60DB28A9"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52B3B2FC"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D0CECE" w:themeFill="background2" w:themeFillShade="E6"/>
            <w:vAlign w:val="center"/>
          </w:tcPr>
          <w:p w14:paraId="52E65459"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-6.9% (-15.9,  3.1)</w:t>
            </w:r>
          </w:p>
        </w:tc>
        <w:tc>
          <w:tcPr>
            <w:tcW w:w="284" w:type="dxa"/>
            <w:tcBorders>
              <w:left w:val="nil"/>
              <w:right w:val="nil"/>
            </w:tcBorders>
            <w:shd w:val="clear" w:color="auto" w:fill="D0CECE" w:themeFill="background2" w:themeFillShade="E6"/>
            <w:vAlign w:val="center"/>
          </w:tcPr>
          <w:p w14:paraId="693EBC43"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F"/>
            </w:r>
          </w:p>
        </w:tc>
        <w:tc>
          <w:tcPr>
            <w:tcW w:w="1842" w:type="dxa"/>
            <w:tcBorders>
              <w:left w:val="nil"/>
            </w:tcBorders>
            <w:shd w:val="clear" w:color="auto" w:fill="D0CECE" w:themeFill="background2" w:themeFillShade="E6"/>
            <w:vAlign w:val="center"/>
          </w:tcPr>
          <w:p w14:paraId="26C93FB1" w14:textId="77777777" w:rsidR="005F6FCB" w:rsidRDefault="005F6FCB" w:rsidP="00FA153D">
            <w:pPr>
              <w:jc w:val="center"/>
              <w:rPr>
                <w:rFonts w:cstheme="minorHAnsi"/>
                <w:color w:val="000000"/>
                <w:sz w:val="20"/>
                <w:szCs w:val="20"/>
              </w:rPr>
            </w:pPr>
            <w:r w:rsidRPr="005F6FCB">
              <w:rPr>
                <w:rFonts w:cstheme="minorHAnsi"/>
                <w:color w:val="000000"/>
                <w:sz w:val="20"/>
                <w:szCs w:val="20"/>
              </w:rPr>
              <w:t>-7.6% (-12.7, -2.2)</w:t>
            </w:r>
          </w:p>
          <w:p w14:paraId="119D2B9E"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t>p-value = 0.006</w:t>
            </w:r>
          </w:p>
        </w:tc>
        <w:tc>
          <w:tcPr>
            <w:tcW w:w="284" w:type="dxa"/>
            <w:tcBorders>
              <w:left w:val="nil"/>
              <w:right w:val="nil"/>
            </w:tcBorders>
            <w:shd w:val="clear" w:color="auto" w:fill="D0CECE" w:themeFill="background2" w:themeFillShade="E6"/>
            <w:vAlign w:val="center"/>
          </w:tcPr>
          <w:p w14:paraId="559EF65B"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4E5DF678"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-4.5% (-12.3,  4.1)</w:t>
            </w:r>
          </w:p>
        </w:tc>
      </w:tr>
      <w:tr w:rsidR="005F6FCB" w:rsidRPr="004901B0" w14:paraId="314F773E"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7CF37138"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224B7CB6"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44FC2643"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auto"/>
            <w:vAlign w:val="center"/>
          </w:tcPr>
          <w:p w14:paraId="1854B182"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-7.3% ( -9.4, -5.1)*</w:t>
            </w:r>
          </w:p>
        </w:tc>
        <w:tc>
          <w:tcPr>
            <w:tcW w:w="284" w:type="dxa"/>
            <w:tcBorders>
              <w:left w:val="nil"/>
              <w:right w:val="nil"/>
            </w:tcBorders>
            <w:vAlign w:val="center"/>
          </w:tcPr>
          <w:p w14:paraId="042A818D"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F"/>
            </w:r>
          </w:p>
        </w:tc>
        <w:tc>
          <w:tcPr>
            <w:tcW w:w="1842" w:type="dxa"/>
            <w:tcBorders>
              <w:left w:val="nil"/>
            </w:tcBorders>
            <w:shd w:val="clear" w:color="auto" w:fill="auto"/>
            <w:vAlign w:val="center"/>
          </w:tcPr>
          <w:p w14:paraId="6DB8AFF9" w14:textId="77777777" w:rsidR="005F6FCB" w:rsidRDefault="005F6FCB" w:rsidP="00FA153D">
            <w:pPr>
              <w:jc w:val="center"/>
              <w:rPr>
                <w:rFonts w:cstheme="minorHAnsi"/>
                <w:color w:val="000000"/>
                <w:sz w:val="20"/>
                <w:szCs w:val="20"/>
              </w:rPr>
            </w:pPr>
            <w:r w:rsidRPr="005F6FCB">
              <w:rPr>
                <w:rFonts w:cstheme="minorHAnsi"/>
                <w:color w:val="000000"/>
                <w:sz w:val="20"/>
                <w:szCs w:val="20"/>
              </w:rPr>
              <w:t>-2.3% (-3.8, -0.7)</w:t>
            </w:r>
          </w:p>
          <w:p w14:paraId="6143D4AC"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t>p-value = 0.0043</w:t>
            </w:r>
          </w:p>
        </w:tc>
        <w:tc>
          <w:tcPr>
            <w:tcW w:w="284" w:type="dxa"/>
            <w:tcBorders>
              <w:left w:val="nil"/>
              <w:right w:val="nil"/>
            </w:tcBorders>
            <w:vAlign w:val="center"/>
          </w:tcPr>
          <w:p w14:paraId="0242B603"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auto"/>
            <w:vAlign w:val="center"/>
          </w:tcPr>
          <w:p w14:paraId="544D374D"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-4.1% (-5.9, -2.3)*</w:t>
            </w:r>
          </w:p>
        </w:tc>
      </w:tr>
      <w:tr w:rsidR="005F6FCB" w:rsidRPr="004901B0" w14:paraId="5B4B0378" w14:textId="77777777" w:rsidTr="003E5AA2">
        <w:trPr>
          <w:trHeight w:val="49"/>
        </w:trPr>
        <w:tc>
          <w:tcPr>
            <w:tcW w:w="1276" w:type="dxa"/>
            <w:vMerge/>
            <w:tcBorders>
              <w:left w:val="nil"/>
              <w:bottom w:val="single" w:sz="12" w:space="0" w:color="auto"/>
            </w:tcBorders>
            <w:shd w:val="clear" w:color="auto" w:fill="auto"/>
            <w:noWrap/>
            <w:tcMar>
              <w:top w:w="15" w:type="dxa"/>
              <w:left w:w="15" w:type="dxa"/>
              <w:bottom w:w="0" w:type="dxa"/>
              <w:right w:w="15" w:type="dxa"/>
            </w:tcMar>
            <w:vAlign w:val="center"/>
          </w:tcPr>
          <w:p w14:paraId="509E5014"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bottom w:val="single" w:sz="12" w:space="0" w:color="auto"/>
              <w:right w:val="single" w:sz="4" w:space="0" w:color="auto"/>
            </w:tcBorders>
            <w:vAlign w:val="center"/>
          </w:tcPr>
          <w:p w14:paraId="6472DED6"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bottom w:val="single" w:sz="12" w:space="0" w:color="auto"/>
              <w:right w:val="nil"/>
            </w:tcBorders>
            <w:shd w:val="clear" w:color="auto" w:fill="D0CECE" w:themeFill="background2" w:themeFillShade="E6"/>
            <w:vAlign w:val="center"/>
          </w:tcPr>
          <w:p w14:paraId="25DBB433" w14:textId="77777777" w:rsidR="005F6FCB" w:rsidRPr="00EA29EF" w:rsidRDefault="005F6FCB" w:rsidP="00FA153D">
            <w:pPr>
              <w:jc w:val="center"/>
              <w:rPr>
                <w:rFonts w:ascii="Calibri" w:hAnsi="Calibri" w:cs="Calibri"/>
                <w:color w:val="000000"/>
                <w:sz w:val="20"/>
                <w:szCs w:val="20"/>
              </w:rPr>
            </w:pPr>
          </w:p>
        </w:tc>
        <w:tc>
          <w:tcPr>
            <w:tcW w:w="1846" w:type="dxa"/>
            <w:tcBorders>
              <w:left w:val="nil"/>
              <w:bottom w:val="single" w:sz="12" w:space="0" w:color="auto"/>
            </w:tcBorders>
            <w:shd w:val="clear" w:color="auto" w:fill="D0CECE" w:themeFill="background2" w:themeFillShade="E6"/>
            <w:vAlign w:val="center"/>
          </w:tcPr>
          <w:p w14:paraId="789CD70D"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9.0% ( -4.2, 24.0)</w:t>
            </w:r>
          </w:p>
        </w:tc>
        <w:tc>
          <w:tcPr>
            <w:tcW w:w="284" w:type="dxa"/>
            <w:tcBorders>
              <w:left w:val="nil"/>
              <w:bottom w:val="single" w:sz="12" w:space="0" w:color="auto"/>
              <w:right w:val="nil"/>
            </w:tcBorders>
            <w:shd w:val="clear" w:color="auto" w:fill="D0CECE" w:themeFill="background2" w:themeFillShade="E6"/>
            <w:vAlign w:val="center"/>
          </w:tcPr>
          <w:p w14:paraId="33F2F559" w14:textId="77777777" w:rsidR="005F6FCB" w:rsidRPr="00EA29EF" w:rsidRDefault="005F6FCB" w:rsidP="00FA153D">
            <w:pPr>
              <w:jc w:val="center"/>
              <w:rPr>
                <w:rFonts w:cstheme="minorHAnsi"/>
                <w:color w:val="000000"/>
                <w:sz w:val="20"/>
                <w:szCs w:val="20"/>
              </w:rPr>
            </w:pPr>
            <w:r w:rsidRPr="009A35BA">
              <w:rPr>
                <w:rFonts w:ascii="Calibri" w:hAnsi="Calibri" w:cs="Calibri"/>
                <w:b/>
                <w:bCs/>
                <w:color w:val="000000"/>
                <w:sz w:val="18"/>
                <w:szCs w:val="18"/>
              </w:rPr>
              <w:sym w:font="Symbol" w:char="F0AD"/>
            </w:r>
          </w:p>
        </w:tc>
        <w:tc>
          <w:tcPr>
            <w:tcW w:w="1842" w:type="dxa"/>
            <w:tcBorders>
              <w:left w:val="nil"/>
              <w:bottom w:val="single" w:sz="12" w:space="0" w:color="auto"/>
            </w:tcBorders>
            <w:shd w:val="clear" w:color="auto" w:fill="D0CECE" w:themeFill="background2" w:themeFillShade="E6"/>
            <w:vAlign w:val="center"/>
          </w:tcPr>
          <w:p w14:paraId="0ABB3944" w14:textId="77777777" w:rsidR="005F6FCB" w:rsidRDefault="005F6FCB" w:rsidP="00FA153D">
            <w:pPr>
              <w:jc w:val="center"/>
              <w:rPr>
                <w:rFonts w:cstheme="minorHAnsi"/>
                <w:color w:val="000000"/>
                <w:sz w:val="20"/>
                <w:szCs w:val="20"/>
              </w:rPr>
            </w:pPr>
            <w:r w:rsidRPr="005F6FCB">
              <w:rPr>
                <w:rFonts w:cstheme="minorHAnsi"/>
                <w:color w:val="000000"/>
                <w:sz w:val="20"/>
                <w:szCs w:val="20"/>
              </w:rPr>
              <w:t>8.9% (1.9, 16.4)</w:t>
            </w:r>
          </w:p>
          <w:p w14:paraId="4B90A8B0"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16"/>
                <w:szCs w:val="16"/>
              </w:rPr>
              <w:t>p-value = 0.0115</w:t>
            </w:r>
          </w:p>
        </w:tc>
        <w:tc>
          <w:tcPr>
            <w:tcW w:w="284" w:type="dxa"/>
            <w:tcBorders>
              <w:left w:val="nil"/>
              <w:bottom w:val="single" w:sz="12" w:space="0" w:color="auto"/>
              <w:right w:val="nil"/>
            </w:tcBorders>
            <w:shd w:val="clear" w:color="auto" w:fill="D0CECE" w:themeFill="background2" w:themeFillShade="E6"/>
            <w:vAlign w:val="center"/>
          </w:tcPr>
          <w:p w14:paraId="07A4509E" w14:textId="77777777" w:rsidR="005F6FCB" w:rsidRPr="009A35BA" w:rsidRDefault="005F6FCB" w:rsidP="00FA153D">
            <w:pPr>
              <w:jc w:val="center"/>
              <w:rPr>
                <w:rFonts w:ascii="Calibri" w:hAnsi="Calibri" w:cs="Calibri"/>
                <w:color w:val="000000"/>
                <w:sz w:val="18"/>
                <w:szCs w:val="18"/>
              </w:rPr>
            </w:pPr>
          </w:p>
        </w:tc>
        <w:tc>
          <w:tcPr>
            <w:tcW w:w="1843" w:type="dxa"/>
            <w:tcBorders>
              <w:left w:val="nil"/>
              <w:bottom w:val="single" w:sz="12" w:space="0" w:color="auto"/>
              <w:right w:val="nil"/>
            </w:tcBorders>
            <w:shd w:val="clear" w:color="auto" w:fill="D0CECE" w:themeFill="background2" w:themeFillShade="E6"/>
            <w:vAlign w:val="center"/>
          </w:tcPr>
          <w:p w14:paraId="45B5675C"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-2.3% (-14.1, 11.0)</w:t>
            </w:r>
          </w:p>
        </w:tc>
      </w:tr>
      <w:tr w:rsidR="005F6FCB" w:rsidRPr="004901B0" w14:paraId="4F0078D2" w14:textId="77777777" w:rsidTr="003E5AA2">
        <w:trPr>
          <w:trHeight w:val="49"/>
        </w:trPr>
        <w:tc>
          <w:tcPr>
            <w:tcW w:w="1276" w:type="dxa"/>
            <w:vMerge w:val="restart"/>
            <w:tcBorders>
              <w:top w:val="single" w:sz="12" w:space="0" w:color="auto"/>
              <w:left w:val="nil"/>
            </w:tcBorders>
            <w:shd w:val="clear" w:color="auto" w:fill="auto"/>
            <w:noWrap/>
            <w:tcMar>
              <w:top w:w="15" w:type="dxa"/>
              <w:left w:w="15" w:type="dxa"/>
              <w:bottom w:w="0" w:type="dxa"/>
              <w:right w:w="15" w:type="dxa"/>
            </w:tcMar>
            <w:vAlign w:val="center"/>
          </w:tcPr>
          <w:p w14:paraId="67D104A2" w14:textId="77777777" w:rsidR="005F6FCB" w:rsidRPr="005F6FCB" w:rsidRDefault="005F6FCB" w:rsidP="00FA153D">
            <w:pPr>
              <w:jc w:val="center"/>
              <w:rPr>
                <w:rFonts w:ascii="Calibri" w:eastAsia="Times New Roman" w:hAnsi="Calibri" w:cs="Calibri"/>
                <w:i/>
                <w:iCs/>
                <w:color w:val="000000"/>
                <w:sz w:val="20"/>
                <w:szCs w:val="20"/>
                <w:lang w:eastAsia="en-GB"/>
              </w:rPr>
            </w:pPr>
            <w:r w:rsidRPr="005F6FCB">
              <w:rPr>
                <w:rFonts w:ascii="Calibri" w:eastAsia="Times New Roman" w:hAnsi="Calibri" w:cs="Calibri"/>
                <w:i/>
                <w:iCs/>
                <w:color w:val="000000"/>
                <w:sz w:val="20"/>
                <w:szCs w:val="20"/>
                <w:lang w:eastAsia="en-GB"/>
              </w:rPr>
              <w:t>Acinetobacter sp.</w:t>
            </w:r>
          </w:p>
        </w:tc>
        <w:tc>
          <w:tcPr>
            <w:tcW w:w="1273" w:type="dxa"/>
            <w:vMerge w:val="restart"/>
            <w:tcBorders>
              <w:top w:val="single" w:sz="12" w:space="0" w:color="auto"/>
              <w:left w:val="nil"/>
              <w:right w:val="single" w:sz="4" w:space="0" w:color="auto"/>
            </w:tcBorders>
            <w:vAlign w:val="center"/>
          </w:tcPr>
          <w:p w14:paraId="58ABA639"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Overall</w:t>
            </w:r>
          </w:p>
        </w:tc>
        <w:tc>
          <w:tcPr>
            <w:tcW w:w="283" w:type="dxa"/>
            <w:tcBorders>
              <w:top w:val="single" w:sz="12" w:space="0" w:color="auto"/>
              <w:left w:val="single" w:sz="4" w:space="0" w:color="auto"/>
              <w:right w:val="nil"/>
            </w:tcBorders>
            <w:vAlign w:val="center"/>
          </w:tcPr>
          <w:p w14:paraId="4C14BDB6" w14:textId="77777777" w:rsidR="005F6FCB" w:rsidRPr="00EA29EF" w:rsidRDefault="005F6FCB" w:rsidP="00FA153D">
            <w:pPr>
              <w:jc w:val="center"/>
              <w:rPr>
                <w:rFonts w:ascii="Calibri" w:hAnsi="Calibri" w:cs="Calibri"/>
                <w:color w:val="000000"/>
                <w:sz w:val="20"/>
                <w:szCs w:val="20"/>
              </w:rPr>
            </w:pPr>
          </w:p>
        </w:tc>
        <w:tc>
          <w:tcPr>
            <w:tcW w:w="1846" w:type="dxa"/>
            <w:tcBorders>
              <w:top w:val="single" w:sz="12" w:space="0" w:color="auto"/>
              <w:left w:val="nil"/>
            </w:tcBorders>
            <w:shd w:val="clear" w:color="auto" w:fill="auto"/>
            <w:vAlign w:val="center"/>
          </w:tcPr>
          <w:p w14:paraId="52BEC343"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-3.4% ( -7.1,  0.6)</w:t>
            </w:r>
          </w:p>
        </w:tc>
        <w:tc>
          <w:tcPr>
            <w:tcW w:w="284" w:type="dxa"/>
            <w:tcBorders>
              <w:top w:val="single" w:sz="12" w:space="0" w:color="auto"/>
              <w:left w:val="nil"/>
              <w:right w:val="nil"/>
            </w:tcBorders>
            <w:vAlign w:val="center"/>
          </w:tcPr>
          <w:p w14:paraId="7B55BA80" w14:textId="77777777" w:rsidR="005F6FCB" w:rsidRPr="00EA29EF" w:rsidRDefault="005F6FCB" w:rsidP="00FA153D">
            <w:pPr>
              <w:jc w:val="center"/>
              <w:rPr>
                <w:rFonts w:cstheme="minorHAnsi"/>
                <w:color w:val="000000"/>
                <w:sz w:val="20"/>
                <w:szCs w:val="20"/>
              </w:rPr>
            </w:pPr>
          </w:p>
        </w:tc>
        <w:tc>
          <w:tcPr>
            <w:tcW w:w="1842" w:type="dxa"/>
            <w:tcBorders>
              <w:top w:val="single" w:sz="12" w:space="0" w:color="auto"/>
              <w:left w:val="nil"/>
            </w:tcBorders>
            <w:shd w:val="clear" w:color="auto" w:fill="auto"/>
            <w:vAlign w:val="center"/>
          </w:tcPr>
          <w:p w14:paraId="22E0C68C"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2.1% ( -0.2,  4.4)</w:t>
            </w:r>
          </w:p>
        </w:tc>
        <w:tc>
          <w:tcPr>
            <w:tcW w:w="284" w:type="dxa"/>
            <w:tcBorders>
              <w:top w:val="single" w:sz="12" w:space="0" w:color="auto"/>
              <w:left w:val="nil"/>
              <w:right w:val="nil"/>
            </w:tcBorders>
            <w:vAlign w:val="center"/>
          </w:tcPr>
          <w:p w14:paraId="242DC10D"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top w:val="single" w:sz="12" w:space="0" w:color="auto"/>
              <w:left w:val="nil"/>
              <w:right w:val="nil"/>
            </w:tcBorders>
            <w:shd w:val="clear" w:color="auto" w:fill="auto"/>
            <w:vAlign w:val="center"/>
          </w:tcPr>
          <w:p w14:paraId="0A53E18C"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-6.9% (-9.2, -4.5)*</w:t>
            </w:r>
          </w:p>
        </w:tc>
      </w:tr>
      <w:tr w:rsidR="005F6FCB" w:rsidRPr="004901B0" w14:paraId="11E6B424"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6027FCA2"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7913C5B7"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0694E8C8"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D"/>
            </w:r>
          </w:p>
        </w:tc>
        <w:tc>
          <w:tcPr>
            <w:tcW w:w="1846" w:type="dxa"/>
            <w:tcBorders>
              <w:left w:val="nil"/>
            </w:tcBorders>
            <w:shd w:val="clear" w:color="auto" w:fill="D0CECE" w:themeFill="background2" w:themeFillShade="E6"/>
            <w:vAlign w:val="center"/>
          </w:tcPr>
          <w:p w14:paraId="19B2F855"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29.9% (  1.7, 65.8)*</w:t>
            </w:r>
          </w:p>
          <w:p w14:paraId="01ED86C9"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0.0359</w:t>
            </w:r>
          </w:p>
        </w:tc>
        <w:tc>
          <w:tcPr>
            <w:tcW w:w="284" w:type="dxa"/>
            <w:tcBorders>
              <w:left w:val="nil"/>
              <w:right w:val="nil"/>
            </w:tcBorders>
            <w:shd w:val="clear" w:color="auto" w:fill="D0CECE" w:themeFill="background2" w:themeFillShade="E6"/>
            <w:vAlign w:val="center"/>
          </w:tcPr>
          <w:p w14:paraId="10587F73"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2E1E1B9F"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-1.8% (-10.6,  7.9)</w:t>
            </w:r>
          </w:p>
        </w:tc>
        <w:tc>
          <w:tcPr>
            <w:tcW w:w="284" w:type="dxa"/>
            <w:tcBorders>
              <w:left w:val="nil"/>
              <w:right w:val="nil"/>
            </w:tcBorders>
            <w:shd w:val="clear" w:color="auto" w:fill="D0CECE" w:themeFill="background2" w:themeFillShade="E6"/>
            <w:vAlign w:val="center"/>
          </w:tcPr>
          <w:p w14:paraId="5416801F"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D"/>
            </w:r>
          </w:p>
        </w:tc>
        <w:tc>
          <w:tcPr>
            <w:tcW w:w="1843" w:type="dxa"/>
            <w:tcBorders>
              <w:left w:val="nil"/>
              <w:right w:val="nil"/>
            </w:tcBorders>
            <w:shd w:val="clear" w:color="auto" w:fill="D0CECE" w:themeFill="background2" w:themeFillShade="E6"/>
            <w:vAlign w:val="center"/>
          </w:tcPr>
          <w:p w14:paraId="7E3E0B89"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22.3% ( 0.8, 48.3)</w:t>
            </w:r>
          </w:p>
          <w:p w14:paraId="2D4D84A7" w14:textId="77777777" w:rsidR="005F6FCB" w:rsidRPr="00D31AF3" w:rsidRDefault="005F6FCB" w:rsidP="00FA153D">
            <w:pPr>
              <w:jc w:val="center"/>
              <w:rPr>
                <w:rFonts w:ascii="Calibri" w:hAnsi="Calibri" w:cs="Calibri"/>
                <w:color w:val="000000"/>
                <w:sz w:val="16"/>
                <w:szCs w:val="16"/>
              </w:rPr>
            </w:pPr>
            <w:r w:rsidRPr="00D31AF3">
              <w:rPr>
                <w:rFonts w:ascii="Calibri" w:hAnsi="Calibri" w:cs="Calibri"/>
                <w:color w:val="000000"/>
                <w:sz w:val="16"/>
                <w:szCs w:val="16"/>
              </w:rPr>
              <w:t>p-value = 0.0414</w:t>
            </w:r>
          </w:p>
        </w:tc>
      </w:tr>
      <w:tr w:rsidR="005F6FCB" w:rsidRPr="004901B0" w14:paraId="72C6DB41"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5A9988C4"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4F20B02D"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Community-onset</w:t>
            </w:r>
          </w:p>
        </w:tc>
        <w:tc>
          <w:tcPr>
            <w:tcW w:w="283" w:type="dxa"/>
            <w:tcBorders>
              <w:left w:val="single" w:sz="4" w:space="0" w:color="auto"/>
              <w:right w:val="nil"/>
            </w:tcBorders>
            <w:vAlign w:val="center"/>
          </w:tcPr>
          <w:p w14:paraId="34139A8C" w14:textId="77777777" w:rsidR="005F6FCB" w:rsidRPr="00EA29EF" w:rsidRDefault="005F6FCB" w:rsidP="00FA153D">
            <w:pPr>
              <w:jc w:val="center"/>
              <w:rPr>
                <w:rFonts w:ascii="Calibri" w:hAnsi="Calibri" w:cs="Calibri"/>
                <w:color w:val="000000"/>
                <w:sz w:val="20"/>
                <w:szCs w:val="20"/>
              </w:rPr>
            </w:pPr>
          </w:p>
        </w:tc>
        <w:tc>
          <w:tcPr>
            <w:tcW w:w="1846" w:type="dxa"/>
            <w:tcBorders>
              <w:left w:val="nil"/>
            </w:tcBorders>
            <w:shd w:val="clear" w:color="auto" w:fill="auto"/>
            <w:vAlign w:val="center"/>
          </w:tcPr>
          <w:p w14:paraId="6F1CAB6C"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-0.4% ( -4.5,  3.8)</w:t>
            </w:r>
          </w:p>
        </w:tc>
        <w:tc>
          <w:tcPr>
            <w:tcW w:w="284" w:type="dxa"/>
            <w:tcBorders>
              <w:left w:val="nil"/>
              <w:right w:val="nil"/>
            </w:tcBorders>
            <w:vAlign w:val="center"/>
          </w:tcPr>
          <w:p w14:paraId="39E941C6"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448D265E"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3.0% ( -0.1,  6.2)</w:t>
            </w:r>
          </w:p>
        </w:tc>
        <w:tc>
          <w:tcPr>
            <w:tcW w:w="284" w:type="dxa"/>
            <w:tcBorders>
              <w:left w:val="nil"/>
              <w:right w:val="nil"/>
            </w:tcBorders>
            <w:vAlign w:val="center"/>
          </w:tcPr>
          <w:p w14:paraId="7605AB07"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right w:val="nil"/>
            </w:tcBorders>
            <w:shd w:val="clear" w:color="auto" w:fill="auto"/>
            <w:vAlign w:val="center"/>
          </w:tcPr>
          <w:p w14:paraId="527F254D"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-6.9% (-9.7, -4.1)*</w:t>
            </w:r>
          </w:p>
        </w:tc>
      </w:tr>
      <w:tr w:rsidR="005F6FCB" w:rsidRPr="004901B0" w14:paraId="663E3AE1" w14:textId="77777777" w:rsidTr="003E5AA2">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51D6361D"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tcBorders>
              <w:left w:val="nil"/>
              <w:right w:val="single" w:sz="4" w:space="0" w:color="auto"/>
            </w:tcBorders>
            <w:vAlign w:val="center"/>
          </w:tcPr>
          <w:p w14:paraId="21E6C6C9"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283" w:type="dxa"/>
            <w:tcBorders>
              <w:left w:val="single" w:sz="4" w:space="0" w:color="auto"/>
              <w:right w:val="nil"/>
            </w:tcBorders>
            <w:shd w:val="clear" w:color="auto" w:fill="D0CECE" w:themeFill="background2" w:themeFillShade="E6"/>
            <w:vAlign w:val="center"/>
          </w:tcPr>
          <w:p w14:paraId="2D64D51A"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D"/>
            </w:r>
          </w:p>
        </w:tc>
        <w:tc>
          <w:tcPr>
            <w:tcW w:w="1846" w:type="dxa"/>
            <w:tcBorders>
              <w:left w:val="nil"/>
            </w:tcBorders>
            <w:shd w:val="clear" w:color="auto" w:fill="D0CECE" w:themeFill="background2" w:themeFillShade="E6"/>
            <w:vAlign w:val="center"/>
          </w:tcPr>
          <w:p w14:paraId="1050163F"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36.4% ( 12.0, 66.1)*</w:t>
            </w:r>
          </w:p>
          <w:p w14:paraId="6B723385"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0.002</w:t>
            </w:r>
          </w:p>
        </w:tc>
        <w:tc>
          <w:tcPr>
            <w:tcW w:w="284" w:type="dxa"/>
            <w:tcBorders>
              <w:left w:val="nil"/>
              <w:right w:val="nil"/>
            </w:tcBorders>
            <w:shd w:val="clear" w:color="auto" w:fill="D0CECE" w:themeFill="background2" w:themeFillShade="E6"/>
            <w:vAlign w:val="center"/>
          </w:tcPr>
          <w:p w14:paraId="172F5DD8"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D0CECE" w:themeFill="background2" w:themeFillShade="E6"/>
            <w:vAlign w:val="center"/>
          </w:tcPr>
          <w:p w14:paraId="0F2FE9EF"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2.5% (-10.0, 16.7)</w:t>
            </w:r>
          </w:p>
        </w:tc>
        <w:tc>
          <w:tcPr>
            <w:tcW w:w="284" w:type="dxa"/>
            <w:tcBorders>
              <w:left w:val="nil"/>
              <w:right w:val="nil"/>
            </w:tcBorders>
            <w:shd w:val="clear" w:color="auto" w:fill="D0CECE" w:themeFill="background2" w:themeFillShade="E6"/>
            <w:vAlign w:val="center"/>
          </w:tcPr>
          <w:p w14:paraId="3C2E2DB9" w14:textId="77777777" w:rsidR="005F6FCB" w:rsidRPr="009A35BA" w:rsidRDefault="005F6FCB" w:rsidP="00FA153D">
            <w:pPr>
              <w:jc w:val="center"/>
              <w:rPr>
                <w:rFonts w:ascii="Calibri" w:hAnsi="Calibri" w:cs="Calibri"/>
                <w:color w:val="000000"/>
                <w:sz w:val="18"/>
                <w:szCs w:val="18"/>
              </w:rPr>
            </w:pPr>
          </w:p>
        </w:tc>
        <w:tc>
          <w:tcPr>
            <w:tcW w:w="1843" w:type="dxa"/>
            <w:tcBorders>
              <w:left w:val="nil"/>
              <w:right w:val="nil"/>
            </w:tcBorders>
            <w:shd w:val="clear" w:color="auto" w:fill="D0CECE" w:themeFill="background2" w:themeFillShade="E6"/>
            <w:vAlign w:val="center"/>
          </w:tcPr>
          <w:p w14:paraId="529CD903"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23.6% (-0.3, 53.1)</w:t>
            </w:r>
          </w:p>
        </w:tc>
      </w:tr>
      <w:tr w:rsidR="005F6FCB" w:rsidRPr="004901B0" w14:paraId="218E4059" w14:textId="77777777" w:rsidTr="003A41F4">
        <w:trPr>
          <w:trHeight w:val="49"/>
        </w:trPr>
        <w:tc>
          <w:tcPr>
            <w:tcW w:w="1276" w:type="dxa"/>
            <w:vMerge/>
            <w:tcBorders>
              <w:left w:val="nil"/>
            </w:tcBorders>
            <w:shd w:val="clear" w:color="auto" w:fill="auto"/>
            <w:noWrap/>
            <w:tcMar>
              <w:top w:w="15" w:type="dxa"/>
              <w:left w:w="15" w:type="dxa"/>
              <w:bottom w:w="0" w:type="dxa"/>
              <w:right w:w="15" w:type="dxa"/>
            </w:tcMar>
            <w:vAlign w:val="center"/>
          </w:tcPr>
          <w:p w14:paraId="7C65AE10" w14:textId="77777777" w:rsidR="005F6FCB" w:rsidRPr="005F6FCB" w:rsidRDefault="005F6FCB" w:rsidP="00FA153D">
            <w:pPr>
              <w:jc w:val="center"/>
              <w:rPr>
                <w:rFonts w:ascii="Calibri" w:eastAsia="Times New Roman" w:hAnsi="Calibri" w:cs="Calibri"/>
                <w:color w:val="000000"/>
                <w:sz w:val="20"/>
                <w:szCs w:val="20"/>
                <w:lang w:eastAsia="en-GB"/>
              </w:rPr>
            </w:pPr>
          </w:p>
        </w:tc>
        <w:tc>
          <w:tcPr>
            <w:tcW w:w="1273" w:type="dxa"/>
            <w:vMerge w:val="restart"/>
            <w:tcBorders>
              <w:left w:val="nil"/>
              <w:right w:val="single" w:sz="4" w:space="0" w:color="auto"/>
            </w:tcBorders>
            <w:vAlign w:val="center"/>
          </w:tcPr>
          <w:p w14:paraId="63D3A454"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eastAsia="Times New Roman" w:hAnsi="Calibri" w:cs="Calibri"/>
                <w:color w:val="000000"/>
                <w:sz w:val="20"/>
                <w:szCs w:val="20"/>
                <w:lang w:eastAsia="en-GB"/>
              </w:rPr>
              <w:t>Hospital-associated</w:t>
            </w:r>
          </w:p>
        </w:tc>
        <w:tc>
          <w:tcPr>
            <w:tcW w:w="283" w:type="dxa"/>
            <w:tcBorders>
              <w:left w:val="single" w:sz="4" w:space="0" w:color="auto"/>
              <w:right w:val="nil"/>
            </w:tcBorders>
            <w:vAlign w:val="center"/>
          </w:tcPr>
          <w:p w14:paraId="495428EB" w14:textId="77777777" w:rsidR="005F6FCB" w:rsidRPr="00EA29EF" w:rsidRDefault="005F6FCB" w:rsidP="00FA153D">
            <w:pPr>
              <w:jc w:val="center"/>
              <w:rPr>
                <w:rFonts w:ascii="Calibri" w:hAnsi="Calibri" w:cs="Calibri"/>
                <w:color w:val="000000"/>
                <w:sz w:val="20"/>
                <w:szCs w:val="20"/>
              </w:rPr>
            </w:pPr>
            <w:r w:rsidRPr="009A35BA">
              <w:rPr>
                <w:rFonts w:ascii="Calibri" w:hAnsi="Calibri" w:cs="Calibri"/>
                <w:b/>
                <w:bCs/>
                <w:color w:val="000000"/>
                <w:sz w:val="18"/>
                <w:szCs w:val="18"/>
              </w:rPr>
              <w:sym w:font="Symbol" w:char="F0AF"/>
            </w:r>
          </w:p>
        </w:tc>
        <w:tc>
          <w:tcPr>
            <w:tcW w:w="1846" w:type="dxa"/>
            <w:tcBorders>
              <w:left w:val="nil"/>
            </w:tcBorders>
            <w:shd w:val="clear" w:color="auto" w:fill="auto"/>
            <w:vAlign w:val="center"/>
          </w:tcPr>
          <w:p w14:paraId="3CB2A99F" w14:textId="77777777" w:rsidR="005F6FCB" w:rsidRDefault="005F6FCB" w:rsidP="00FA153D">
            <w:pPr>
              <w:jc w:val="center"/>
              <w:rPr>
                <w:rFonts w:ascii="Calibri" w:hAnsi="Calibri" w:cs="Calibri"/>
                <w:color w:val="000000"/>
                <w:sz w:val="20"/>
                <w:szCs w:val="20"/>
              </w:rPr>
            </w:pPr>
            <w:r w:rsidRPr="005F6FCB">
              <w:rPr>
                <w:rFonts w:ascii="Calibri" w:hAnsi="Calibri" w:cs="Calibri"/>
                <w:color w:val="000000"/>
                <w:sz w:val="20"/>
                <w:szCs w:val="20"/>
              </w:rPr>
              <w:t>-6.2% (-11.1, -1.0)*</w:t>
            </w:r>
          </w:p>
          <w:p w14:paraId="2D2201F8"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16"/>
                <w:szCs w:val="16"/>
              </w:rPr>
              <w:t>p-value = 0.0212</w:t>
            </w:r>
          </w:p>
        </w:tc>
        <w:tc>
          <w:tcPr>
            <w:tcW w:w="284" w:type="dxa"/>
            <w:tcBorders>
              <w:left w:val="nil"/>
              <w:right w:val="nil"/>
            </w:tcBorders>
            <w:vAlign w:val="center"/>
          </w:tcPr>
          <w:p w14:paraId="0CB24C55" w14:textId="77777777" w:rsidR="005F6FCB" w:rsidRPr="00EA29EF" w:rsidRDefault="005F6FCB" w:rsidP="00FA153D">
            <w:pPr>
              <w:jc w:val="center"/>
              <w:rPr>
                <w:rFonts w:cstheme="minorHAnsi"/>
                <w:color w:val="000000"/>
                <w:sz w:val="20"/>
                <w:szCs w:val="20"/>
              </w:rPr>
            </w:pPr>
          </w:p>
        </w:tc>
        <w:tc>
          <w:tcPr>
            <w:tcW w:w="1842" w:type="dxa"/>
            <w:tcBorders>
              <w:left w:val="nil"/>
            </w:tcBorders>
            <w:shd w:val="clear" w:color="auto" w:fill="auto"/>
            <w:vAlign w:val="center"/>
          </w:tcPr>
          <w:p w14:paraId="2F270610"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1.2% ( -1.3,  3.6)</w:t>
            </w:r>
          </w:p>
        </w:tc>
        <w:tc>
          <w:tcPr>
            <w:tcW w:w="284" w:type="dxa"/>
            <w:tcBorders>
              <w:left w:val="nil"/>
              <w:right w:val="nil"/>
            </w:tcBorders>
            <w:vAlign w:val="center"/>
          </w:tcPr>
          <w:p w14:paraId="07205B99" w14:textId="77777777" w:rsidR="005F6FCB" w:rsidRPr="009A35BA" w:rsidRDefault="005F6FCB" w:rsidP="00FA153D">
            <w:pPr>
              <w:jc w:val="center"/>
              <w:rPr>
                <w:rFonts w:ascii="Calibri" w:hAnsi="Calibri" w:cs="Calibri"/>
                <w:color w:val="000000"/>
                <w:sz w:val="18"/>
                <w:szCs w:val="18"/>
              </w:rPr>
            </w:pPr>
            <w:r w:rsidRPr="009A35BA">
              <w:rPr>
                <w:rFonts w:ascii="Calibri" w:hAnsi="Calibri" w:cs="Calibri"/>
                <w:b/>
                <w:bCs/>
                <w:color w:val="000000"/>
                <w:sz w:val="18"/>
                <w:szCs w:val="18"/>
              </w:rPr>
              <w:sym w:font="Symbol" w:char="F0AF"/>
            </w:r>
          </w:p>
        </w:tc>
        <w:tc>
          <w:tcPr>
            <w:tcW w:w="1843" w:type="dxa"/>
            <w:tcBorders>
              <w:left w:val="nil"/>
              <w:bottom w:val="single" w:sz="4" w:space="0" w:color="auto"/>
              <w:right w:val="nil"/>
            </w:tcBorders>
            <w:shd w:val="clear" w:color="auto" w:fill="auto"/>
            <w:vAlign w:val="center"/>
          </w:tcPr>
          <w:p w14:paraId="7F66B081"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-6.8% (-9.5, -4.1)*</w:t>
            </w:r>
          </w:p>
        </w:tc>
      </w:tr>
      <w:tr w:rsidR="005F6FCB" w:rsidRPr="004901B0" w14:paraId="0C6216F0" w14:textId="77777777" w:rsidTr="003A41F4">
        <w:trPr>
          <w:trHeight w:val="49"/>
        </w:trPr>
        <w:tc>
          <w:tcPr>
            <w:tcW w:w="1276" w:type="dxa"/>
            <w:vMerge/>
            <w:tcBorders>
              <w:left w:val="nil"/>
              <w:bottom w:val="single" w:sz="12" w:space="0" w:color="auto"/>
            </w:tcBorders>
            <w:shd w:val="clear" w:color="auto" w:fill="auto"/>
            <w:noWrap/>
            <w:tcMar>
              <w:top w:w="15" w:type="dxa"/>
              <w:left w:w="15" w:type="dxa"/>
              <w:bottom w:w="0" w:type="dxa"/>
              <w:right w:w="15" w:type="dxa"/>
            </w:tcMar>
            <w:vAlign w:val="center"/>
          </w:tcPr>
          <w:p w14:paraId="694756FE" w14:textId="77777777" w:rsidR="005F6FCB" w:rsidRPr="009A35BA" w:rsidRDefault="005F6FCB" w:rsidP="00FA153D">
            <w:pPr>
              <w:jc w:val="center"/>
              <w:rPr>
                <w:rFonts w:ascii="Calibri" w:eastAsia="Times New Roman" w:hAnsi="Calibri" w:cs="Calibri"/>
                <w:color w:val="000000"/>
                <w:sz w:val="18"/>
                <w:szCs w:val="18"/>
                <w:lang w:eastAsia="en-GB"/>
              </w:rPr>
            </w:pPr>
          </w:p>
        </w:tc>
        <w:tc>
          <w:tcPr>
            <w:tcW w:w="1273" w:type="dxa"/>
            <w:vMerge/>
            <w:tcBorders>
              <w:left w:val="nil"/>
              <w:bottom w:val="single" w:sz="12" w:space="0" w:color="auto"/>
              <w:right w:val="single" w:sz="4" w:space="0" w:color="auto"/>
            </w:tcBorders>
            <w:vAlign w:val="center"/>
          </w:tcPr>
          <w:p w14:paraId="70E1451B" w14:textId="77777777" w:rsidR="005F6FCB" w:rsidRPr="009A35BA" w:rsidRDefault="005F6FCB" w:rsidP="00FA153D">
            <w:pPr>
              <w:jc w:val="center"/>
              <w:rPr>
                <w:rFonts w:ascii="Calibri" w:eastAsia="Times New Roman" w:hAnsi="Calibri" w:cs="Calibri"/>
                <w:color w:val="000000"/>
                <w:sz w:val="18"/>
                <w:szCs w:val="18"/>
                <w:lang w:eastAsia="en-GB"/>
              </w:rPr>
            </w:pPr>
          </w:p>
        </w:tc>
        <w:tc>
          <w:tcPr>
            <w:tcW w:w="283" w:type="dxa"/>
            <w:tcBorders>
              <w:left w:val="single" w:sz="4" w:space="0" w:color="auto"/>
              <w:bottom w:val="single" w:sz="12" w:space="0" w:color="auto"/>
              <w:right w:val="nil"/>
            </w:tcBorders>
            <w:shd w:val="clear" w:color="auto" w:fill="D0CECE" w:themeFill="background2" w:themeFillShade="E6"/>
            <w:vAlign w:val="center"/>
          </w:tcPr>
          <w:p w14:paraId="0D252029" w14:textId="77777777" w:rsidR="005F6FCB" w:rsidRPr="00EA29EF" w:rsidRDefault="005F6FCB" w:rsidP="00FA153D">
            <w:pPr>
              <w:jc w:val="center"/>
              <w:rPr>
                <w:rFonts w:ascii="Calibri" w:hAnsi="Calibri" w:cs="Calibri"/>
                <w:color w:val="000000"/>
                <w:sz w:val="20"/>
                <w:szCs w:val="20"/>
              </w:rPr>
            </w:pPr>
          </w:p>
        </w:tc>
        <w:tc>
          <w:tcPr>
            <w:tcW w:w="1846" w:type="dxa"/>
            <w:tcBorders>
              <w:left w:val="nil"/>
              <w:bottom w:val="single" w:sz="12" w:space="0" w:color="auto"/>
            </w:tcBorders>
            <w:shd w:val="clear" w:color="auto" w:fill="D0CECE" w:themeFill="background2" w:themeFillShade="E6"/>
            <w:vAlign w:val="center"/>
          </w:tcPr>
          <w:p w14:paraId="644F8867" w14:textId="77777777" w:rsidR="005F6FCB" w:rsidRPr="005F6FCB" w:rsidRDefault="005F6FCB" w:rsidP="00FA153D">
            <w:pPr>
              <w:jc w:val="center"/>
              <w:rPr>
                <w:rFonts w:ascii="Calibri" w:eastAsia="Times New Roman" w:hAnsi="Calibri" w:cs="Calibri"/>
                <w:color w:val="000000"/>
                <w:sz w:val="20"/>
                <w:szCs w:val="20"/>
                <w:lang w:eastAsia="en-GB"/>
              </w:rPr>
            </w:pPr>
            <w:r w:rsidRPr="005F6FCB">
              <w:rPr>
                <w:rFonts w:ascii="Calibri" w:hAnsi="Calibri" w:cs="Calibri"/>
                <w:color w:val="000000"/>
                <w:sz w:val="20"/>
                <w:szCs w:val="20"/>
              </w:rPr>
              <w:t>23.7% (-15.4, 81.1)</w:t>
            </w:r>
          </w:p>
        </w:tc>
        <w:tc>
          <w:tcPr>
            <w:tcW w:w="284" w:type="dxa"/>
            <w:tcBorders>
              <w:left w:val="nil"/>
              <w:bottom w:val="single" w:sz="12" w:space="0" w:color="auto"/>
              <w:right w:val="nil"/>
            </w:tcBorders>
            <w:shd w:val="clear" w:color="auto" w:fill="D0CECE" w:themeFill="background2" w:themeFillShade="E6"/>
            <w:vAlign w:val="center"/>
          </w:tcPr>
          <w:p w14:paraId="5A30CA82" w14:textId="77777777" w:rsidR="005F6FCB" w:rsidRPr="00EA29EF" w:rsidRDefault="005F6FCB" w:rsidP="00FA153D">
            <w:pPr>
              <w:jc w:val="center"/>
              <w:rPr>
                <w:rFonts w:cstheme="minorHAnsi"/>
                <w:color w:val="000000"/>
                <w:sz w:val="20"/>
                <w:szCs w:val="20"/>
              </w:rPr>
            </w:pPr>
          </w:p>
        </w:tc>
        <w:tc>
          <w:tcPr>
            <w:tcW w:w="1842" w:type="dxa"/>
            <w:tcBorders>
              <w:left w:val="nil"/>
              <w:bottom w:val="single" w:sz="12" w:space="0" w:color="auto"/>
            </w:tcBorders>
            <w:shd w:val="clear" w:color="auto" w:fill="D0CECE" w:themeFill="background2" w:themeFillShade="E6"/>
            <w:vAlign w:val="center"/>
          </w:tcPr>
          <w:p w14:paraId="1CD5B711" w14:textId="77777777" w:rsidR="005F6FCB" w:rsidRPr="005F6FCB" w:rsidRDefault="005F6FCB" w:rsidP="00FA153D">
            <w:pPr>
              <w:jc w:val="center"/>
              <w:rPr>
                <w:rFonts w:eastAsia="Times New Roman" w:cstheme="minorHAnsi"/>
                <w:color w:val="000000"/>
                <w:sz w:val="20"/>
                <w:szCs w:val="20"/>
                <w:lang w:eastAsia="en-GB"/>
              </w:rPr>
            </w:pPr>
            <w:r w:rsidRPr="005F6FCB">
              <w:rPr>
                <w:rFonts w:cstheme="minorHAnsi"/>
                <w:color w:val="000000"/>
                <w:sz w:val="20"/>
                <w:szCs w:val="20"/>
              </w:rPr>
              <w:t>-5.9% (-18.2,  8.2)</w:t>
            </w:r>
          </w:p>
        </w:tc>
        <w:tc>
          <w:tcPr>
            <w:tcW w:w="284" w:type="dxa"/>
            <w:tcBorders>
              <w:left w:val="nil"/>
              <w:bottom w:val="single" w:sz="12" w:space="0" w:color="auto"/>
              <w:right w:val="nil"/>
            </w:tcBorders>
            <w:shd w:val="clear" w:color="auto" w:fill="D0CECE" w:themeFill="background2" w:themeFillShade="E6"/>
            <w:vAlign w:val="center"/>
          </w:tcPr>
          <w:p w14:paraId="4DDCD8D9" w14:textId="77777777" w:rsidR="005F6FCB" w:rsidRPr="009A35BA" w:rsidRDefault="005F6FCB" w:rsidP="00FA153D">
            <w:pPr>
              <w:jc w:val="center"/>
              <w:rPr>
                <w:rFonts w:ascii="Calibri" w:hAnsi="Calibri" w:cs="Calibri"/>
                <w:color w:val="000000"/>
                <w:sz w:val="18"/>
                <w:szCs w:val="18"/>
              </w:rPr>
            </w:pPr>
          </w:p>
        </w:tc>
        <w:tc>
          <w:tcPr>
            <w:tcW w:w="1843" w:type="dxa"/>
            <w:tcBorders>
              <w:left w:val="nil"/>
              <w:bottom w:val="single" w:sz="12" w:space="0" w:color="auto"/>
              <w:right w:val="nil"/>
            </w:tcBorders>
            <w:shd w:val="clear" w:color="auto" w:fill="D0CECE" w:themeFill="background2" w:themeFillShade="E6"/>
            <w:vAlign w:val="center"/>
          </w:tcPr>
          <w:p w14:paraId="2C77D639" w14:textId="77777777" w:rsidR="005F6FCB" w:rsidRPr="00D31AF3" w:rsidRDefault="005F6FCB" w:rsidP="00FA153D">
            <w:pPr>
              <w:jc w:val="center"/>
              <w:rPr>
                <w:rFonts w:ascii="Calibri" w:hAnsi="Calibri" w:cs="Calibri"/>
                <w:color w:val="000000"/>
                <w:sz w:val="20"/>
                <w:szCs w:val="20"/>
              </w:rPr>
            </w:pPr>
            <w:r w:rsidRPr="00D31AF3">
              <w:rPr>
                <w:rFonts w:ascii="Calibri" w:hAnsi="Calibri" w:cs="Calibri"/>
                <w:color w:val="000000"/>
                <w:sz w:val="20"/>
                <w:szCs w:val="20"/>
              </w:rPr>
              <w:t>21.0% (-10.2, 62.9)</w:t>
            </w:r>
          </w:p>
        </w:tc>
      </w:tr>
    </w:tbl>
    <w:p w14:paraId="417D7FB7" w14:textId="27778365" w:rsidR="009A35BA" w:rsidRDefault="005F6FCB">
      <w:pPr>
        <w:rPr>
          <w:b/>
          <w:bCs/>
          <w:sz w:val="18"/>
          <w:szCs w:val="18"/>
        </w:rPr>
      </w:pPr>
      <w:r w:rsidRPr="00173CAD">
        <w:rPr>
          <w:sz w:val="16"/>
          <w:szCs w:val="16"/>
          <w:lang w:val="en-US"/>
        </w:rPr>
        <w:t>* p-value &lt; 0.0</w:t>
      </w:r>
      <w:r>
        <w:rPr>
          <w:sz w:val="16"/>
          <w:szCs w:val="16"/>
          <w:lang w:val="en-US"/>
        </w:rPr>
        <w:t>001</w:t>
      </w:r>
      <w:r w:rsidR="009A35BA">
        <w:rPr>
          <w:b/>
          <w:bCs/>
          <w:sz w:val="18"/>
          <w:szCs w:val="18"/>
        </w:rPr>
        <w:br w:type="page"/>
      </w:r>
    </w:p>
    <w:p w14:paraId="44690189" w14:textId="73FB439F" w:rsidR="00D24C11" w:rsidRPr="006A157A" w:rsidRDefault="00D24C11" w:rsidP="00D24C11">
      <w:pPr>
        <w:spacing w:after="100"/>
        <w:jc w:val="both"/>
        <w:rPr>
          <w:sz w:val="18"/>
          <w:szCs w:val="18"/>
          <w:lang w:val="en-US"/>
        </w:rPr>
      </w:pPr>
      <w:r w:rsidRPr="006A157A">
        <w:rPr>
          <w:b/>
          <w:bCs/>
          <w:sz w:val="18"/>
          <w:szCs w:val="18"/>
        </w:rPr>
        <w:lastRenderedPageBreak/>
        <w:t>Table S</w:t>
      </w:r>
      <w:r w:rsidRPr="006A157A">
        <w:rPr>
          <w:b/>
          <w:bCs/>
          <w:sz w:val="18"/>
          <w:szCs w:val="18"/>
        </w:rPr>
        <w:fldChar w:fldCharType="begin"/>
      </w:r>
      <w:r w:rsidRPr="006A157A">
        <w:rPr>
          <w:b/>
          <w:bCs/>
          <w:sz w:val="18"/>
          <w:szCs w:val="18"/>
        </w:rPr>
        <w:instrText xml:space="preserve"> SEQ Table_S \* ARABIC </w:instrText>
      </w:r>
      <w:r w:rsidRPr="006A157A">
        <w:rPr>
          <w:b/>
          <w:bCs/>
          <w:sz w:val="18"/>
          <w:szCs w:val="18"/>
        </w:rPr>
        <w:fldChar w:fldCharType="separate"/>
      </w:r>
      <w:r w:rsidR="00EC4F6F">
        <w:rPr>
          <w:b/>
          <w:bCs/>
          <w:noProof/>
          <w:sz w:val="18"/>
          <w:szCs w:val="18"/>
        </w:rPr>
        <w:t>9</w:t>
      </w:r>
      <w:r w:rsidRPr="006A157A">
        <w:rPr>
          <w:b/>
          <w:bCs/>
          <w:sz w:val="18"/>
          <w:szCs w:val="18"/>
        </w:rPr>
        <w:fldChar w:fldCharType="end"/>
      </w:r>
      <w:r w:rsidRPr="006A157A">
        <w:rPr>
          <w:b/>
          <w:bCs/>
          <w:sz w:val="18"/>
          <w:szCs w:val="18"/>
        </w:rPr>
        <w:t>.</w:t>
      </w:r>
      <w:r w:rsidRPr="006A157A">
        <w:rPr>
          <w:b/>
          <w:bCs/>
          <w:sz w:val="18"/>
          <w:szCs w:val="18"/>
          <w:lang w:val="en-US"/>
        </w:rPr>
        <w:t xml:space="preserve"> Change in 3</w:t>
      </w:r>
      <w:r w:rsidRPr="006A157A">
        <w:rPr>
          <w:b/>
          <w:bCs/>
          <w:sz w:val="18"/>
          <w:szCs w:val="18"/>
          <w:vertAlign w:val="superscript"/>
          <w:lang w:val="en-US"/>
        </w:rPr>
        <w:t>rd</w:t>
      </w:r>
      <w:r w:rsidRPr="006A157A">
        <w:rPr>
          <w:b/>
          <w:bCs/>
          <w:sz w:val="18"/>
          <w:szCs w:val="18"/>
          <w:lang w:val="en-US"/>
        </w:rPr>
        <w:t xml:space="preserve"> generation cephalosporin phenotypic incidence and resistance proportion for the pre-pandemic (2007-2019) and pandemic (2020-2022) period.</w:t>
      </w:r>
      <w:r w:rsidRPr="006A157A">
        <w:rPr>
          <w:sz w:val="18"/>
          <w:szCs w:val="18"/>
          <w:lang w:val="en-US"/>
        </w:rPr>
        <w:t xml:space="preserve"> </w:t>
      </w:r>
      <w:r w:rsidRPr="006A157A">
        <w:rPr>
          <w:bCs/>
          <w:sz w:val="18"/>
          <w:szCs w:val="18"/>
          <w:lang w:val="en-US"/>
        </w:rPr>
        <w:t xml:space="preserve">White rows represent average annual percentage change estimates based on generalized estimating equations for 2007-2019, grey shaded rows for 2020-2022. </w:t>
      </w:r>
      <w:r w:rsidRPr="00EB0281">
        <w:rPr>
          <w:bCs/>
          <w:sz w:val="18"/>
          <w:szCs w:val="18"/>
          <w:lang w:val="en-US"/>
        </w:rPr>
        <w:t>Upward or downward pointing arrows indicate statistically significant increasing or decreasing time trends. P-values are given for statistically significant time trends if p-value is larger or equal than 0.0001.</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560"/>
        <w:gridCol w:w="1052"/>
        <w:gridCol w:w="223"/>
        <w:gridCol w:w="1985"/>
        <w:gridCol w:w="283"/>
        <w:gridCol w:w="1843"/>
        <w:gridCol w:w="425"/>
        <w:gridCol w:w="1701"/>
      </w:tblGrid>
      <w:tr w:rsidR="00D24C11" w:rsidRPr="004901B0" w14:paraId="751E42DF" w14:textId="77777777" w:rsidTr="00FA153D">
        <w:trPr>
          <w:trHeight w:val="300"/>
        </w:trPr>
        <w:tc>
          <w:tcPr>
            <w:tcW w:w="1560"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0B6CC8BA" w14:textId="77777777" w:rsidR="00D24C11" w:rsidRPr="009A35BA" w:rsidRDefault="00D24C11" w:rsidP="00FA153D">
            <w:pPr>
              <w:jc w:val="center"/>
              <w:rPr>
                <w:rFonts w:ascii="Calibri" w:eastAsia="Times New Roman" w:hAnsi="Calibri" w:cs="Calibri"/>
                <w:b/>
                <w:bCs/>
                <w:color w:val="000000"/>
                <w:sz w:val="20"/>
                <w:szCs w:val="20"/>
                <w:lang w:eastAsia="en-GB"/>
              </w:rPr>
            </w:pPr>
            <w:r w:rsidRPr="009A35BA">
              <w:rPr>
                <w:rFonts w:ascii="Calibri" w:eastAsia="Times New Roman" w:hAnsi="Calibri" w:cs="Calibri"/>
                <w:b/>
                <w:bCs/>
                <w:color w:val="000000"/>
                <w:sz w:val="20"/>
                <w:szCs w:val="20"/>
                <w:lang w:eastAsia="en-GB"/>
              </w:rPr>
              <w:t>Organism</w:t>
            </w:r>
          </w:p>
        </w:tc>
        <w:tc>
          <w:tcPr>
            <w:tcW w:w="1052" w:type="dxa"/>
            <w:vMerge w:val="restart"/>
            <w:tcBorders>
              <w:top w:val="single" w:sz="12" w:space="0" w:color="auto"/>
              <w:left w:val="nil"/>
              <w:bottom w:val="single" w:sz="12" w:space="0" w:color="auto"/>
              <w:right w:val="single" w:sz="4" w:space="0" w:color="auto"/>
            </w:tcBorders>
            <w:vAlign w:val="center"/>
          </w:tcPr>
          <w:p w14:paraId="675D46E2" w14:textId="77777777" w:rsidR="00D24C11" w:rsidRPr="009A35BA" w:rsidRDefault="00D24C11" w:rsidP="00FA153D">
            <w:pPr>
              <w:jc w:val="center"/>
              <w:rPr>
                <w:rFonts w:ascii="Calibri" w:eastAsia="Times New Roman" w:hAnsi="Calibri" w:cs="Calibri"/>
                <w:b/>
                <w:bCs/>
                <w:color w:val="000000"/>
                <w:sz w:val="20"/>
                <w:szCs w:val="20"/>
                <w:lang w:eastAsia="en-GB"/>
              </w:rPr>
            </w:pPr>
            <w:r w:rsidRPr="009A35BA">
              <w:rPr>
                <w:rFonts w:ascii="Calibri" w:eastAsia="Times New Roman" w:hAnsi="Calibri" w:cs="Calibri"/>
                <w:b/>
                <w:bCs/>
                <w:color w:val="000000"/>
                <w:sz w:val="20"/>
                <w:szCs w:val="20"/>
                <w:lang w:eastAsia="en-GB"/>
              </w:rPr>
              <w:t>Source of infection</w:t>
            </w:r>
          </w:p>
        </w:tc>
        <w:tc>
          <w:tcPr>
            <w:tcW w:w="6460" w:type="dxa"/>
            <w:gridSpan w:val="6"/>
            <w:tcBorders>
              <w:top w:val="single" w:sz="12" w:space="0" w:color="auto"/>
              <w:left w:val="single" w:sz="4" w:space="0" w:color="auto"/>
              <w:bottom w:val="single" w:sz="4" w:space="0" w:color="auto"/>
              <w:right w:val="nil"/>
            </w:tcBorders>
          </w:tcPr>
          <w:p w14:paraId="0075389A" w14:textId="77777777" w:rsidR="00D24C11" w:rsidRPr="009A35BA" w:rsidRDefault="00D24C11" w:rsidP="00FA153D">
            <w:pPr>
              <w:jc w:val="center"/>
              <w:rPr>
                <w:rFonts w:ascii="Calibri" w:eastAsia="Times New Roman" w:hAnsi="Calibri" w:cs="Calibri"/>
                <w:b/>
                <w:bCs/>
                <w:color w:val="000000"/>
                <w:sz w:val="20"/>
                <w:szCs w:val="20"/>
                <w:lang w:eastAsia="en-GB"/>
              </w:rPr>
            </w:pPr>
            <w:r w:rsidRPr="009A35BA">
              <w:rPr>
                <w:rFonts w:ascii="Calibri" w:eastAsia="Times New Roman" w:hAnsi="Calibri" w:cs="Calibri"/>
                <w:b/>
                <w:bCs/>
                <w:color w:val="000000"/>
                <w:sz w:val="20"/>
                <w:szCs w:val="20"/>
                <w:lang w:eastAsia="en-GB"/>
              </w:rPr>
              <w:t>3</w:t>
            </w:r>
            <w:r w:rsidRPr="009A35BA">
              <w:rPr>
                <w:rFonts w:ascii="Calibri" w:eastAsia="Times New Roman" w:hAnsi="Calibri" w:cs="Calibri"/>
                <w:b/>
                <w:bCs/>
                <w:color w:val="000000"/>
                <w:sz w:val="20"/>
                <w:szCs w:val="20"/>
                <w:vertAlign w:val="superscript"/>
                <w:lang w:eastAsia="en-GB"/>
              </w:rPr>
              <w:t>rd</w:t>
            </w:r>
            <w:r w:rsidRPr="009A35BA">
              <w:rPr>
                <w:rFonts w:ascii="Calibri" w:eastAsia="Times New Roman" w:hAnsi="Calibri" w:cs="Calibri"/>
                <w:b/>
                <w:bCs/>
                <w:color w:val="000000"/>
                <w:sz w:val="20"/>
                <w:szCs w:val="20"/>
                <w:lang w:eastAsia="en-GB"/>
              </w:rPr>
              <w:t xml:space="preserve"> generation cephalosporins</w:t>
            </w:r>
          </w:p>
          <w:p w14:paraId="2C092006"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AAPC point estimates (95% confidence interval)</w:t>
            </w:r>
          </w:p>
        </w:tc>
      </w:tr>
      <w:tr w:rsidR="00D24C11" w:rsidRPr="004901B0" w14:paraId="6A767560" w14:textId="77777777" w:rsidTr="00FA153D">
        <w:trPr>
          <w:trHeight w:val="708"/>
        </w:trPr>
        <w:tc>
          <w:tcPr>
            <w:tcW w:w="1560" w:type="dxa"/>
            <w:vMerge/>
            <w:tcBorders>
              <w:left w:val="nil"/>
              <w:bottom w:val="single" w:sz="12" w:space="0" w:color="auto"/>
            </w:tcBorders>
            <w:shd w:val="clear" w:color="auto" w:fill="auto"/>
            <w:noWrap/>
            <w:tcMar>
              <w:top w:w="15" w:type="dxa"/>
              <w:left w:w="15" w:type="dxa"/>
              <w:bottom w:w="0" w:type="dxa"/>
              <w:right w:w="15" w:type="dxa"/>
            </w:tcMar>
            <w:vAlign w:val="bottom"/>
          </w:tcPr>
          <w:p w14:paraId="24F84F4D" w14:textId="77777777" w:rsidR="00D24C11" w:rsidRPr="009A35BA" w:rsidRDefault="00D24C11" w:rsidP="00FA153D">
            <w:pPr>
              <w:rPr>
                <w:rFonts w:ascii="Calibri" w:eastAsia="Times New Roman" w:hAnsi="Calibri" w:cs="Calibri"/>
                <w:color w:val="000000"/>
                <w:sz w:val="20"/>
                <w:szCs w:val="20"/>
                <w:lang w:eastAsia="en-GB"/>
              </w:rPr>
            </w:pPr>
          </w:p>
        </w:tc>
        <w:tc>
          <w:tcPr>
            <w:tcW w:w="1052" w:type="dxa"/>
            <w:vMerge/>
            <w:tcBorders>
              <w:left w:val="nil"/>
              <w:bottom w:val="single" w:sz="12" w:space="0" w:color="auto"/>
              <w:right w:val="single" w:sz="4" w:space="0" w:color="auto"/>
            </w:tcBorders>
          </w:tcPr>
          <w:p w14:paraId="6506F697"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08" w:type="dxa"/>
            <w:gridSpan w:val="2"/>
            <w:tcBorders>
              <w:left w:val="single" w:sz="4" w:space="0" w:color="auto"/>
              <w:bottom w:val="single" w:sz="12" w:space="0" w:color="auto"/>
              <w:right w:val="single" w:sz="4" w:space="0" w:color="auto"/>
            </w:tcBorders>
          </w:tcPr>
          <w:p w14:paraId="572EF2D8"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Incidence of resistant infections</w:t>
            </w:r>
          </w:p>
          <w:p w14:paraId="3F272934"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2007-2019</w:t>
            </w:r>
          </w:p>
          <w:p w14:paraId="5C647679"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2020-2022</w:t>
            </w:r>
          </w:p>
        </w:tc>
        <w:tc>
          <w:tcPr>
            <w:tcW w:w="2126" w:type="dxa"/>
            <w:gridSpan w:val="2"/>
            <w:tcBorders>
              <w:left w:val="single" w:sz="4" w:space="0" w:color="auto"/>
              <w:bottom w:val="single" w:sz="12" w:space="0" w:color="auto"/>
            </w:tcBorders>
          </w:tcPr>
          <w:p w14:paraId="1521DDD8"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Incidence of susceptible infections</w:t>
            </w:r>
          </w:p>
          <w:p w14:paraId="4F4871CC"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2007-2019</w:t>
            </w:r>
          </w:p>
          <w:p w14:paraId="29428025"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2020-2022</w:t>
            </w:r>
          </w:p>
        </w:tc>
        <w:tc>
          <w:tcPr>
            <w:tcW w:w="2126" w:type="dxa"/>
            <w:gridSpan w:val="2"/>
            <w:tcBorders>
              <w:left w:val="nil"/>
              <w:bottom w:val="single" w:sz="12" w:space="0" w:color="auto"/>
              <w:right w:val="nil"/>
            </w:tcBorders>
          </w:tcPr>
          <w:p w14:paraId="773AC788"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Resistance proportion</w:t>
            </w:r>
          </w:p>
          <w:p w14:paraId="2505A02C"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2007-2019</w:t>
            </w:r>
          </w:p>
          <w:p w14:paraId="63DE83E3"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2020-2022</w:t>
            </w:r>
          </w:p>
        </w:tc>
      </w:tr>
      <w:tr w:rsidR="00D24C11" w:rsidRPr="004901B0" w14:paraId="0815CAD7" w14:textId="77777777" w:rsidTr="001629AF">
        <w:trPr>
          <w:trHeight w:val="49"/>
        </w:trPr>
        <w:tc>
          <w:tcPr>
            <w:tcW w:w="1560"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5D81E2E1" w14:textId="77777777" w:rsidR="00D24C11" w:rsidRPr="009A35BA" w:rsidRDefault="00D24C11" w:rsidP="00FA153D">
            <w:pPr>
              <w:jc w:val="center"/>
              <w:rPr>
                <w:rFonts w:ascii="Calibri" w:eastAsia="Times New Roman" w:hAnsi="Calibri" w:cs="Calibri"/>
                <w:i/>
                <w:iCs/>
                <w:color w:val="000000"/>
                <w:sz w:val="20"/>
                <w:szCs w:val="20"/>
                <w:lang w:eastAsia="en-GB"/>
              </w:rPr>
            </w:pPr>
            <w:r w:rsidRPr="009A35BA">
              <w:rPr>
                <w:rFonts w:ascii="Calibri" w:eastAsia="Times New Roman" w:hAnsi="Calibri" w:cs="Calibri"/>
                <w:i/>
                <w:iCs/>
                <w:color w:val="000000"/>
                <w:sz w:val="20"/>
                <w:szCs w:val="20"/>
                <w:lang w:eastAsia="en-GB"/>
              </w:rPr>
              <w:t>E. coli</w:t>
            </w:r>
          </w:p>
        </w:tc>
        <w:tc>
          <w:tcPr>
            <w:tcW w:w="1052" w:type="dxa"/>
            <w:vMerge w:val="restart"/>
            <w:tcBorders>
              <w:top w:val="single" w:sz="12" w:space="0" w:color="auto"/>
              <w:left w:val="nil"/>
              <w:right w:val="single" w:sz="4" w:space="0" w:color="auto"/>
            </w:tcBorders>
            <w:vAlign w:val="center"/>
          </w:tcPr>
          <w:p w14:paraId="5AE9A701"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Overall</w:t>
            </w:r>
          </w:p>
        </w:tc>
        <w:tc>
          <w:tcPr>
            <w:tcW w:w="223" w:type="dxa"/>
            <w:tcBorders>
              <w:top w:val="single" w:sz="12" w:space="0" w:color="auto"/>
              <w:left w:val="single" w:sz="4" w:space="0" w:color="auto"/>
              <w:right w:val="nil"/>
            </w:tcBorders>
            <w:vAlign w:val="center"/>
          </w:tcPr>
          <w:p w14:paraId="50B8C653"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985" w:type="dxa"/>
            <w:tcBorders>
              <w:top w:val="single" w:sz="12" w:space="0" w:color="auto"/>
              <w:left w:val="nil"/>
              <w:right w:val="single" w:sz="4" w:space="0" w:color="auto"/>
            </w:tcBorders>
            <w:shd w:val="clear" w:color="auto" w:fill="auto"/>
            <w:vAlign w:val="center"/>
          </w:tcPr>
          <w:p w14:paraId="5B9D4CBF"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6.1% ( 3.9, 8.2)</w:t>
            </w:r>
            <w:r>
              <w:rPr>
                <w:rFonts w:ascii="Calibri" w:hAnsi="Calibri" w:cs="Calibri"/>
                <w:color w:val="000000"/>
                <w:sz w:val="20"/>
                <w:szCs w:val="20"/>
              </w:rPr>
              <w:t>*</w:t>
            </w:r>
          </w:p>
        </w:tc>
        <w:tc>
          <w:tcPr>
            <w:tcW w:w="283" w:type="dxa"/>
            <w:tcBorders>
              <w:top w:val="single" w:sz="12" w:space="0" w:color="auto"/>
              <w:left w:val="single" w:sz="4" w:space="0" w:color="auto"/>
              <w:right w:val="nil"/>
            </w:tcBorders>
            <w:vAlign w:val="center"/>
          </w:tcPr>
          <w:p w14:paraId="3C96191F"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843" w:type="dxa"/>
            <w:tcBorders>
              <w:top w:val="single" w:sz="12" w:space="0" w:color="auto"/>
              <w:left w:val="nil"/>
            </w:tcBorders>
            <w:shd w:val="clear" w:color="auto" w:fill="auto"/>
            <w:vAlign w:val="center"/>
          </w:tcPr>
          <w:p w14:paraId="654E9D04"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-2.0% (-3.2, -0.8)</w:t>
            </w:r>
          </w:p>
          <w:p w14:paraId="13EA8BBB"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0.0016</w:t>
            </w:r>
          </w:p>
        </w:tc>
        <w:tc>
          <w:tcPr>
            <w:tcW w:w="425" w:type="dxa"/>
            <w:tcBorders>
              <w:top w:val="single" w:sz="12" w:space="0" w:color="auto"/>
              <w:left w:val="nil"/>
              <w:right w:val="nil"/>
            </w:tcBorders>
            <w:vAlign w:val="center"/>
          </w:tcPr>
          <w:p w14:paraId="27FF4047"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701" w:type="dxa"/>
            <w:tcBorders>
              <w:top w:val="single" w:sz="12" w:space="0" w:color="auto"/>
              <w:left w:val="nil"/>
              <w:right w:val="nil"/>
            </w:tcBorders>
            <w:shd w:val="clear" w:color="auto" w:fill="auto"/>
            <w:vAlign w:val="center"/>
          </w:tcPr>
          <w:p w14:paraId="0651B83E"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8.5% ( 6.2, 10.7)*</w:t>
            </w:r>
          </w:p>
        </w:tc>
      </w:tr>
      <w:tr w:rsidR="00D24C11" w:rsidRPr="004901B0" w14:paraId="6AE9CFD6"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471342F1"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right w:val="single" w:sz="4" w:space="0" w:color="auto"/>
            </w:tcBorders>
            <w:vAlign w:val="center"/>
          </w:tcPr>
          <w:p w14:paraId="48FBF12A"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045FBB64"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67A4AAB7"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-0.2% (-8.8, 9.3)</w:t>
            </w:r>
          </w:p>
        </w:tc>
        <w:tc>
          <w:tcPr>
            <w:tcW w:w="283" w:type="dxa"/>
            <w:tcBorders>
              <w:left w:val="single" w:sz="4" w:space="0" w:color="auto"/>
              <w:right w:val="nil"/>
            </w:tcBorders>
            <w:shd w:val="clear" w:color="auto" w:fill="D0CECE" w:themeFill="background2" w:themeFillShade="E6"/>
            <w:vAlign w:val="center"/>
          </w:tcPr>
          <w:p w14:paraId="333621F2"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D0CECE" w:themeFill="background2" w:themeFillShade="E6"/>
            <w:vAlign w:val="center"/>
          </w:tcPr>
          <w:p w14:paraId="3EC1173B"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-1.6% (-6.7, 3.8)</w:t>
            </w:r>
          </w:p>
        </w:tc>
        <w:tc>
          <w:tcPr>
            <w:tcW w:w="425" w:type="dxa"/>
            <w:tcBorders>
              <w:left w:val="nil"/>
              <w:right w:val="nil"/>
            </w:tcBorders>
            <w:shd w:val="clear" w:color="auto" w:fill="D0CECE" w:themeFill="background2" w:themeFillShade="E6"/>
            <w:vAlign w:val="center"/>
          </w:tcPr>
          <w:p w14:paraId="10A515DE"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28449A8D"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-1.7% (-9.4, 6.8)</w:t>
            </w:r>
          </w:p>
        </w:tc>
      </w:tr>
      <w:tr w:rsidR="00D24C11" w:rsidRPr="004901B0" w14:paraId="31EF1414"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26D742EC"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right w:val="single" w:sz="4" w:space="0" w:color="auto"/>
            </w:tcBorders>
            <w:vAlign w:val="center"/>
          </w:tcPr>
          <w:p w14:paraId="2B2F2D14"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Community-onset</w:t>
            </w:r>
          </w:p>
        </w:tc>
        <w:tc>
          <w:tcPr>
            <w:tcW w:w="223" w:type="dxa"/>
            <w:tcBorders>
              <w:left w:val="single" w:sz="4" w:space="0" w:color="auto"/>
              <w:right w:val="nil"/>
            </w:tcBorders>
            <w:vAlign w:val="center"/>
          </w:tcPr>
          <w:p w14:paraId="4BE12DD5"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985" w:type="dxa"/>
            <w:tcBorders>
              <w:left w:val="nil"/>
              <w:right w:val="single" w:sz="4" w:space="0" w:color="auto"/>
            </w:tcBorders>
            <w:shd w:val="clear" w:color="auto" w:fill="auto"/>
            <w:vAlign w:val="center"/>
          </w:tcPr>
          <w:p w14:paraId="18A82EDB"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6.5% ( 4.0, 9.0)</w:t>
            </w:r>
            <w:r>
              <w:rPr>
                <w:rFonts w:ascii="Calibri" w:hAnsi="Calibri" w:cs="Calibri"/>
                <w:color w:val="000000"/>
                <w:sz w:val="20"/>
                <w:szCs w:val="20"/>
              </w:rPr>
              <w:t>*</w:t>
            </w:r>
          </w:p>
        </w:tc>
        <w:tc>
          <w:tcPr>
            <w:tcW w:w="283" w:type="dxa"/>
            <w:tcBorders>
              <w:left w:val="single" w:sz="4" w:space="0" w:color="auto"/>
              <w:right w:val="nil"/>
            </w:tcBorders>
            <w:vAlign w:val="center"/>
          </w:tcPr>
          <w:p w14:paraId="071A3F4F"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auto"/>
            <w:vAlign w:val="center"/>
          </w:tcPr>
          <w:p w14:paraId="14FB7293"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-1.0% (-2.4, 0.4)</w:t>
            </w:r>
          </w:p>
        </w:tc>
        <w:tc>
          <w:tcPr>
            <w:tcW w:w="425" w:type="dxa"/>
            <w:tcBorders>
              <w:left w:val="nil"/>
              <w:right w:val="nil"/>
            </w:tcBorders>
            <w:vAlign w:val="center"/>
          </w:tcPr>
          <w:p w14:paraId="0D671FB6"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701" w:type="dxa"/>
            <w:tcBorders>
              <w:left w:val="nil"/>
              <w:right w:val="nil"/>
            </w:tcBorders>
            <w:shd w:val="clear" w:color="auto" w:fill="auto"/>
            <w:vAlign w:val="center"/>
          </w:tcPr>
          <w:p w14:paraId="48384655"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8.2% ( 5.8, 10.7)*</w:t>
            </w:r>
          </w:p>
        </w:tc>
      </w:tr>
      <w:tr w:rsidR="00D24C11" w:rsidRPr="004901B0" w14:paraId="4481B4E8"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3BE21E01"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4" w:space="0" w:color="auto"/>
              <w:right w:val="single" w:sz="4" w:space="0" w:color="auto"/>
            </w:tcBorders>
            <w:vAlign w:val="center"/>
          </w:tcPr>
          <w:p w14:paraId="6CA5E4ED"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334C4CC3"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1129A7A4"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-10.6% (-19.7, -0.3)</w:t>
            </w:r>
          </w:p>
          <w:p w14:paraId="0610E70B"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0.0431</w:t>
            </w:r>
          </w:p>
        </w:tc>
        <w:tc>
          <w:tcPr>
            <w:tcW w:w="283" w:type="dxa"/>
            <w:tcBorders>
              <w:left w:val="single" w:sz="4" w:space="0" w:color="auto"/>
              <w:right w:val="nil"/>
            </w:tcBorders>
            <w:shd w:val="clear" w:color="auto" w:fill="D0CECE" w:themeFill="background2" w:themeFillShade="E6"/>
            <w:vAlign w:val="center"/>
          </w:tcPr>
          <w:p w14:paraId="517C47C5"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843" w:type="dxa"/>
            <w:tcBorders>
              <w:left w:val="nil"/>
            </w:tcBorders>
            <w:shd w:val="clear" w:color="auto" w:fill="D0CECE" w:themeFill="background2" w:themeFillShade="E6"/>
            <w:vAlign w:val="center"/>
          </w:tcPr>
          <w:p w14:paraId="27DA21F1"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-6.0% (-11.2, -0.6)</w:t>
            </w:r>
          </w:p>
          <w:p w14:paraId="7654D810"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0.0303</w:t>
            </w:r>
          </w:p>
        </w:tc>
        <w:tc>
          <w:tcPr>
            <w:tcW w:w="425" w:type="dxa"/>
            <w:tcBorders>
              <w:left w:val="nil"/>
              <w:right w:val="nil"/>
            </w:tcBorders>
            <w:shd w:val="clear" w:color="auto" w:fill="D0CECE" w:themeFill="background2" w:themeFillShade="E6"/>
            <w:vAlign w:val="center"/>
          </w:tcPr>
          <w:p w14:paraId="2FF1E2E3"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6D99E8B7"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-7.4% (-16.3, 2.5)</w:t>
            </w:r>
          </w:p>
        </w:tc>
      </w:tr>
      <w:tr w:rsidR="00D24C11" w:rsidRPr="004901B0" w14:paraId="7ECDA725"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3F060F02"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bottom w:val="single" w:sz="12" w:space="0" w:color="auto"/>
              <w:right w:val="single" w:sz="4" w:space="0" w:color="auto"/>
            </w:tcBorders>
            <w:vAlign w:val="center"/>
          </w:tcPr>
          <w:p w14:paraId="667A9AB0"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Hospital-associated</w:t>
            </w:r>
          </w:p>
        </w:tc>
        <w:tc>
          <w:tcPr>
            <w:tcW w:w="223" w:type="dxa"/>
            <w:tcBorders>
              <w:left w:val="single" w:sz="4" w:space="0" w:color="auto"/>
              <w:bottom w:val="single" w:sz="4" w:space="0" w:color="auto"/>
              <w:right w:val="nil"/>
            </w:tcBorders>
            <w:vAlign w:val="center"/>
          </w:tcPr>
          <w:p w14:paraId="088D3F69"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985" w:type="dxa"/>
            <w:tcBorders>
              <w:left w:val="nil"/>
              <w:bottom w:val="single" w:sz="4" w:space="0" w:color="auto"/>
              <w:right w:val="single" w:sz="4" w:space="0" w:color="auto"/>
            </w:tcBorders>
            <w:shd w:val="clear" w:color="auto" w:fill="auto"/>
            <w:vAlign w:val="center"/>
          </w:tcPr>
          <w:p w14:paraId="2DC66115"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5.6% ( 3.5, 7.9)</w:t>
            </w:r>
            <w:r>
              <w:rPr>
                <w:rFonts w:ascii="Calibri" w:hAnsi="Calibri" w:cs="Calibri"/>
                <w:color w:val="000000"/>
                <w:sz w:val="20"/>
                <w:szCs w:val="20"/>
              </w:rPr>
              <w:t>*</w:t>
            </w:r>
          </w:p>
        </w:tc>
        <w:tc>
          <w:tcPr>
            <w:tcW w:w="283" w:type="dxa"/>
            <w:tcBorders>
              <w:left w:val="single" w:sz="4" w:space="0" w:color="auto"/>
              <w:bottom w:val="single" w:sz="4" w:space="0" w:color="auto"/>
              <w:right w:val="nil"/>
            </w:tcBorders>
            <w:vAlign w:val="center"/>
          </w:tcPr>
          <w:p w14:paraId="2E87367A"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843" w:type="dxa"/>
            <w:tcBorders>
              <w:left w:val="nil"/>
              <w:bottom w:val="single" w:sz="4" w:space="0" w:color="auto"/>
            </w:tcBorders>
            <w:shd w:val="clear" w:color="auto" w:fill="auto"/>
            <w:vAlign w:val="center"/>
          </w:tcPr>
          <w:p w14:paraId="1441A39D"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-2.9% (-4.1, -1.7)</w:t>
            </w:r>
            <w:r>
              <w:rPr>
                <w:rFonts w:ascii="Calibri" w:hAnsi="Calibri" w:cs="Calibri"/>
                <w:color w:val="000000"/>
                <w:sz w:val="20"/>
                <w:szCs w:val="20"/>
              </w:rPr>
              <w:t>*</w:t>
            </w:r>
          </w:p>
        </w:tc>
        <w:tc>
          <w:tcPr>
            <w:tcW w:w="425" w:type="dxa"/>
            <w:tcBorders>
              <w:left w:val="nil"/>
              <w:bottom w:val="single" w:sz="4" w:space="0" w:color="auto"/>
              <w:right w:val="nil"/>
            </w:tcBorders>
            <w:vAlign w:val="center"/>
          </w:tcPr>
          <w:p w14:paraId="352E87D7"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701" w:type="dxa"/>
            <w:tcBorders>
              <w:left w:val="nil"/>
              <w:bottom w:val="single" w:sz="4" w:space="0" w:color="auto"/>
              <w:right w:val="nil"/>
            </w:tcBorders>
            <w:shd w:val="clear" w:color="auto" w:fill="auto"/>
            <w:vAlign w:val="center"/>
          </w:tcPr>
          <w:p w14:paraId="551E19B9"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8.7% ( 6.3, 11.2)*</w:t>
            </w:r>
          </w:p>
        </w:tc>
      </w:tr>
      <w:tr w:rsidR="00D24C11" w:rsidRPr="004901B0" w14:paraId="4AF23B48"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32922796"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12" w:space="0" w:color="auto"/>
              <w:right w:val="single" w:sz="4" w:space="0" w:color="auto"/>
            </w:tcBorders>
            <w:vAlign w:val="center"/>
          </w:tcPr>
          <w:p w14:paraId="2C0563C2"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bottom w:val="single" w:sz="12" w:space="0" w:color="auto"/>
              <w:right w:val="nil"/>
            </w:tcBorders>
            <w:shd w:val="clear" w:color="auto" w:fill="D0CECE" w:themeFill="background2" w:themeFillShade="E6"/>
            <w:vAlign w:val="center"/>
          </w:tcPr>
          <w:p w14:paraId="65D0E124" w14:textId="77777777" w:rsidR="00D24C11" w:rsidRPr="009A35BA" w:rsidRDefault="00D24C11" w:rsidP="00FA153D">
            <w:pPr>
              <w:jc w:val="center"/>
              <w:rPr>
                <w:rFonts w:ascii="Calibri" w:hAnsi="Calibri" w:cs="Calibri"/>
                <w:color w:val="000000"/>
                <w:sz w:val="20"/>
                <w:szCs w:val="20"/>
              </w:rPr>
            </w:pPr>
          </w:p>
        </w:tc>
        <w:tc>
          <w:tcPr>
            <w:tcW w:w="1985" w:type="dxa"/>
            <w:tcBorders>
              <w:left w:val="nil"/>
              <w:bottom w:val="single" w:sz="12" w:space="0" w:color="auto"/>
              <w:right w:val="single" w:sz="4" w:space="0" w:color="auto"/>
            </w:tcBorders>
            <w:shd w:val="clear" w:color="auto" w:fill="D0CECE" w:themeFill="background2" w:themeFillShade="E6"/>
            <w:vAlign w:val="center"/>
          </w:tcPr>
          <w:p w14:paraId="195A0FDA"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11.4% ( 1.0, 22.9)</w:t>
            </w:r>
          </w:p>
          <w:p w14:paraId="2F1ED5A5"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0.0302</w:t>
            </w:r>
          </w:p>
        </w:tc>
        <w:tc>
          <w:tcPr>
            <w:tcW w:w="283" w:type="dxa"/>
            <w:tcBorders>
              <w:left w:val="single" w:sz="4" w:space="0" w:color="auto"/>
              <w:bottom w:val="single" w:sz="12" w:space="0" w:color="auto"/>
              <w:right w:val="nil"/>
            </w:tcBorders>
            <w:shd w:val="clear" w:color="auto" w:fill="D0CECE" w:themeFill="background2" w:themeFillShade="E6"/>
            <w:vAlign w:val="center"/>
          </w:tcPr>
          <w:p w14:paraId="4CF6DE4D" w14:textId="77777777" w:rsidR="00D24C11" w:rsidRPr="009A35BA" w:rsidRDefault="00D24C11" w:rsidP="00FA153D">
            <w:pPr>
              <w:jc w:val="center"/>
              <w:rPr>
                <w:rFonts w:ascii="Calibri" w:hAnsi="Calibri" w:cs="Calibri"/>
                <w:color w:val="000000"/>
                <w:sz w:val="20"/>
                <w:szCs w:val="20"/>
              </w:rPr>
            </w:pPr>
          </w:p>
        </w:tc>
        <w:tc>
          <w:tcPr>
            <w:tcW w:w="1843" w:type="dxa"/>
            <w:tcBorders>
              <w:left w:val="nil"/>
              <w:bottom w:val="single" w:sz="12" w:space="0" w:color="auto"/>
            </w:tcBorders>
            <w:shd w:val="clear" w:color="auto" w:fill="D0CECE" w:themeFill="background2" w:themeFillShade="E6"/>
            <w:vAlign w:val="center"/>
          </w:tcPr>
          <w:p w14:paraId="35BB1520"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3.0% (-3.7, 10.2)</w:t>
            </w:r>
          </w:p>
        </w:tc>
        <w:tc>
          <w:tcPr>
            <w:tcW w:w="425" w:type="dxa"/>
            <w:tcBorders>
              <w:left w:val="nil"/>
              <w:bottom w:val="single" w:sz="12" w:space="0" w:color="auto"/>
              <w:right w:val="nil"/>
            </w:tcBorders>
            <w:shd w:val="clear" w:color="auto" w:fill="D0CECE" w:themeFill="background2" w:themeFillShade="E6"/>
            <w:vAlign w:val="center"/>
          </w:tcPr>
          <w:p w14:paraId="65264EB4" w14:textId="77777777" w:rsidR="00D24C11" w:rsidRPr="009A35BA" w:rsidRDefault="00D24C11" w:rsidP="00FA153D">
            <w:pPr>
              <w:jc w:val="center"/>
              <w:rPr>
                <w:rFonts w:ascii="Calibri" w:hAnsi="Calibri" w:cs="Calibri"/>
                <w:color w:val="000000"/>
                <w:sz w:val="20"/>
                <w:szCs w:val="20"/>
              </w:rPr>
            </w:pPr>
          </w:p>
        </w:tc>
        <w:tc>
          <w:tcPr>
            <w:tcW w:w="1701" w:type="dxa"/>
            <w:tcBorders>
              <w:left w:val="nil"/>
              <w:bottom w:val="single" w:sz="12" w:space="0" w:color="auto"/>
              <w:right w:val="nil"/>
            </w:tcBorders>
            <w:shd w:val="clear" w:color="auto" w:fill="D0CECE" w:themeFill="background2" w:themeFillShade="E6"/>
            <w:vAlign w:val="center"/>
          </w:tcPr>
          <w:p w14:paraId="09A646AE"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4.5% (-4.5, 14.2)</w:t>
            </w:r>
          </w:p>
        </w:tc>
      </w:tr>
      <w:tr w:rsidR="00D24C11" w:rsidRPr="004901B0" w14:paraId="69194511" w14:textId="77777777" w:rsidTr="001629AF">
        <w:trPr>
          <w:trHeight w:val="49"/>
        </w:trPr>
        <w:tc>
          <w:tcPr>
            <w:tcW w:w="1560"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49D90A3A" w14:textId="77777777" w:rsidR="00D24C11" w:rsidRPr="009A35BA" w:rsidRDefault="00D24C11" w:rsidP="00FA153D">
            <w:pPr>
              <w:jc w:val="center"/>
              <w:rPr>
                <w:rFonts w:ascii="Calibri" w:eastAsia="Times New Roman" w:hAnsi="Calibri" w:cs="Calibri"/>
                <w:i/>
                <w:iCs/>
                <w:color w:val="000000"/>
                <w:sz w:val="20"/>
                <w:szCs w:val="20"/>
                <w:lang w:eastAsia="en-GB"/>
              </w:rPr>
            </w:pPr>
            <w:r w:rsidRPr="009A35BA">
              <w:rPr>
                <w:rFonts w:ascii="Calibri" w:eastAsia="Times New Roman" w:hAnsi="Calibri" w:cs="Calibri"/>
                <w:i/>
                <w:iCs/>
                <w:color w:val="000000"/>
                <w:sz w:val="20"/>
                <w:szCs w:val="20"/>
                <w:lang w:eastAsia="en-GB"/>
              </w:rPr>
              <w:t>K. pneumoniae</w:t>
            </w:r>
          </w:p>
        </w:tc>
        <w:tc>
          <w:tcPr>
            <w:tcW w:w="1052" w:type="dxa"/>
            <w:vMerge w:val="restart"/>
            <w:tcBorders>
              <w:top w:val="single" w:sz="12" w:space="0" w:color="auto"/>
              <w:left w:val="nil"/>
              <w:right w:val="single" w:sz="4" w:space="0" w:color="auto"/>
            </w:tcBorders>
            <w:vAlign w:val="center"/>
          </w:tcPr>
          <w:p w14:paraId="266A4171"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Overall</w:t>
            </w:r>
          </w:p>
        </w:tc>
        <w:tc>
          <w:tcPr>
            <w:tcW w:w="223" w:type="dxa"/>
            <w:tcBorders>
              <w:top w:val="single" w:sz="12" w:space="0" w:color="auto"/>
              <w:left w:val="single" w:sz="4" w:space="0" w:color="auto"/>
              <w:right w:val="nil"/>
            </w:tcBorders>
            <w:vAlign w:val="center"/>
          </w:tcPr>
          <w:p w14:paraId="555D54E1" w14:textId="77777777" w:rsidR="00D24C11" w:rsidRPr="009A35BA" w:rsidRDefault="00D24C11" w:rsidP="00FA153D">
            <w:pPr>
              <w:jc w:val="center"/>
              <w:rPr>
                <w:rFonts w:ascii="Calibri" w:hAnsi="Calibri" w:cs="Calibri"/>
                <w:color w:val="000000"/>
                <w:sz w:val="20"/>
                <w:szCs w:val="20"/>
              </w:rPr>
            </w:pPr>
          </w:p>
        </w:tc>
        <w:tc>
          <w:tcPr>
            <w:tcW w:w="1985" w:type="dxa"/>
            <w:tcBorders>
              <w:top w:val="single" w:sz="12" w:space="0" w:color="auto"/>
              <w:left w:val="nil"/>
              <w:right w:val="single" w:sz="4" w:space="0" w:color="auto"/>
            </w:tcBorders>
            <w:shd w:val="clear" w:color="auto" w:fill="auto"/>
            <w:vAlign w:val="center"/>
          </w:tcPr>
          <w:p w14:paraId="788E2ADB"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1.6% (-1.6, 4.9)</w:t>
            </w:r>
          </w:p>
        </w:tc>
        <w:tc>
          <w:tcPr>
            <w:tcW w:w="283" w:type="dxa"/>
            <w:tcBorders>
              <w:top w:val="single" w:sz="12" w:space="0" w:color="auto"/>
              <w:left w:val="single" w:sz="4" w:space="0" w:color="auto"/>
              <w:right w:val="nil"/>
            </w:tcBorders>
            <w:vAlign w:val="center"/>
          </w:tcPr>
          <w:p w14:paraId="010EFBB7" w14:textId="77777777" w:rsidR="00D24C11" w:rsidRPr="009A35BA" w:rsidRDefault="00D24C11" w:rsidP="00FA153D">
            <w:pPr>
              <w:jc w:val="center"/>
              <w:rPr>
                <w:rFonts w:ascii="Calibri" w:hAnsi="Calibri" w:cs="Calibri"/>
                <w:color w:val="000000"/>
                <w:sz w:val="20"/>
                <w:szCs w:val="20"/>
              </w:rPr>
            </w:pPr>
          </w:p>
        </w:tc>
        <w:tc>
          <w:tcPr>
            <w:tcW w:w="1843" w:type="dxa"/>
            <w:tcBorders>
              <w:top w:val="single" w:sz="12" w:space="0" w:color="auto"/>
              <w:left w:val="nil"/>
            </w:tcBorders>
            <w:shd w:val="clear" w:color="auto" w:fill="auto"/>
            <w:vAlign w:val="center"/>
          </w:tcPr>
          <w:p w14:paraId="36DB3B2D"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-0.5% (-1.9, 0.9)</w:t>
            </w:r>
          </w:p>
        </w:tc>
        <w:tc>
          <w:tcPr>
            <w:tcW w:w="425" w:type="dxa"/>
            <w:tcBorders>
              <w:top w:val="single" w:sz="12" w:space="0" w:color="auto"/>
              <w:left w:val="nil"/>
              <w:right w:val="nil"/>
            </w:tcBorders>
            <w:vAlign w:val="center"/>
          </w:tcPr>
          <w:p w14:paraId="137A00D2" w14:textId="77777777" w:rsidR="00D24C11" w:rsidRPr="009A35BA" w:rsidRDefault="00D24C11" w:rsidP="00FA153D">
            <w:pPr>
              <w:jc w:val="center"/>
              <w:rPr>
                <w:rFonts w:ascii="Calibri" w:hAnsi="Calibri" w:cs="Calibri"/>
                <w:color w:val="000000"/>
                <w:sz w:val="20"/>
                <w:szCs w:val="20"/>
              </w:rPr>
            </w:pPr>
          </w:p>
        </w:tc>
        <w:tc>
          <w:tcPr>
            <w:tcW w:w="1701" w:type="dxa"/>
            <w:tcBorders>
              <w:top w:val="single" w:sz="12" w:space="0" w:color="auto"/>
              <w:left w:val="nil"/>
              <w:right w:val="nil"/>
            </w:tcBorders>
            <w:shd w:val="clear" w:color="auto" w:fill="auto"/>
            <w:vAlign w:val="center"/>
          </w:tcPr>
          <w:p w14:paraId="4A7E4491"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2.1% (-0.6, 4.8)</w:t>
            </w:r>
          </w:p>
        </w:tc>
      </w:tr>
      <w:tr w:rsidR="00D24C11" w:rsidRPr="004901B0" w14:paraId="2FF30673"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097B8794"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right w:val="single" w:sz="4" w:space="0" w:color="auto"/>
            </w:tcBorders>
            <w:vAlign w:val="center"/>
          </w:tcPr>
          <w:p w14:paraId="630CE98B"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01685CDB"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1BBEEB7E"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6.2% (-4.3, 17.8)</w:t>
            </w:r>
          </w:p>
        </w:tc>
        <w:tc>
          <w:tcPr>
            <w:tcW w:w="283" w:type="dxa"/>
            <w:tcBorders>
              <w:left w:val="single" w:sz="4" w:space="0" w:color="auto"/>
              <w:right w:val="nil"/>
            </w:tcBorders>
            <w:shd w:val="clear" w:color="auto" w:fill="D0CECE" w:themeFill="background2" w:themeFillShade="E6"/>
            <w:vAlign w:val="center"/>
          </w:tcPr>
          <w:p w14:paraId="065D0184"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D0CECE" w:themeFill="background2" w:themeFillShade="E6"/>
            <w:vAlign w:val="center"/>
          </w:tcPr>
          <w:p w14:paraId="390FE189"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-1.3% (-6.7, 4.4)</w:t>
            </w:r>
          </w:p>
        </w:tc>
        <w:tc>
          <w:tcPr>
            <w:tcW w:w="425" w:type="dxa"/>
            <w:tcBorders>
              <w:left w:val="nil"/>
              <w:right w:val="nil"/>
            </w:tcBorders>
            <w:shd w:val="clear" w:color="auto" w:fill="D0CECE" w:themeFill="background2" w:themeFillShade="E6"/>
            <w:vAlign w:val="center"/>
          </w:tcPr>
          <w:p w14:paraId="314C05EC"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4C8BF2EB"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0.3% (-9.1, 10.5)</w:t>
            </w:r>
          </w:p>
        </w:tc>
      </w:tr>
      <w:tr w:rsidR="00D24C11" w:rsidRPr="004901B0" w14:paraId="30EC0393"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194B44E5"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right w:val="single" w:sz="4" w:space="0" w:color="auto"/>
            </w:tcBorders>
            <w:vAlign w:val="center"/>
          </w:tcPr>
          <w:p w14:paraId="779EB3DE"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Community-onset</w:t>
            </w:r>
          </w:p>
        </w:tc>
        <w:tc>
          <w:tcPr>
            <w:tcW w:w="223" w:type="dxa"/>
            <w:tcBorders>
              <w:left w:val="single" w:sz="4" w:space="0" w:color="auto"/>
              <w:right w:val="nil"/>
            </w:tcBorders>
            <w:vAlign w:val="center"/>
          </w:tcPr>
          <w:p w14:paraId="1E675212"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auto"/>
            <w:vAlign w:val="center"/>
          </w:tcPr>
          <w:p w14:paraId="7CC45148"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2.8% (-0.8, 6.5)</w:t>
            </w:r>
          </w:p>
        </w:tc>
        <w:tc>
          <w:tcPr>
            <w:tcW w:w="283" w:type="dxa"/>
            <w:tcBorders>
              <w:left w:val="single" w:sz="4" w:space="0" w:color="auto"/>
              <w:right w:val="nil"/>
            </w:tcBorders>
            <w:vAlign w:val="center"/>
          </w:tcPr>
          <w:p w14:paraId="126F21B5"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auto"/>
            <w:vAlign w:val="center"/>
          </w:tcPr>
          <w:p w14:paraId="4C6CDB9E"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1.0% (-0.7, 2.7)</w:t>
            </w:r>
          </w:p>
        </w:tc>
        <w:tc>
          <w:tcPr>
            <w:tcW w:w="425" w:type="dxa"/>
            <w:tcBorders>
              <w:left w:val="nil"/>
              <w:right w:val="nil"/>
            </w:tcBorders>
            <w:vAlign w:val="center"/>
          </w:tcPr>
          <w:p w14:paraId="07322574"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auto"/>
            <w:vAlign w:val="center"/>
          </w:tcPr>
          <w:p w14:paraId="29D37995"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2.2% (-0.6, 5.1)</w:t>
            </w:r>
          </w:p>
        </w:tc>
      </w:tr>
      <w:tr w:rsidR="00D24C11" w:rsidRPr="004901B0" w14:paraId="0816FC94"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6951EBF3"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4" w:space="0" w:color="auto"/>
              <w:right w:val="single" w:sz="4" w:space="0" w:color="auto"/>
            </w:tcBorders>
            <w:vAlign w:val="center"/>
          </w:tcPr>
          <w:p w14:paraId="06D5C969"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529C657C"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54EE238E"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0.1% (-11.0, 12.6)</w:t>
            </w:r>
          </w:p>
        </w:tc>
        <w:tc>
          <w:tcPr>
            <w:tcW w:w="283" w:type="dxa"/>
            <w:tcBorders>
              <w:left w:val="single" w:sz="4" w:space="0" w:color="auto"/>
              <w:right w:val="nil"/>
            </w:tcBorders>
            <w:shd w:val="clear" w:color="auto" w:fill="D0CECE" w:themeFill="background2" w:themeFillShade="E6"/>
            <w:vAlign w:val="center"/>
          </w:tcPr>
          <w:p w14:paraId="4ED6F2CD"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D0CECE" w:themeFill="background2" w:themeFillShade="E6"/>
            <w:vAlign w:val="center"/>
          </w:tcPr>
          <w:p w14:paraId="272D71C0"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-5.1% (-10.9, 1.0)</w:t>
            </w:r>
          </w:p>
        </w:tc>
        <w:tc>
          <w:tcPr>
            <w:tcW w:w="425" w:type="dxa"/>
            <w:tcBorders>
              <w:left w:val="nil"/>
              <w:right w:val="nil"/>
            </w:tcBorders>
            <w:shd w:val="clear" w:color="auto" w:fill="D0CECE" w:themeFill="background2" w:themeFillShade="E6"/>
            <w:vAlign w:val="center"/>
          </w:tcPr>
          <w:p w14:paraId="15718CF9"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4039E51A"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-2.5% (-12.9, 9.0)</w:t>
            </w:r>
          </w:p>
        </w:tc>
      </w:tr>
      <w:tr w:rsidR="00D24C11" w:rsidRPr="004901B0" w14:paraId="79EE9882"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74E45CFB"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bottom w:val="single" w:sz="12" w:space="0" w:color="auto"/>
              <w:right w:val="single" w:sz="4" w:space="0" w:color="auto"/>
            </w:tcBorders>
            <w:vAlign w:val="center"/>
          </w:tcPr>
          <w:p w14:paraId="77CFF142"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Hospital-associated</w:t>
            </w:r>
          </w:p>
        </w:tc>
        <w:tc>
          <w:tcPr>
            <w:tcW w:w="223" w:type="dxa"/>
            <w:tcBorders>
              <w:left w:val="single" w:sz="4" w:space="0" w:color="auto"/>
              <w:bottom w:val="single" w:sz="4" w:space="0" w:color="auto"/>
              <w:right w:val="nil"/>
            </w:tcBorders>
            <w:vAlign w:val="center"/>
          </w:tcPr>
          <w:p w14:paraId="7F67565A" w14:textId="77777777" w:rsidR="00D24C11" w:rsidRPr="009A35BA" w:rsidRDefault="00D24C11" w:rsidP="00FA153D">
            <w:pPr>
              <w:jc w:val="center"/>
              <w:rPr>
                <w:rFonts w:ascii="Calibri" w:hAnsi="Calibri" w:cs="Calibri"/>
                <w:color w:val="000000"/>
                <w:sz w:val="20"/>
                <w:szCs w:val="20"/>
              </w:rPr>
            </w:pPr>
          </w:p>
        </w:tc>
        <w:tc>
          <w:tcPr>
            <w:tcW w:w="1985" w:type="dxa"/>
            <w:tcBorders>
              <w:left w:val="nil"/>
              <w:bottom w:val="single" w:sz="4" w:space="0" w:color="auto"/>
              <w:right w:val="single" w:sz="4" w:space="0" w:color="auto"/>
            </w:tcBorders>
            <w:shd w:val="clear" w:color="auto" w:fill="auto"/>
            <w:vAlign w:val="center"/>
          </w:tcPr>
          <w:p w14:paraId="3A68B1C2"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0.4% (-3.1, 3.9)</w:t>
            </w:r>
          </w:p>
        </w:tc>
        <w:tc>
          <w:tcPr>
            <w:tcW w:w="283" w:type="dxa"/>
            <w:tcBorders>
              <w:left w:val="single" w:sz="4" w:space="0" w:color="auto"/>
              <w:bottom w:val="single" w:sz="4" w:space="0" w:color="auto"/>
              <w:right w:val="nil"/>
            </w:tcBorders>
            <w:vAlign w:val="center"/>
          </w:tcPr>
          <w:p w14:paraId="5D782B14"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843" w:type="dxa"/>
            <w:tcBorders>
              <w:left w:val="nil"/>
              <w:bottom w:val="single" w:sz="4" w:space="0" w:color="auto"/>
            </w:tcBorders>
            <w:shd w:val="clear" w:color="auto" w:fill="auto"/>
            <w:vAlign w:val="center"/>
          </w:tcPr>
          <w:p w14:paraId="661982AB"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-2.0% (-3.5, -0.5)</w:t>
            </w:r>
          </w:p>
          <w:p w14:paraId="7BB6C33E"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0.0085</w:t>
            </w:r>
          </w:p>
        </w:tc>
        <w:tc>
          <w:tcPr>
            <w:tcW w:w="425" w:type="dxa"/>
            <w:tcBorders>
              <w:left w:val="nil"/>
              <w:bottom w:val="single" w:sz="4" w:space="0" w:color="auto"/>
              <w:right w:val="nil"/>
            </w:tcBorders>
            <w:vAlign w:val="center"/>
          </w:tcPr>
          <w:p w14:paraId="2D6D1BA8" w14:textId="77777777" w:rsidR="00D24C11" w:rsidRPr="009A35BA" w:rsidRDefault="00D24C11" w:rsidP="00FA153D">
            <w:pPr>
              <w:jc w:val="center"/>
              <w:rPr>
                <w:rFonts w:ascii="Calibri" w:hAnsi="Calibri" w:cs="Calibri"/>
                <w:color w:val="000000"/>
                <w:sz w:val="20"/>
                <w:szCs w:val="20"/>
              </w:rPr>
            </w:pPr>
          </w:p>
        </w:tc>
        <w:tc>
          <w:tcPr>
            <w:tcW w:w="1701" w:type="dxa"/>
            <w:tcBorders>
              <w:left w:val="nil"/>
              <w:bottom w:val="single" w:sz="4" w:space="0" w:color="auto"/>
              <w:right w:val="nil"/>
            </w:tcBorders>
            <w:shd w:val="clear" w:color="auto" w:fill="auto"/>
            <w:vAlign w:val="center"/>
          </w:tcPr>
          <w:p w14:paraId="4DCAD8DE"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1.9% (-0.9, 4.8)</w:t>
            </w:r>
          </w:p>
        </w:tc>
      </w:tr>
      <w:tr w:rsidR="00D24C11" w:rsidRPr="004901B0" w14:paraId="1E55458C"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515DA797"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12" w:space="0" w:color="auto"/>
              <w:right w:val="single" w:sz="4" w:space="0" w:color="auto"/>
            </w:tcBorders>
            <w:vAlign w:val="center"/>
          </w:tcPr>
          <w:p w14:paraId="10F32925"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bottom w:val="single" w:sz="12" w:space="0" w:color="auto"/>
              <w:right w:val="nil"/>
            </w:tcBorders>
            <w:shd w:val="clear" w:color="auto" w:fill="D0CECE" w:themeFill="background2" w:themeFillShade="E6"/>
            <w:vAlign w:val="center"/>
          </w:tcPr>
          <w:p w14:paraId="5B7E2963" w14:textId="77777777" w:rsidR="00D24C11" w:rsidRPr="009A35BA" w:rsidRDefault="00D24C11" w:rsidP="00FA153D">
            <w:pPr>
              <w:jc w:val="center"/>
              <w:rPr>
                <w:rFonts w:ascii="Calibri" w:hAnsi="Calibri" w:cs="Calibri"/>
                <w:color w:val="000000"/>
                <w:sz w:val="20"/>
                <w:szCs w:val="20"/>
              </w:rPr>
            </w:pPr>
          </w:p>
        </w:tc>
        <w:tc>
          <w:tcPr>
            <w:tcW w:w="1985" w:type="dxa"/>
            <w:tcBorders>
              <w:left w:val="nil"/>
              <w:bottom w:val="single" w:sz="12" w:space="0" w:color="auto"/>
              <w:right w:val="single" w:sz="4" w:space="0" w:color="auto"/>
            </w:tcBorders>
            <w:shd w:val="clear" w:color="auto" w:fill="D0CECE" w:themeFill="background2" w:themeFillShade="E6"/>
            <w:vAlign w:val="center"/>
          </w:tcPr>
          <w:p w14:paraId="1206969B"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12.7% (-0.7, 27.9)</w:t>
            </w:r>
          </w:p>
        </w:tc>
        <w:tc>
          <w:tcPr>
            <w:tcW w:w="283" w:type="dxa"/>
            <w:tcBorders>
              <w:left w:val="single" w:sz="4" w:space="0" w:color="auto"/>
              <w:bottom w:val="single" w:sz="12" w:space="0" w:color="auto"/>
              <w:right w:val="nil"/>
            </w:tcBorders>
            <w:shd w:val="clear" w:color="auto" w:fill="D0CECE" w:themeFill="background2" w:themeFillShade="E6"/>
            <w:vAlign w:val="center"/>
          </w:tcPr>
          <w:p w14:paraId="21CC7168" w14:textId="77777777" w:rsidR="00D24C11" w:rsidRPr="009A35BA" w:rsidRDefault="00D24C11" w:rsidP="00FA153D">
            <w:pPr>
              <w:jc w:val="center"/>
              <w:rPr>
                <w:rFonts w:ascii="Calibri" w:hAnsi="Calibri" w:cs="Calibri"/>
                <w:color w:val="000000"/>
                <w:sz w:val="20"/>
                <w:szCs w:val="20"/>
              </w:rPr>
            </w:pPr>
          </w:p>
        </w:tc>
        <w:tc>
          <w:tcPr>
            <w:tcW w:w="1843" w:type="dxa"/>
            <w:tcBorders>
              <w:left w:val="nil"/>
              <w:bottom w:val="single" w:sz="12" w:space="0" w:color="auto"/>
            </w:tcBorders>
            <w:shd w:val="clear" w:color="auto" w:fill="D0CECE" w:themeFill="background2" w:themeFillShade="E6"/>
            <w:vAlign w:val="center"/>
          </w:tcPr>
          <w:p w14:paraId="3B2765FE"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2.7% (-4.2, 10.1)</w:t>
            </w:r>
          </w:p>
        </w:tc>
        <w:tc>
          <w:tcPr>
            <w:tcW w:w="425" w:type="dxa"/>
            <w:tcBorders>
              <w:left w:val="nil"/>
              <w:bottom w:val="single" w:sz="12" w:space="0" w:color="auto"/>
              <w:right w:val="nil"/>
            </w:tcBorders>
            <w:shd w:val="clear" w:color="auto" w:fill="D0CECE" w:themeFill="background2" w:themeFillShade="E6"/>
            <w:vAlign w:val="center"/>
          </w:tcPr>
          <w:p w14:paraId="7180987D" w14:textId="77777777" w:rsidR="00D24C11" w:rsidRPr="009A35BA" w:rsidRDefault="00D24C11" w:rsidP="00FA153D">
            <w:pPr>
              <w:jc w:val="center"/>
              <w:rPr>
                <w:rFonts w:ascii="Calibri" w:hAnsi="Calibri" w:cs="Calibri"/>
                <w:color w:val="000000"/>
                <w:sz w:val="20"/>
                <w:szCs w:val="20"/>
              </w:rPr>
            </w:pPr>
          </w:p>
        </w:tc>
        <w:tc>
          <w:tcPr>
            <w:tcW w:w="1701" w:type="dxa"/>
            <w:tcBorders>
              <w:left w:val="nil"/>
              <w:bottom w:val="single" w:sz="12" w:space="0" w:color="auto"/>
              <w:right w:val="nil"/>
            </w:tcBorders>
            <w:shd w:val="clear" w:color="auto" w:fill="D0CECE" w:themeFill="background2" w:themeFillShade="E6"/>
            <w:vAlign w:val="center"/>
          </w:tcPr>
          <w:p w14:paraId="6D66DDBB"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3.1% (-8.6, 16.4)</w:t>
            </w:r>
          </w:p>
        </w:tc>
      </w:tr>
      <w:tr w:rsidR="00D24C11" w:rsidRPr="004901B0" w14:paraId="5AFA69B6" w14:textId="77777777" w:rsidTr="001629AF">
        <w:trPr>
          <w:trHeight w:val="49"/>
        </w:trPr>
        <w:tc>
          <w:tcPr>
            <w:tcW w:w="1560"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4859D404" w14:textId="77777777" w:rsidR="00D24C11" w:rsidRPr="009A35BA" w:rsidRDefault="00D24C11" w:rsidP="00FA153D">
            <w:pPr>
              <w:jc w:val="center"/>
              <w:rPr>
                <w:rFonts w:ascii="Calibri" w:eastAsia="Times New Roman" w:hAnsi="Calibri" w:cs="Calibri"/>
                <w:i/>
                <w:iCs/>
                <w:color w:val="000000"/>
                <w:sz w:val="20"/>
                <w:szCs w:val="20"/>
                <w:lang w:eastAsia="en-GB"/>
              </w:rPr>
            </w:pPr>
            <w:r w:rsidRPr="009A35BA">
              <w:rPr>
                <w:rFonts w:ascii="Calibri" w:eastAsia="Times New Roman" w:hAnsi="Calibri" w:cs="Calibri"/>
                <w:i/>
                <w:iCs/>
                <w:color w:val="000000"/>
                <w:sz w:val="20"/>
                <w:szCs w:val="20"/>
                <w:lang w:eastAsia="en-GB"/>
              </w:rPr>
              <w:t>Enterobacter cl.</w:t>
            </w:r>
          </w:p>
        </w:tc>
        <w:tc>
          <w:tcPr>
            <w:tcW w:w="1052" w:type="dxa"/>
            <w:vMerge w:val="restart"/>
            <w:tcBorders>
              <w:top w:val="single" w:sz="12" w:space="0" w:color="auto"/>
              <w:left w:val="nil"/>
              <w:right w:val="single" w:sz="4" w:space="0" w:color="auto"/>
            </w:tcBorders>
            <w:vAlign w:val="center"/>
          </w:tcPr>
          <w:p w14:paraId="39277439"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Overall</w:t>
            </w:r>
          </w:p>
        </w:tc>
        <w:tc>
          <w:tcPr>
            <w:tcW w:w="223" w:type="dxa"/>
            <w:tcBorders>
              <w:top w:val="single" w:sz="12" w:space="0" w:color="auto"/>
              <w:left w:val="single" w:sz="4" w:space="0" w:color="auto"/>
              <w:right w:val="nil"/>
            </w:tcBorders>
            <w:vAlign w:val="center"/>
          </w:tcPr>
          <w:p w14:paraId="39A26F39" w14:textId="77777777" w:rsidR="00D24C11" w:rsidRPr="009A35BA" w:rsidRDefault="00D24C11" w:rsidP="00FA153D">
            <w:pPr>
              <w:jc w:val="center"/>
              <w:rPr>
                <w:rFonts w:ascii="Calibri" w:hAnsi="Calibri" w:cs="Calibri"/>
                <w:color w:val="000000"/>
                <w:sz w:val="20"/>
                <w:szCs w:val="20"/>
              </w:rPr>
            </w:pPr>
          </w:p>
        </w:tc>
        <w:tc>
          <w:tcPr>
            <w:tcW w:w="1985" w:type="dxa"/>
            <w:tcBorders>
              <w:top w:val="single" w:sz="12" w:space="0" w:color="auto"/>
              <w:left w:val="nil"/>
              <w:right w:val="single" w:sz="4" w:space="0" w:color="auto"/>
            </w:tcBorders>
            <w:shd w:val="clear" w:color="auto" w:fill="auto"/>
            <w:vAlign w:val="center"/>
          </w:tcPr>
          <w:p w14:paraId="2791A03F"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-1.2% (-3.3, 0.9)</w:t>
            </w:r>
          </w:p>
        </w:tc>
        <w:tc>
          <w:tcPr>
            <w:tcW w:w="283" w:type="dxa"/>
            <w:tcBorders>
              <w:top w:val="single" w:sz="12" w:space="0" w:color="auto"/>
              <w:left w:val="single" w:sz="4" w:space="0" w:color="auto"/>
              <w:right w:val="nil"/>
            </w:tcBorders>
            <w:vAlign w:val="center"/>
          </w:tcPr>
          <w:p w14:paraId="18BD4FC1" w14:textId="77777777" w:rsidR="00D24C11" w:rsidRPr="009A35BA" w:rsidRDefault="00D24C11" w:rsidP="00FA153D">
            <w:pPr>
              <w:jc w:val="center"/>
              <w:rPr>
                <w:rFonts w:ascii="Calibri" w:hAnsi="Calibri" w:cs="Calibri"/>
                <w:color w:val="000000"/>
                <w:sz w:val="20"/>
                <w:szCs w:val="20"/>
              </w:rPr>
            </w:pPr>
          </w:p>
        </w:tc>
        <w:tc>
          <w:tcPr>
            <w:tcW w:w="1843" w:type="dxa"/>
            <w:tcBorders>
              <w:top w:val="single" w:sz="12" w:space="0" w:color="auto"/>
              <w:left w:val="nil"/>
            </w:tcBorders>
            <w:shd w:val="clear" w:color="auto" w:fill="auto"/>
            <w:vAlign w:val="center"/>
          </w:tcPr>
          <w:p w14:paraId="31A961CD"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-0.9% (-2.7, 0.8)</w:t>
            </w:r>
          </w:p>
        </w:tc>
        <w:tc>
          <w:tcPr>
            <w:tcW w:w="425" w:type="dxa"/>
            <w:tcBorders>
              <w:top w:val="single" w:sz="12" w:space="0" w:color="auto"/>
              <w:left w:val="nil"/>
              <w:right w:val="nil"/>
            </w:tcBorders>
            <w:vAlign w:val="center"/>
          </w:tcPr>
          <w:p w14:paraId="4A19C246" w14:textId="77777777" w:rsidR="00D24C11" w:rsidRPr="009A35BA" w:rsidRDefault="00D24C11" w:rsidP="00FA153D">
            <w:pPr>
              <w:jc w:val="center"/>
              <w:rPr>
                <w:rFonts w:ascii="Calibri" w:hAnsi="Calibri" w:cs="Calibri"/>
                <w:color w:val="000000"/>
                <w:sz w:val="20"/>
                <w:szCs w:val="20"/>
              </w:rPr>
            </w:pPr>
          </w:p>
        </w:tc>
        <w:tc>
          <w:tcPr>
            <w:tcW w:w="1701" w:type="dxa"/>
            <w:tcBorders>
              <w:top w:val="single" w:sz="12" w:space="0" w:color="auto"/>
              <w:left w:val="nil"/>
              <w:right w:val="nil"/>
            </w:tcBorders>
            <w:shd w:val="clear" w:color="auto" w:fill="auto"/>
            <w:vAlign w:val="center"/>
          </w:tcPr>
          <w:p w14:paraId="593ED83C"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-0.2% (-2.5, 2.1)</w:t>
            </w:r>
          </w:p>
        </w:tc>
      </w:tr>
      <w:tr w:rsidR="00D24C11" w:rsidRPr="004901B0" w14:paraId="4AEAEFF2"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53B644E1"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right w:val="single" w:sz="4" w:space="0" w:color="auto"/>
            </w:tcBorders>
            <w:vAlign w:val="center"/>
          </w:tcPr>
          <w:p w14:paraId="127D5CCF"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6E5E2858"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2D3EAC2F"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0.8% (-7.9, 10.4)</w:t>
            </w:r>
          </w:p>
        </w:tc>
        <w:tc>
          <w:tcPr>
            <w:tcW w:w="283" w:type="dxa"/>
            <w:tcBorders>
              <w:left w:val="single" w:sz="4" w:space="0" w:color="auto"/>
              <w:right w:val="nil"/>
            </w:tcBorders>
            <w:shd w:val="clear" w:color="auto" w:fill="D0CECE" w:themeFill="background2" w:themeFillShade="E6"/>
            <w:vAlign w:val="center"/>
          </w:tcPr>
          <w:p w14:paraId="5860566C"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843" w:type="dxa"/>
            <w:tcBorders>
              <w:left w:val="nil"/>
            </w:tcBorders>
            <w:shd w:val="clear" w:color="auto" w:fill="D0CECE" w:themeFill="background2" w:themeFillShade="E6"/>
            <w:vAlign w:val="center"/>
          </w:tcPr>
          <w:p w14:paraId="02E054CA"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9.6% ( 2.7, 17.0)</w:t>
            </w:r>
          </w:p>
          <w:p w14:paraId="73217DE8"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0.0056</w:t>
            </w:r>
          </w:p>
        </w:tc>
        <w:tc>
          <w:tcPr>
            <w:tcW w:w="425" w:type="dxa"/>
            <w:tcBorders>
              <w:left w:val="nil"/>
              <w:right w:val="nil"/>
            </w:tcBorders>
            <w:shd w:val="clear" w:color="auto" w:fill="D0CECE" w:themeFill="background2" w:themeFillShade="E6"/>
            <w:vAlign w:val="center"/>
          </w:tcPr>
          <w:p w14:paraId="66E813C9"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701" w:type="dxa"/>
            <w:tcBorders>
              <w:left w:val="nil"/>
              <w:right w:val="nil"/>
            </w:tcBorders>
            <w:shd w:val="clear" w:color="auto" w:fill="D0CECE" w:themeFill="background2" w:themeFillShade="E6"/>
            <w:vAlign w:val="center"/>
          </w:tcPr>
          <w:p w14:paraId="704BE327"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-11.8% (-19.6, -3.1)</w:t>
            </w:r>
          </w:p>
          <w:p w14:paraId="2A5646E8" w14:textId="77777777" w:rsidR="00D24C11" w:rsidRPr="009A35BA" w:rsidRDefault="00D24C11" w:rsidP="00FA153D">
            <w:pPr>
              <w:jc w:val="center"/>
              <w:rPr>
                <w:rFonts w:ascii="Calibri" w:hAnsi="Calibri" w:cs="Calibri"/>
                <w:color w:val="000000"/>
                <w:sz w:val="20"/>
                <w:szCs w:val="20"/>
              </w:rPr>
            </w:pPr>
            <w:r w:rsidRPr="000B12A3">
              <w:rPr>
                <w:rFonts w:ascii="Calibri" w:hAnsi="Calibri" w:cs="Calibri"/>
                <w:color w:val="000000"/>
                <w:sz w:val="16"/>
                <w:szCs w:val="16"/>
              </w:rPr>
              <w:t>p-value = 0.0085</w:t>
            </w:r>
          </w:p>
        </w:tc>
      </w:tr>
      <w:tr w:rsidR="00D24C11" w:rsidRPr="004901B0" w14:paraId="2AD6550F"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32040390"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right w:val="single" w:sz="4" w:space="0" w:color="auto"/>
            </w:tcBorders>
            <w:vAlign w:val="center"/>
          </w:tcPr>
          <w:p w14:paraId="5F096D53"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Community-onset</w:t>
            </w:r>
          </w:p>
        </w:tc>
        <w:tc>
          <w:tcPr>
            <w:tcW w:w="223" w:type="dxa"/>
            <w:tcBorders>
              <w:left w:val="single" w:sz="4" w:space="0" w:color="auto"/>
              <w:right w:val="nil"/>
            </w:tcBorders>
            <w:vAlign w:val="center"/>
          </w:tcPr>
          <w:p w14:paraId="07B3E3F8"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auto"/>
            <w:vAlign w:val="center"/>
          </w:tcPr>
          <w:p w14:paraId="1B3D5A44"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0.3% (-2.5, 3.3)</w:t>
            </w:r>
          </w:p>
        </w:tc>
        <w:tc>
          <w:tcPr>
            <w:tcW w:w="283" w:type="dxa"/>
            <w:tcBorders>
              <w:left w:val="single" w:sz="4" w:space="0" w:color="auto"/>
              <w:right w:val="nil"/>
            </w:tcBorders>
            <w:vAlign w:val="center"/>
          </w:tcPr>
          <w:p w14:paraId="1BBCACE2"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auto"/>
            <w:vAlign w:val="center"/>
          </w:tcPr>
          <w:p w14:paraId="30412D33"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0.8% (-1.4, 2.9)</w:t>
            </w:r>
          </w:p>
        </w:tc>
        <w:tc>
          <w:tcPr>
            <w:tcW w:w="425" w:type="dxa"/>
            <w:tcBorders>
              <w:left w:val="nil"/>
              <w:right w:val="nil"/>
            </w:tcBorders>
            <w:vAlign w:val="center"/>
          </w:tcPr>
          <w:p w14:paraId="4F6FC1DD"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auto"/>
            <w:vAlign w:val="center"/>
          </w:tcPr>
          <w:p w14:paraId="0D6D07F1"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-0.6% (-3.5, 2.4)</w:t>
            </w:r>
          </w:p>
        </w:tc>
      </w:tr>
      <w:tr w:rsidR="00D24C11" w:rsidRPr="004901B0" w14:paraId="17CDD0AE"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7B89F63D"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4" w:space="0" w:color="auto"/>
              <w:right w:val="single" w:sz="4" w:space="0" w:color="auto"/>
            </w:tcBorders>
            <w:vAlign w:val="center"/>
          </w:tcPr>
          <w:p w14:paraId="76B88189"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1F4E5CE2"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1C4E042C"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5.8% (-8.3, 22.0)</w:t>
            </w:r>
          </w:p>
        </w:tc>
        <w:tc>
          <w:tcPr>
            <w:tcW w:w="283" w:type="dxa"/>
            <w:tcBorders>
              <w:left w:val="single" w:sz="4" w:space="0" w:color="auto"/>
              <w:right w:val="nil"/>
            </w:tcBorders>
            <w:shd w:val="clear" w:color="auto" w:fill="D0CECE" w:themeFill="background2" w:themeFillShade="E6"/>
            <w:vAlign w:val="center"/>
          </w:tcPr>
          <w:p w14:paraId="7802DD0E"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D0CECE" w:themeFill="background2" w:themeFillShade="E6"/>
            <w:vAlign w:val="center"/>
          </w:tcPr>
          <w:p w14:paraId="20E75075"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2.7% (-6.1, 12.3)</w:t>
            </w:r>
          </w:p>
        </w:tc>
        <w:tc>
          <w:tcPr>
            <w:tcW w:w="425" w:type="dxa"/>
            <w:tcBorders>
              <w:left w:val="nil"/>
              <w:right w:val="nil"/>
            </w:tcBorders>
            <w:shd w:val="clear" w:color="auto" w:fill="D0CECE" w:themeFill="background2" w:themeFillShade="E6"/>
            <w:vAlign w:val="center"/>
          </w:tcPr>
          <w:p w14:paraId="65066168"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40D3C8DE"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-8.8% (-20.7, 4.9)</w:t>
            </w:r>
          </w:p>
        </w:tc>
      </w:tr>
      <w:tr w:rsidR="00D24C11" w:rsidRPr="004901B0" w14:paraId="6E719774"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4DCB697E"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bottom w:val="single" w:sz="12" w:space="0" w:color="auto"/>
              <w:right w:val="single" w:sz="4" w:space="0" w:color="auto"/>
            </w:tcBorders>
            <w:vAlign w:val="center"/>
          </w:tcPr>
          <w:p w14:paraId="0F9AEF27"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Hospital-associated</w:t>
            </w:r>
          </w:p>
        </w:tc>
        <w:tc>
          <w:tcPr>
            <w:tcW w:w="223" w:type="dxa"/>
            <w:tcBorders>
              <w:left w:val="single" w:sz="4" w:space="0" w:color="auto"/>
              <w:bottom w:val="single" w:sz="4" w:space="0" w:color="auto"/>
              <w:right w:val="nil"/>
            </w:tcBorders>
            <w:vAlign w:val="center"/>
          </w:tcPr>
          <w:p w14:paraId="45D55F9E"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985" w:type="dxa"/>
            <w:tcBorders>
              <w:left w:val="nil"/>
              <w:bottom w:val="single" w:sz="4" w:space="0" w:color="auto"/>
              <w:right w:val="single" w:sz="4" w:space="0" w:color="auto"/>
            </w:tcBorders>
            <w:shd w:val="clear" w:color="auto" w:fill="auto"/>
            <w:vAlign w:val="center"/>
          </w:tcPr>
          <w:p w14:paraId="25C20FEF"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-2.7% (-4.8, -0.5)</w:t>
            </w:r>
          </w:p>
          <w:p w14:paraId="20EA0E01"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0.0166</w:t>
            </w:r>
          </w:p>
        </w:tc>
        <w:tc>
          <w:tcPr>
            <w:tcW w:w="283" w:type="dxa"/>
            <w:tcBorders>
              <w:left w:val="single" w:sz="4" w:space="0" w:color="auto"/>
              <w:bottom w:val="single" w:sz="4" w:space="0" w:color="auto"/>
              <w:right w:val="nil"/>
            </w:tcBorders>
            <w:vAlign w:val="center"/>
          </w:tcPr>
          <w:p w14:paraId="4E280F75"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843" w:type="dxa"/>
            <w:tcBorders>
              <w:left w:val="nil"/>
              <w:bottom w:val="single" w:sz="4" w:space="0" w:color="auto"/>
            </w:tcBorders>
            <w:shd w:val="clear" w:color="auto" w:fill="auto"/>
            <w:vAlign w:val="center"/>
          </w:tcPr>
          <w:p w14:paraId="71E5E633" w14:textId="77777777" w:rsidR="00D24C11" w:rsidRPr="00EA73ED" w:rsidRDefault="00D24C11" w:rsidP="00FA153D">
            <w:pPr>
              <w:jc w:val="center"/>
              <w:rPr>
                <w:rFonts w:ascii="Calibri" w:hAnsi="Calibri" w:cs="Calibri"/>
                <w:color w:val="000000"/>
                <w:sz w:val="20"/>
                <w:szCs w:val="20"/>
              </w:rPr>
            </w:pPr>
            <w:r w:rsidRPr="00EA73ED">
              <w:rPr>
                <w:rFonts w:ascii="Calibri" w:hAnsi="Calibri" w:cs="Calibri"/>
                <w:color w:val="000000"/>
                <w:sz w:val="20"/>
                <w:szCs w:val="20"/>
              </w:rPr>
              <w:t>-2.6% (-4.5, -0.7)</w:t>
            </w:r>
          </w:p>
          <w:p w14:paraId="1BBD258B" w14:textId="77777777" w:rsidR="00D24C11" w:rsidRPr="00FA153D" w:rsidRDefault="00D24C11" w:rsidP="00FA153D">
            <w:pPr>
              <w:jc w:val="center"/>
              <w:rPr>
                <w:rFonts w:ascii="Calibri" w:eastAsia="Times New Roman" w:hAnsi="Calibri" w:cs="Calibri"/>
                <w:color w:val="000000"/>
                <w:sz w:val="16"/>
                <w:szCs w:val="16"/>
                <w:lang w:eastAsia="en-GB"/>
              </w:rPr>
            </w:pPr>
            <w:r w:rsidRPr="00FA153D">
              <w:rPr>
                <w:rFonts w:ascii="Calibri" w:eastAsia="Times New Roman" w:hAnsi="Calibri" w:cs="Calibri"/>
                <w:color w:val="000000"/>
                <w:sz w:val="16"/>
                <w:szCs w:val="16"/>
                <w:lang w:eastAsia="en-GB"/>
              </w:rPr>
              <w:t>p-value = 0.0079</w:t>
            </w:r>
          </w:p>
        </w:tc>
        <w:tc>
          <w:tcPr>
            <w:tcW w:w="425" w:type="dxa"/>
            <w:tcBorders>
              <w:left w:val="nil"/>
              <w:bottom w:val="single" w:sz="4" w:space="0" w:color="auto"/>
              <w:right w:val="nil"/>
            </w:tcBorders>
            <w:vAlign w:val="center"/>
          </w:tcPr>
          <w:p w14:paraId="42561871" w14:textId="77777777" w:rsidR="00D24C11" w:rsidRPr="00FA153D" w:rsidRDefault="00D24C11" w:rsidP="00FA153D">
            <w:pPr>
              <w:jc w:val="center"/>
              <w:rPr>
                <w:rFonts w:ascii="Calibri" w:hAnsi="Calibri" w:cs="Calibri"/>
                <w:color w:val="000000"/>
                <w:sz w:val="16"/>
                <w:szCs w:val="16"/>
              </w:rPr>
            </w:pPr>
          </w:p>
        </w:tc>
        <w:tc>
          <w:tcPr>
            <w:tcW w:w="1701" w:type="dxa"/>
            <w:tcBorders>
              <w:left w:val="nil"/>
              <w:bottom w:val="single" w:sz="4" w:space="0" w:color="auto"/>
              <w:right w:val="nil"/>
            </w:tcBorders>
            <w:shd w:val="clear" w:color="auto" w:fill="auto"/>
            <w:vAlign w:val="center"/>
          </w:tcPr>
          <w:p w14:paraId="7BF483CF"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0.2% (-1.9, 2.3)</w:t>
            </w:r>
          </w:p>
        </w:tc>
      </w:tr>
      <w:tr w:rsidR="00D24C11" w:rsidRPr="004901B0" w14:paraId="6E4951C7"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16CC35B4"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12" w:space="0" w:color="auto"/>
              <w:right w:val="single" w:sz="4" w:space="0" w:color="auto"/>
            </w:tcBorders>
            <w:vAlign w:val="center"/>
          </w:tcPr>
          <w:p w14:paraId="3334F7E8"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bottom w:val="single" w:sz="12" w:space="0" w:color="auto"/>
              <w:right w:val="nil"/>
            </w:tcBorders>
            <w:shd w:val="clear" w:color="auto" w:fill="D0CECE" w:themeFill="background2" w:themeFillShade="E6"/>
            <w:vAlign w:val="center"/>
          </w:tcPr>
          <w:p w14:paraId="12175DFE" w14:textId="77777777" w:rsidR="00D24C11" w:rsidRPr="009A35BA" w:rsidRDefault="00D24C11" w:rsidP="00FA153D">
            <w:pPr>
              <w:jc w:val="center"/>
              <w:rPr>
                <w:rFonts w:ascii="Calibri" w:hAnsi="Calibri" w:cs="Calibri"/>
                <w:color w:val="000000"/>
                <w:sz w:val="20"/>
                <w:szCs w:val="20"/>
              </w:rPr>
            </w:pPr>
          </w:p>
        </w:tc>
        <w:tc>
          <w:tcPr>
            <w:tcW w:w="1985" w:type="dxa"/>
            <w:tcBorders>
              <w:left w:val="nil"/>
              <w:bottom w:val="single" w:sz="12" w:space="0" w:color="auto"/>
              <w:right w:val="single" w:sz="4" w:space="0" w:color="auto"/>
            </w:tcBorders>
            <w:shd w:val="clear" w:color="auto" w:fill="D0CECE" w:themeFill="background2" w:themeFillShade="E6"/>
            <w:vAlign w:val="center"/>
          </w:tcPr>
          <w:p w14:paraId="257DA388"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-3.8% (-13.7, 7.1)</w:t>
            </w:r>
          </w:p>
        </w:tc>
        <w:tc>
          <w:tcPr>
            <w:tcW w:w="283" w:type="dxa"/>
            <w:tcBorders>
              <w:left w:val="single" w:sz="4" w:space="0" w:color="auto"/>
              <w:bottom w:val="single" w:sz="12" w:space="0" w:color="auto"/>
              <w:right w:val="nil"/>
            </w:tcBorders>
            <w:shd w:val="clear" w:color="auto" w:fill="D0CECE" w:themeFill="background2" w:themeFillShade="E6"/>
            <w:vAlign w:val="center"/>
          </w:tcPr>
          <w:p w14:paraId="5FF74C1B" w14:textId="77777777" w:rsidR="00D24C11" w:rsidRPr="009A35BA" w:rsidRDefault="00D24C11" w:rsidP="00FA153D">
            <w:pPr>
              <w:jc w:val="center"/>
              <w:rPr>
                <w:rFonts w:ascii="Calibri" w:hAnsi="Calibri" w:cs="Calibri"/>
                <w:color w:val="000000"/>
                <w:sz w:val="20"/>
                <w:szCs w:val="20"/>
              </w:rPr>
            </w:pPr>
          </w:p>
        </w:tc>
        <w:tc>
          <w:tcPr>
            <w:tcW w:w="1843" w:type="dxa"/>
            <w:tcBorders>
              <w:left w:val="nil"/>
              <w:bottom w:val="single" w:sz="12" w:space="0" w:color="auto"/>
            </w:tcBorders>
            <w:shd w:val="clear" w:color="auto" w:fill="D0CECE" w:themeFill="background2" w:themeFillShade="E6"/>
            <w:vAlign w:val="center"/>
          </w:tcPr>
          <w:p w14:paraId="2D2F8E63"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17.0% (7.2, 27.8)</w:t>
            </w:r>
          </w:p>
          <w:p w14:paraId="147638FE"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4e-04</w:t>
            </w:r>
          </w:p>
        </w:tc>
        <w:tc>
          <w:tcPr>
            <w:tcW w:w="425" w:type="dxa"/>
            <w:tcBorders>
              <w:left w:val="nil"/>
              <w:bottom w:val="single" w:sz="12" w:space="0" w:color="auto"/>
              <w:right w:val="nil"/>
            </w:tcBorders>
            <w:shd w:val="clear" w:color="auto" w:fill="D0CECE" w:themeFill="background2" w:themeFillShade="E6"/>
            <w:vAlign w:val="center"/>
          </w:tcPr>
          <w:p w14:paraId="167537A0"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701" w:type="dxa"/>
            <w:tcBorders>
              <w:left w:val="nil"/>
              <w:bottom w:val="single" w:sz="12" w:space="0" w:color="auto"/>
              <w:right w:val="nil"/>
            </w:tcBorders>
            <w:shd w:val="clear" w:color="auto" w:fill="D0CECE" w:themeFill="background2" w:themeFillShade="E6"/>
            <w:vAlign w:val="center"/>
          </w:tcPr>
          <w:p w14:paraId="29E3B650"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-14.6% (-22.4, -6.1)</w:t>
            </w:r>
          </w:p>
          <w:p w14:paraId="1FD5F5F4" w14:textId="77777777" w:rsidR="00D24C11" w:rsidRPr="009A35BA" w:rsidRDefault="00D24C11" w:rsidP="00FA153D">
            <w:pPr>
              <w:jc w:val="center"/>
              <w:rPr>
                <w:rFonts w:ascii="Calibri" w:hAnsi="Calibri" w:cs="Calibri"/>
                <w:color w:val="000000"/>
                <w:sz w:val="20"/>
                <w:szCs w:val="20"/>
              </w:rPr>
            </w:pPr>
            <w:r w:rsidRPr="000B12A3">
              <w:rPr>
                <w:rFonts w:ascii="Calibri" w:hAnsi="Calibri" w:cs="Calibri"/>
                <w:color w:val="000000"/>
                <w:sz w:val="16"/>
                <w:szCs w:val="16"/>
              </w:rPr>
              <w:t>p-value = 0.0011</w:t>
            </w:r>
          </w:p>
        </w:tc>
      </w:tr>
      <w:tr w:rsidR="00D24C11" w:rsidRPr="004901B0" w14:paraId="144D738E" w14:textId="77777777" w:rsidTr="001629AF">
        <w:trPr>
          <w:trHeight w:val="49"/>
        </w:trPr>
        <w:tc>
          <w:tcPr>
            <w:tcW w:w="1560"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0DD32BB8" w14:textId="77777777" w:rsidR="00D24C11" w:rsidRPr="009A35BA" w:rsidRDefault="00D24C11" w:rsidP="00FA153D">
            <w:pPr>
              <w:jc w:val="center"/>
              <w:rPr>
                <w:rFonts w:ascii="Calibri" w:eastAsia="Times New Roman" w:hAnsi="Calibri" w:cs="Calibri"/>
                <w:i/>
                <w:iCs/>
                <w:color w:val="000000"/>
                <w:sz w:val="20"/>
                <w:szCs w:val="20"/>
                <w:lang w:eastAsia="en-GB"/>
              </w:rPr>
            </w:pPr>
            <w:r w:rsidRPr="009A35BA">
              <w:rPr>
                <w:rFonts w:ascii="Calibri" w:eastAsia="Times New Roman" w:hAnsi="Calibri" w:cs="Calibri"/>
                <w:i/>
                <w:iCs/>
                <w:color w:val="000000"/>
                <w:sz w:val="20"/>
                <w:szCs w:val="20"/>
                <w:lang w:eastAsia="en-GB"/>
              </w:rPr>
              <w:t>Serratia m.</w:t>
            </w:r>
          </w:p>
        </w:tc>
        <w:tc>
          <w:tcPr>
            <w:tcW w:w="1052" w:type="dxa"/>
            <w:vMerge w:val="restart"/>
            <w:tcBorders>
              <w:top w:val="single" w:sz="12" w:space="0" w:color="auto"/>
              <w:left w:val="nil"/>
              <w:right w:val="single" w:sz="4" w:space="0" w:color="auto"/>
            </w:tcBorders>
            <w:vAlign w:val="center"/>
          </w:tcPr>
          <w:p w14:paraId="7940DF06"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Overall</w:t>
            </w:r>
          </w:p>
        </w:tc>
        <w:tc>
          <w:tcPr>
            <w:tcW w:w="223" w:type="dxa"/>
            <w:tcBorders>
              <w:top w:val="single" w:sz="12" w:space="0" w:color="auto"/>
              <w:left w:val="single" w:sz="4" w:space="0" w:color="auto"/>
              <w:right w:val="nil"/>
            </w:tcBorders>
            <w:vAlign w:val="center"/>
          </w:tcPr>
          <w:p w14:paraId="48B8D753" w14:textId="77777777" w:rsidR="00D24C11" w:rsidRPr="009A35BA" w:rsidRDefault="00D24C11" w:rsidP="00FA153D">
            <w:pPr>
              <w:jc w:val="center"/>
              <w:rPr>
                <w:rFonts w:ascii="Calibri" w:hAnsi="Calibri" w:cs="Calibri"/>
                <w:color w:val="000000"/>
                <w:sz w:val="20"/>
                <w:szCs w:val="20"/>
              </w:rPr>
            </w:pPr>
          </w:p>
        </w:tc>
        <w:tc>
          <w:tcPr>
            <w:tcW w:w="1985" w:type="dxa"/>
            <w:tcBorders>
              <w:top w:val="single" w:sz="12" w:space="0" w:color="auto"/>
              <w:left w:val="nil"/>
              <w:right w:val="single" w:sz="4" w:space="0" w:color="auto"/>
            </w:tcBorders>
            <w:shd w:val="clear" w:color="auto" w:fill="auto"/>
            <w:vAlign w:val="center"/>
          </w:tcPr>
          <w:p w14:paraId="76296596"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1.8% (-2.3, 6.0)</w:t>
            </w:r>
          </w:p>
        </w:tc>
        <w:tc>
          <w:tcPr>
            <w:tcW w:w="283" w:type="dxa"/>
            <w:tcBorders>
              <w:top w:val="single" w:sz="12" w:space="0" w:color="auto"/>
              <w:left w:val="single" w:sz="4" w:space="0" w:color="auto"/>
              <w:right w:val="nil"/>
            </w:tcBorders>
            <w:vAlign w:val="center"/>
          </w:tcPr>
          <w:p w14:paraId="2D2B34EA" w14:textId="77777777" w:rsidR="00D24C11" w:rsidRPr="009A35BA" w:rsidRDefault="00D24C11" w:rsidP="00FA153D">
            <w:pPr>
              <w:jc w:val="center"/>
              <w:rPr>
                <w:rFonts w:ascii="Calibri" w:hAnsi="Calibri" w:cs="Calibri"/>
                <w:color w:val="000000"/>
                <w:sz w:val="20"/>
                <w:szCs w:val="20"/>
              </w:rPr>
            </w:pPr>
          </w:p>
        </w:tc>
        <w:tc>
          <w:tcPr>
            <w:tcW w:w="1843" w:type="dxa"/>
            <w:tcBorders>
              <w:top w:val="single" w:sz="12" w:space="0" w:color="auto"/>
              <w:left w:val="nil"/>
            </w:tcBorders>
            <w:shd w:val="clear" w:color="auto" w:fill="auto"/>
            <w:vAlign w:val="center"/>
          </w:tcPr>
          <w:p w14:paraId="6D99AD94"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0.5% (-1.1, 2.2)</w:t>
            </w:r>
          </w:p>
        </w:tc>
        <w:tc>
          <w:tcPr>
            <w:tcW w:w="425" w:type="dxa"/>
            <w:tcBorders>
              <w:top w:val="single" w:sz="12" w:space="0" w:color="auto"/>
              <w:left w:val="nil"/>
              <w:right w:val="nil"/>
            </w:tcBorders>
            <w:vAlign w:val="center"/>
          </w:tcPr>
          <w:p w14:paraId="3BA4E5ED" w14:textId="77777777" w:rsidR="00D24C11" w:rsidRPr="009A35BA" w:rsidRDefault="00D24C11" w:rsidP="00FA153D">
            <w:pPr>
              <w:jc w:val="center"/>
              <w:rPr>
                <w:rFonts w:ascii="Calibri" w:hAnsi="Calibri" w:cs="Calibri"/>
                <w:color w:val="000000"/>
                <w:sz w:val="20"/>
                <w:szCs w:val="20"/>
              </w:rPr>
            </w:pPr>
          </w:p>
        </w:tc>
        <w:tc>
          <w:tcPr>
            <w:tcW w:w="1701" w:type="dxa"/>
            <w:tcBorders>
              <w:top w:val="single" w:sz="12" w:space="0" w:color="auto"/>
              <w:left w:val="nil"/>
              <w:right w:val="nil"/>
            </w:tcBorders>
            <w:shd w:val="clear" w:color="auto" w:fill="auto"/>
            <w:vAlign w:val="center"/>
          </w:tcPr>
          <w:p w14:paraId="401582F3"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-0.5% (-5.3, 4.6)</w:t>
            </w:r>
          </w:p>
        </w:tc>
      </w:tr>
      <w:tr w:rsidR="00D24C11" w:rsidRPr="004901B0" w14:paraId="76C2194C"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7A56C8CD"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right w:val="single" w:sz="4" w:space="0" w:color="auto"/>
            </w:tcBorders>
            <w:vAlign w:val="center"/>
          </w:tcPr>
          <w:p w14:paraId="6E6265D8"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4FE9F598"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985" w:type="dxa"/>
            <w:tcBorders>
              <w:left w:val="nil"/>
              <w:right w:val="single" w:sz="4" w:space="0" w:color="auto"/>
            </w:tcBorders>
            <w:shd w:val="clear" w:color="auto" w:fill="D0CECE" w:themeFill="background2" w:themeFillShade="E6"/>
            <w:vAlign w:val="center"/>
          </w:tcPr>
          <w:p w14:paraId="5D7FB83C"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25.7% ( 6.7, 48.1)</w:t>
            </w:r>
          </w:p>
          <w:p w14:paraId="07CBC4D8"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0.0062</w:t>
            </w:r>
          </w:p>
        </w:tc>
        <w:tc>
          <w:tcPr>
            <w:tcW w:w="283" w:type="dxa"/>
            <w:tcBorders>
              <w:left w:val="single" w:sz="4" w:space="0" w:color="auto"/>
              <w:right w:val="nil"/>
            </w:tcBorders>
            <w:shd w:val="clear" w:color="auto" w:fill="D0CECE" w:themeFill="background2" w:themeFillShade="E6"/>
            <w:vAlign w:val="center"/>
          </w:tcPr>
          <w:p w14:paraId="2F4B4D4A"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D0CECE" w:themeFill="background2" w:themeFillShade="E6"/>
            <w:vAlign w:val="center"/>
          </w:tcPr>
          <w:p w14:paraId="76E0D9E9"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1.5% (-6.2, 9.7)</w:t>
            </w:r>
          </w:p>
        </w:tc>
        <w:tc>
          <w:tcPr>
            <w:tcW w:w="425" w:type="dxa"/>
            <w:tcBorders>
              <w:left w:val="nil"/>
              <w:right w:val="nil"/>
            </w:tcBorders>
            <w:shd w:val="clear" w:color="auto" w:fill="D0CECE" w:themeFill="background2" w:themeFillShade="E6"/>
            <w:vAlign w:val="center"/>
          </w:tcPr>
          <w:p w14:paraId="2B14AB2B"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52F75D46"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15.9% (-7.1, 44.5)</w:t>
            </w:r>
          </w:p>
        </w:tc>
      </w:tr>
      <w:tr w:rsidR="00D24C11" w:rsidRPr="004901B0" w14:paraId="75F7D944"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0F5174C5"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right w:val="single" w:sz="4" w:space="0" w:color="auto"/>
            </w:tcBorders>
            <w:vAlign w:val="center"/>
          </w:tcPr>
          <w:p w14:paraId="42F95C4B"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Community-onset</w:t>
            </w:r>
          </w:p>
        </w:tc>
        <w:tc>
          <w:tcPr>
            <w:tcW w:w="223" w:type="dxa"/>
            <w:tcBorders>
              <w:left w:val="single" w:sz="4" w:space="0" w:color="auto"/>
              <w:right w:val="nil"/>
            </w:tcBorders>
            <w:vAlign w:val="center"/>
          </w:tcPr>
          <w:p w14:paraId="735681F5"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auto"/>
            <w:vAlign w:val="center"/>
          </w:tcPr>
          <w:p w14:paraId="58C4969A"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2.3% (-2.5, 7.3)</w:t>
            </w:r>
          </w:p>
        </w:tc>
        <w:tc>
          <w:tcPr>
            <w:tcW w:w="283" w:type="dxa"/>
            <w:tcBorders>
              <w:left w:val="single" w:sz="4" w:space="0" w:color="auto"/>
              <w:right w:val="nil"/>
            </w:tcBorders>
            <w:vAlign w:val="center"/>
          </w:tcPr>
          <w:p w14:paraId="08D282DE"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843" w:type="dxa"/>
            <w:tcBorders>
              <w:left w:val="nil"/>
            </w:tcBorders>
            <w:shd w:val="clear" w:color="auto" w:fill="auto"/>
            <w:vAlign w:val="center"/>
          </w:tcPr>
          <w:p w14:paraId="0EF327DD"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2.0% ( 0.2, 3.9)</w:t>
            </w:r>
          </w:p>
          <w:p w14:paraId="214CF904"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0.0313</w:t>
            </w:r>
          </w:p>
        </w:tc>
        <w:tc>
          <w:tcPr>
            <w:tcW w:w="425" w:type="dxa"/>
            <w:tcBorders>
              <w:left w:val="nil"/>
              <w:right w:val="nil"/>
            </w:tcBorders>
            <w:vAlign w:val="center"/>
          </w:tcPr>
          <w:p w14:paraId="20F9DCFB"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auto"/>
            <w:vAlign w:val="center"/>
          </w:tcPr>
          <w:p w14:paraId="2C9F4A73"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-0.9% (-6.2, 4.6)</w:t>
            </w:r>
          </w:p>
        </w:tc>
      </w:tr>
      <w:tr w:rsidR="00D24C11" w:rsidRPr="004901B0" w14:paraId="1BD73D35"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40570E73"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4" w:space="0" w:color="auto"/>
              <w:right w:val="single" w:sz="4" w:space="0" w:color="auto"/>
            </w:tcBorders>
            <w:vAlign w:val="center"/>
          </w:tcPr>
          <w:p w14:paraId="66D21848"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24FA7F70"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38F7BA23"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16.0% (-6.1, 43.3)</w:t>
            </w:r>
          </w:p>
        </w:tc>
        <w:tc>
          <w:tcPr>
            <w:tcW w:w="283" w:type="dxa"/>
            <w:tcBorders>
              <w:left w:val="single" w:sz="4" w:space="0" w:color="auto"/>
              <w:right w:val="nil"/>
            </w:tcBorders>
            <w:shd w:val="clear" w:color="auto" w:fill="D0CECE" w:themeFill="background2" w:themeFillShade="E6"/>
            <w:vAlign w:val="center"/>
          </w:tcPr>
          <w:p w14:paraId="12ACB160"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D0CECE" w:themeFill="background2" w:themeFillShade="E6"/>
            <w:vAlign w:val="center"/>
          </w:tcPr>
          <w:p w14:paraId="061D6F7E"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0.8% (-7.9, 10.3)</w:t>
            </w:r>
          </w:p>
        </w:tc>
        <w:tc>
          <w:tcPr>
            <w:tcW w:w="425" w:type="dxa"/>
            <w:tcBorders>
              <w:left w:val="nil"/>
              <w:right w:val="nil"/>
            </w:tcBorders>
            <w:shd w:val="clear" w:color="auto" w:fill="D0CECE" w:themeFill="background2" w:themeFillShade="E6"/>
            <w:vAlign w:val="center"/>
          </w:tcPr>
          <w:p w14:paraId="324AF06B"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7FF602D2"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-6.6% (-28.7, 22.3)</w:t>
            </w:r>
          </w:p>
        </w:tc>
      </w:tr>
      <w:tr w:rsidR="00D24C11" w:rsidRPr="004901B0" w14:paraId="3924A390"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2B53EB1A"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bottom w:val="single" w:sz="12" w:space="0" w:color="auto"/>
              <w:right w:val="single" w:sz="4" w:space="0" w:color="auto"/>
            </w:tcBorders>
            <w:vAlign w:val="center"/>
          </w:tcPr>
          <w:p w14:paraId="4D6F1DE9"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Hospital-associated</w:t>
            </w:r>
          </w:p>
        </w:tc>
        <w:tc>
          <w:tcPr>
            <w:tcW w:w="223" w:type="dxa"/>
            <w:tcBorders>
              <w:left w:val="single" w:sz="4" w:space="0" w:color="auto"/>
              <w:bottom w:val="single" w:sz="4" w:space="0" w:color="auto"/>
              <w:right w:val="nil"/>
            </w:tcBorders>
            <w:vAlign w:val="center"/>
          </w:tcPr>
          <w:p w14:paraId="3ADB48D7" w14:textId="77777777" w:rsidR="00D24C11" w:rsidRPr="009A35BA" w:rsidRDefault="00D24C11" w:rsidP="00FA153D">
            <w:pPr>
              <w:jc w:val="center"/>
              <w:rPr>
                <w:rFonts w:ascii="Calibri" w:hAnsi="Calibri" w:cs="Calibri"/>
                <w:color w:val="000000"/>
                <w:sz w:val="20"/>
                <w:szCs w:val="20"/>
              </w:rPr>
            </w:pPr>
          </w:p>
        </w:tc>
        <w:tc>
          <w:tcPr>
            <w:tcW w:w="1985" w:type="dxa"/>
            <w:tcBorders>
              <w:left w:val="nil"/>
              <w:bottom w:val="single" w:sz="4" w:space="0" w:color="auto"/>
              <w:right w:val="single" w:sz="4" w:space="0" w:color="auto"/>
            </w:tcBorders>
            <w:shd w:val="clear" w:color="auto" w:fill="auto"/>
            <w:vAlign w:val="center"/>
          </w:tcPr>
          <w:p w14:paraId="098627BE"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1.3% (-2.9, 5.6)</w:t>
            </w:r>
          </w:p>
        </w:tc>
        <w:tc>
          <w:tcPr>
            <w:tcW w:w="283" w:type="dxa"/>
            <w:tcBorders>
              <w:left w:val="single" w:sz="4" w:space="0" w:color="auto"/>
              <w:bottom w:val="single" w:sz="4" w:space="0" w:color="auto"/>
              <w:right w:val="nil"/>
            </w:tcBorders>
            <w:vAlign w:val="center"/>
          </w:tcPr>
          <w:p w14:paraId="7AAF4A02" w14:textId="77777777" w:rsidR="00D24C11" w:rsidRPr="009A35BA" w:rsidRDefault="00D24C11" w:rsidP="00FA153D">
            <w:pPr>
              <w:jc w:val="center"/>
              <w:rPr>
                <w:rFonts w:ascii="Calibri" w:hAnsi="Calibri" w:cs="Calibri"/>
                <w:color w:val="000000"/>
                <w:sz w:val="20"/>
                <w:szCs w:val="20"/>
              </w:rPr>
            </w:pPr>
          </w:p>
        </w:tc>
        <w:tc>
          <w:tcPr>
            <w:tcW w:w="1843" w:type="dxa"/>
            <w:tcBorders>
              <w:left w:val="nil"/>
              <w:bottom w:val="single" w:sz="4" w:space="0" w:color="auto"/>
            </w:tcBorders>
            <w:shd w:val="clear" w:color="auto" w:fill="auto"/>
            <w:vAlign w:val="center"/>
          </w:tcPr>
          <w:p w14:paraId="31B73274"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-1.0% (-3.0, 1.1)</w:t>
            </w:r>
          </w:p>
        </w:tc>
        <w:tc>
          <w:tcPr>
            <w:tcW w:w="425" w:type="dxa"/>
            <w:tcBorders>
              <w:left w:val="nil"/>
              <w:bottom w:val="single" w:sz="4" w:space="0" w:color="auto"/>
              <w:right w:val="nil"/>
            </w:tcBorders>
            <w:vAlign w:val="center"/>
          </w:tcPr>
          <w:p w14:paraId="5C174C34" w14:textId="77777777" w:rsidR="00D24C11" w:rsidRPr="009A35BA" w:rsidRDefault="00D24C11" w:rsidP="00FA153D">
            <w:pPr>
              <w:jc w:val="center"/>
              <w:rPr>
                <w:rFonts w:ascii="Calibri" w:hAnsi="Calibri" w:cs="Calibri"/>
                <w:color w:val="000000"/>
                <w:sz w:val="20"/>
                <w:szCs w:val="20"/>
              </w:rPr>
            </w:pPr>
          </w:p>
        </w:tc>
        <w:tc>
          <w:tcPr>
            <w:tcW w:w="1701" w:type="dxa"/>
            <w:tcBorders>
              <w:left w:val="nil"/>
              <w:bottom w:val="single" w:sz="4" w:space="0" w:color="auto"/>
              <w:right w:val="nil"/>
            </w:tcBorders>
            <w:shd w:val="clear" w:color="auto" w:fill="auto"/>
            <w:vAlign w:val="center"/>
          </w:tcPr>
          <w:p w14:paraId="04D34C59"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0.0% (-5.3, 5.6)</w:t>
            </w:r>
          </w:p>
        </w:tc>
      </w:tr>
      <w:tr w:rsidR="00D24C11" w:rsidRPr="004901B0" w14:paraId="1850071F"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4DA38BC0"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12" w:space="0" w:color="auto"/>
              <w:right w:val="single" w:sz="4" w:space="0" w:color="auto"/>
            </w:tcBorders>
            <w:vAlign w:val="center"/>
          </w:tcPr>
          <w:p w14:paraId="163526AF"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bottom w:val="single" w:sz="12" w:space="0" w:color="auto"/>
              <w:right w:val="nil"/>
            </w:tcBorders>
            <w:shd w:val="clear" w:color="auto" w:fill="D0CECE" w:themeFill="background2" w:themeFillShade="E6"/>
            <w:vAlign w:val="center"/>
          </w:tcPr>
          <w:p w14:paraId="1019CA90"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985" w:type="dxa"/>
            <w:tcBorders>
              <w:left w:val="nil"/>
              <w:bottom w:val="single" w:sz="12" w:space="0" w:color="auto"/>
              <w:right w:val="single" w:sz="4" w:space="0" w:color="auto"/>
            </w:tcBorders>
            <w:shd w:val="clear" w:color="auto" w:fill="D0CECE" w:themeFill="background2" w:themeFillShade="E6"/>
            <w:vAlign w:val="center"/>
          </w:tcPr>
          <w:p w14:paraId="487CB8A0"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36.3% ( 7.0, 73.6)</w:t>
            </w:r>
          </w:p>
          <w:p w14:paraId="73C3A272"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0.0122</w:t>
            </w:r>
          </w:p>
        </w:tc>
        <w:tc>
          <w:tcPr>
            <w:tcW w:w="283" w:type="dxa"/>
            <w:tcBorders>
              <w:left w:val="single" w:sz="4" w:space="0" w:color="auto"/>
              <w:bottom w:val="single" w:sz="12" w:space="0" w:color="auto"/>
              <w:right w:val="nil"/>
            </w:tcBorders>
            <w:shd w:val="clear" w:color="auto" w:fill="D0CECE" w:themeFill="background2" w:themeFillShade="E6"/>
            <w:vAlign w:val="center"/>
          </w:tcPr>
          <w:p w14:paraId="333BE4D4" w14:textId="77777777" w:rsidR="00D24C11" w:rsidRPr="009A35BA" w:rsidRDefault="00D24C11" w:rsidP="00FA153D">
            <w:pPr>
              <w:jc w:val="center"/>
              <w:rPr>
                <w:rFonts w:ascii="Calibri" w:hAnsi="Calibri" w:cs="Calibri"/>
                <w:color w:val="000000"/>
                <w:sz w:val="20"/>
                <w:szCs w:val="20"/>
              </w:rPr>
            </w:pPr>
          </w:p>
        </w:tc>
        <w:tc>
          <w:tcPr>
            <w:tcW w:w="1843" w:type="dxa"/>
            <w:tcBorders>
              <w:left w:val="nil"/>
              <w:bottom w:val="single" w:sz="12" w:space="0" w:color="auto"/>
            </w:tcBorders>
            <w:shd w:val="clear" w:color="auto" w:fill="D0CECE" w:themeFill="background2" w:themeFillShade="E6"/>
            <w:vAlign w:val="center"/>
          </w:tcPr>
          <w:p w14:paraId="1BC664C5"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2.1% (-9.5, 15.1)</w:t>
            </w:r>
          </w:p>
        </w:tc>
        <w:tc>
          <w:tcPr>
            <w:tcW w:w="425" w:type="dxa"/>
            <w:tcBorders>
              <w:left w:val="nil"/>
              <w:bottom w:val="single" w:sz="12" w:space="0" w:color="auto"/>
              <w:right w:val="nil"/>
            </w:tcBorders>
            <w:shd w:val="clear" w:color="auto" w:fill="D0CECE" w:themeFill="background2" w:themeFillShade="E6"/>
            <w:vAlign w:val="center"/>
          </w:tcPr>
          <w:p w14:paraId="2514A58C"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701" w:type="dxa"/>
            <w:tcBorders>
              <w:left w:val="nil"/>
              <w:bottom w:val="single" w:sz="12" w:space="0" w:color="auto"/>
              <w:right w:val="nil"/>
            </w:tcBorders>
            <w:shd w:val="clear" w:color="auto" w:fill="D0CECE" w:themeFill="background2" w:themeFillShade="E6"/>
            <w:vAlign w:val="center"/>
          </w:tcPr>
          <w:p w14:paraId="241FA661"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43.7% (10.1, 87.6)</w:t>
            </w:r>
          </w:p>
          <w:p w14:paraId="6D3EABC1" w14:textId="77777777" w:rsidR="00D24C11" w:rsidRPr="009A35BA" w:rsidRDefault="00D24C11" w:rsidP="00FA153D">
            <w:pPr>
              <w:jc w:val="center"/>
              <w:rPr>
                <w:rFonts w:ascii="Calibri" w:hAnsi="Calibri" w:cs="Calibri"/>
                <w:color w:val="000000"/>
                <w:sz w:val="20"/>
                <w:szCs w:val="20"/>
              </w:rPr>
            </w:pPr>
            <w:r w:rsidRPr="000B12A3">
              <w:rPr>
                <w:rFonts w:ascii="Calibri" w:hAnsi="Calibri" w:cs="Calibri"/>
                <w:color w:val="000000"/>
                <w:sz w:val="16"/>
                <w:szCs w:val="16"/>
              </w:rPr>
              <w:t>p-value = 0.0076</w:t>
            </w:r>
          </w:p>
        </w:tc>
      </w:tr>
      <w:tr w:rsidR="00D24C11" w:rsidRPr="004901B0" w14:paraId="1ED5614F" w14:textId="77777777" w:rsidTr="001629AF">
        <w:trPr>
          <w:trHeight w:val="49"/>
        </w:trPr>
        <w:tc>
          <w:tcPr>
            <w:tcW w:w="1560"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512DFB6A" w14:textId="77777777" w:rsidR="00D24C11" w:rsidRPr="009A35BA" w:rsidRDefault="00D24C11" w:rsidP="00FA153D">
            <w:pPr>
              <w:jc w:val="center"/>
              <w:rPr>
                <w:rFonts w:ascii="Calibri" w:eastAsia="Times New Roman" w:hAnsi="Calibri" w:cs="Calibri"/>
                <w:i/>
                <w:iCs/>
                <w:color w:val="000000"/>
                <w:sz w:val="20"/>
                <w:szCs w:val="20"/>
                <w:lang w:eastAsia="en-GB"/>
              </w:rPr>
            </w:pPr>
            <w:r w:rsidRPr="009A35BA">
              <w:rPr>
                <w:rFonts w:ascii="Calibri" w:eastAsia="Times New Roman" w:hAnsi="Calibri" w:cs="Calibri"/>
                <w:i/>
                <w:iCs/>
                <w:color w:val="000000"/>
                <w:sz w:val="20"/>
                <w:szCs w:val="20"/>
                <w:lang w:eastAsia="en-GB"/>
              </w:rPr>
              <w:t>P. aeruginosa</w:t>
            </w:r>
          </w:p>
        </w:tc>
        <w:tc>
          <w:tcPr>
            <w:tcW w:w="1052" w:type="dxa"/>
            <w:vMerge w:val="restart"/>
            <w:tcBorders>
              <w:top w:val="single" w:sz="12" w:space="0" w:color="auto"/>
              <w:left w:val="nil"/>
              <w:right w:val="single" w:sz="4" w:space="0" w:color="auto"/>
            </w:tcBorders>
            <w:vAlign w:val="center"/>
          </w:tcPr>
          <w:p w14:paraId="6C12F276"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Overall</w:t>
            </w:r>
          </w:p>
        </w:tc>
        <w:tc>
          <w:tcPr>
            <w:tcW w:w="223" w:type="dxa"/>
            <w:tcBorders>
              <w:top w:val="single" w:sz="12" w:space="0" w:color="auto"/>
              <w:left w:val="single" w:sz="4" w:space="0" w:color="auto"/>
              <w:right w:val="nil"/>
            </w:tcBorders>
            <w:vAlign w:val="center"/>
          </w:tcPr>
          <w:p w14:paraId="2DEC9AB8"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985" w:type="dxa"/>
            <w:tcBorders>
              <w:top w:val="single" w:sz="12" w:space="0" w:color="auto"/>
              <w:left w:val="nil"/>
              <w:right w:val="single" w:sz="4" w:space="0" w:color="auto"/>
            </w:tcBorders>
            <w:shd w:val="clear" w:color="auto" w:fill="auto"/>
            <w:vAlign w:val="center"/>
          </w:tcPr>
          <w:p w14:paraId="68F85670"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-11.8% (-15.0, -8.4)</w:t>
            </w:r>
            <w:r>
              <w:rPr>
                <w:rFonts w:ascii="Calibri" w:hAnsi="Calibri" w:cs="Calibri"/>
                <w:color w:val="000000"/>
                <w:sz w:val="20"/>
                <w:szCs w:val="20"/>
              </w:rPr>
              <w:t>*</w:t>
            </w:r>
          </w:p>
        </w:tc>
        <w:tc>
          <w:tcPr>
            <w:tcW w:w="283" w:type="dxa"/>
            <w:tcBorders>
              <w:top w:val="single" w:sz="12" w:space="0" w:color="auto"/>
              <w:left w:val="single" w:sz="4" w:space="0" w:color="auto"/>
              <w:right w:val="nil"/>
            </w:tcBorders>
            <w:vAlign w:val="center"/>
          </w:tcPr>
          <w:p w14:paraId="1A18FF79" w14:textId="77777777" w:rsidR="00D24C11" w:rsidRPr="009A35BA" w:rsidRDefault="00D24C11" w:rsidP="00FA153D">
            <w:pPr>
              <w:jc w:val="center"/>
              <w:rPr>
                <w:rFonts w:ascii="Calibri" w:hAnsi="Calibri" w:cs="Calibri"/>
                <w:color w:val="000000"/>
                <w:sz w:val="20"/>
                <w:szCs w:val="20"/>
              </w:rPr>
            </w:pPr>
          </w:p>
        </w:tc>
        <w:tc>
          <w:tcPr>
            <w:tcW w:w="1843" w:type="dxa"/>
            <w:tcBorders>
              <w:top w:val="single" w:sz="12" w:space="0" w:color="auto"/>
              <w:left w:val="nil"/>
            </w:tcBorders>
            <w:shd w:val="clear" w:color="auto" w:fill="auto"/>
            <w:vAlign w:val="center"/>
          </w:tcPr>
          <w:p w14:paraId="4C0D974E"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2.1% (-0.4, 4.7)</w:t>
            </w:r>
          </w:p>
        </w:tc>
        <w:tc>
          <w:tcPr>
            <w:tcW w:w="425" w:type="dxa"/>
            <w:tcBorders>
              <w:top w:val="single" w:sz="12" w:space="0" w:color="auto"/>
              <w:left w:val="nil"/>
              <w:right w:val="nil"/>
            </w:tcBorders>
            <w:vAlign w:val="center"/>
          </w:tcPr>
          <w:p w14:paraId="407256B7"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701" w:type="dxa"/>
            <w:tcBorders>
              <w:top w:val="single" w:sz="12" w:space="0" w:color="auto"/>
              <w:left w:val="nil"/>
              <w:right w:val="nil"/>
            </w:tcBorders>
            <w:shd w:val="clear" w:color="auto" w:fill="auto"/>
            <w:vAlign w:val="center"/>
          </w:tcPr>
          <w:p w14:paraId="7D7579FA"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-10.1% (-12.9, -7.1)*</w:t>
            </w:r>
          </w:p>
        </w:tc>
      </w:tr>
      <w:tr w:rsidR="00D24C11" w:rsidRPr="004901B0" w14:paraId="650E643A"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7B02E658"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right w:val="single" w:sz="4" w:space="0" w:color="auto"/>
            </w:tcBorders>
            <w:vAlign w:val="center"/>
          </w:tcPr>
          <w:p w14:paraId="394BA538"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260E3AE0"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0AF55B93"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-9.2% (-25.3, 10.4)</w:t>
            </w:r>
          </w:p>
        </w:tc>
        <w:tc>
          <w:tcPr>
            <w:tcW w:w="283" w:type="dxa"/>
            <w:tcBorders>
              <w:left w:val="single" w:sz="4" w:space="0" w:color="auto"/>
              <w:right w:val="nil"/>
            </w:tcBorders>
            <w:shd w:val="clear" w:color="auto" w:fill="D0CECE" w:themeFill="background2" w:themeFillShade="E6"/>
            <w:vAlign w:val="center"/>
          </w:tcPr>
          <w:p w14:paraId="01C6D2B9"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D0CECE" w:themeFill="background2" w:themeFillShade="E6"/>
            <w:vAlign w:val="center"/>
          </w:tcPr>
          <w:p w14:paraId="438EBF26"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-0.2% (-6.9, 7.0)</w:t>
            </w:r>
          </w:p>
        </w:tc>
        <w:tc>
          <w:tcPr>
            <w:tcW w:w="425" w:type="dxa"/>
            <w:tcBorders>
              <w:left w:val="nil"/>
              <w:right w:val="nil"/>
            </w:tcBorders>
            <w:shd w:val="clear" w:color="auto" w:fill="D0CECE" w:themeFill="background2" w:themeFillShade="E6"/>
            <w:vAlign w:val="center"/>
          </w:tcPr>
          <w:p w14:paraId="5647FAA2"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226703ED"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-13.0% (-27.6, 4.6)</w:t>
            </w:r>
          </w:p>
        </w:tc>
      </w:tr>
      <w:tr w:rsidR="00D24C11" w:rsidRPr="004901B0" w14:paraId="7775E2BF"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7427E9B2"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right w:val="single" w:sz="4" w:space="0" w:color="auto"/>
            </w:tcBorders>
            <w:vAlign w:val="center"/>
          </w:tcPr>
          <w:p w14:paraId="3A3D4FB2"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Community-onset</w:t>
            </w:r>
          </w:p>
        </w:tc>
        <w:tc>
          <w:tcPr>
            <w:tcW w:w="223" w:type="dxa"/>
            <w:tcBorders>
              <w:left w:val="single" w:sz="4" w:space="0" w:color="auto"/>
              <w:right w:val="nil"/>
            </w:tcBorders>
            <w:vAlign w:val="center"/>
          </w:tcPr>
          <w:p w14:paraId="5D272738"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auto"/>
            <w:vAlign w:val="center"/>
          </w:tcPr>
          <w:p w14:paraId="42187B17"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-10.9% (-14.7, -7.0)</w:t>
            </w:r>
          </w:p>
        </w:tc>
        <w:tc>
          <w:tcPr>
            <w:tcW w:w="283" w:type="dxa"/>
            <w:tcBorders>
              <w:left w:val="single" w:sz="4" w:space="0" w:color="auto"/>
              <w:right w:val="nil"/>
            </w:tcBorders>
            <w:vAlign w:val="center"/>
          </w:tcPr>
          <w:p w14:paraId="403702D6"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843" w:type="dxa"/>
            <w:tcBorders>
              <w:left w:val="nil"/>
            </w:tcBorders>
            <w:shd w:val="clear" w:color="auto" w:fill="auto"/>
            <w:vAlign w:val="center"/>
          </w:tcPr>
          <w:p w14:paraId="1974B1A6"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3.9% ( 1.2, 6.7)</w:t>
            </w:r>
          </w:p>
          <w:p w14:paraId="2CCFE1FB"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0.0044</w:t>
            </w:r>
          </w:p>
        </w:tc>
        <w:tc>
          <w:tcPr>
            <w:tcW w:w="425" w:type="dxa"/>
            <w:tcBorders>
              <w:left w:val="nil"/>
              <w:right w:val="nil"/>
            </w:tcBorders>
            <w:vAlign w:val="center"/>
          </w:tcPr>
          <w:p w14:paraId="3E1D2842"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701" w:type="dxa"/>
            <w:tcBorders>
              <w:left w:val="nil"/>
              <w:right w:val="nil"/>
            </w:tcBorders>
            <w:shd w:val="clear" w:color="auto" w:fill="auto"/>
            <w:vAlign w:val="center"/>
          </w:tcPr>
          <w:p w14:paraId="7F9E5027"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-10.5% (-13.7, -7.1)*</w:t>
            </w:r>
          </w:p>
        </w:tc>
      </w:tr>
      <w:tr w:rsidR="00D24C11" w:rsidRPr="004901B0" w14:paraId="1390EC0C"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0088BFE3"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4" w:space="0" w:color="auto"/>
              <w:right w:val="single" w:sz="4" w:space="0" w:color="auto"/>
            </w:tcBorders>
            <w:vAlign w:val="center"/>
          </w:tcPr>
          <w:p w14:paraId="19361CBE"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4BF95E1F"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389C99FA"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-17.2% (-35.9, 6.9)</w:t>
            </w:r>
          </w:p>
        </w:tc>
        <w:tc>
          <w:tcPr>
            <w:tcW w:w="283" w:type="dxa"/>
            <w:tcBorders>
              <w:left w:val="single" w:sz="4" w:space="0" w:color="auto"/>
              <w:right w:val="nil"/>
            </w:tcBorders>
            <w:shd w:val="clear" w:color="auto" w:fill="D0CECE" w:themeFill="background2" w:themeFillShade="E6"/>
            <w:vAlign w:val="center"/>
          </w:tcPr>
          <w:p w14:paraId="6ACBCB5B"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D0CECE" w:themeFill="background2" w:themeFillShade="E6"/>
            <w:vAlign w:val="center"/>
          </w:tcPr>
          <w:p w14:paraId="27456376"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-6.8% (-13.4, 0.2)</w:t>
            </w:r>
          </w:p>
        </w:tc>
        <w:tc>
          <w:tcPr>
            <w:tcW w:w="425" w:type="dxa"/>
            <w:tcBorders>
              <w:left w:val="nil"/>
              <w:right w:val="nil"/>
            </w:tcBorders>
            <w:shd w:val="clear" w:color="auto" w:fill="D0CECE" w:themeFill="background2" w:themeFillShade="E6"/>
            <w:vAlign w:val="center"/>
          </w:tcPr>
          <w:p w14:paraId="2C057405"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6840A899"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-13.1% (-29.9, 7.9)</w:t>
            </w:r>
          </w:p>
        </w:tc>
      </w:tr>
      <w:tr w:rsidR="00D24C11" w:rsidRPr="004901B0" w14:paraId="3F9ADA04"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39BC4281"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bottom w:val="single" w:sz="12" w:space="0" w:color="auto"/>
              <w:right w:val="single" w:sz="4" w:space="0" w:color="auto"/>
            </w:tcBorders>
            <w:vAlign w:val="center"/>
          </w:tcPr>
          <w:p w14:paraId="065026E8"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Hospital-associated</w:t>
            </w:r>
          </w:p>
        </w:tc>
        <w:tc>
          <w:tcPr>
            <w:tcW w:w="223" w:type="dxa"/>
            <w:tcBorders>
              <w:left w:val="single" w:sz="4" w:space="0" w:color="auto"/>
              <w:bottom w:val="single" w:sz="4" w:space="0" w:color="auto"/>
              <w:right w:val="nil"/>
            </w:tcBorders>
            <w:vAlign w:val="center"/>
          </w:tcPr>
          <w:p w14:paraId="4BF1562A"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985" w:type="dxa"/>
            <w:tcBorders>
              <w:left w:val="nil"/>
              <w:bottom w:val="single" w:sz="4" w:space="0" w:color="auto"/>
              <w:right w:val="single" w:sz="4" w:space="0" w:color="auto"/>
            </w:tcBorders>
            <w:shd w:val="clear" w:color="auto" w:fill="auto"/>
            <w:vAlign w:val="center"/>
          </w:tcPr>
          <w:p w14:paraId="048378D4"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-12.6% (-15.7, -9.4)</w:t>
            </w:r>
            <w:r>
              <w:rPr>
                <w:rFonts w:ascii="Calibri" w:hAnsi="Calibri" w:cs="Calibri"/>
                <w:color w:val="000000"/>
                <w:sz w:val="20"/>
                <w:szCs w:val="20"/>
              </w:rPr>
              <w:t>*</w:t>
            </w:r>
          </w:p>
        </w:tc>
        <w:tc>
          <w:tcPr>
            <w:tcW w:w="283" w:type="dxa"/>
            <w:tcBorders>
              <w:left w:val="single" w:sz="4" w:space="0" w:color="auto"/>
              <w:bottom w:val="single" w:sz="4" w:space="0" w:color="auto"/>
              <w:right w:val="nil"/>
            </w:tcBorders>
            <w:vAlign w:val="center"/>
          </w:tcPr>
          <w:p w14:paraId="42BF2240" w14:textId="77777777" w:rsidR="00D24C11" w:rsidRPr="009A35BA" w:rsidRDefault="00D24C11" w:rsidP="00FA153D">
            <w:pPr>
              <w:jc w:val="center"/>
              <w:rPr>
                <w:rFonts w:ascii="Calibri" w:hAnsi="Calibri" w:cs="Calibri"/>
                <w:color w:val="000000"/>
                <w:sz w:val="20"/>
                <w:szCs w:val="20"/>
              </w:rPr>
            </w:pPr>
          </w:p>
        </w:tc>
        <w:tc>
          <w:tcPr>
            <w:tcW w:w="1843" w:type="dxa"/>
            <w:tcBorders>
              <w:left w:val="nil"/>
              <w:bottom w:val="single" w:sz="4" w:space="0" w:color="auto"/>
            </w:tcBorders>
            <w:shd w:val="clear" w:color="auto" w:fill="auto"/>
            <w:vAlign w:val="center"/>
          </w:tcPr>
          <w:p w14:paraId="3991C4CC"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0.4% (-2.4, 3.3)</w:t>
            </w:r>
          </w:p>
        </w:tc>
        <w:tc>
          <w:tcPr>
            <w:tcW w:w="425" w:type="dxa"/>
            <w:tcBorders>
              <w:left w:val="nil"/>
              <w:bottom w:val="single" w:sz="4" w:space="0" w:color="auto"/>
              <w:right w:val="nil"/>
            </w:tcBorders>
            <w:vAlign w:val="center"/>
          </w:tcPr>
          <w:p w14:paraId="28378DE4"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701" w:type="dxa"/>
            <w:tcBorders>
              <w:left w:val="nil"/>
              <w:bottom w:val="single" w:sz="4" w:space="0" w:color="auto"/>
              <w:right w:val="nil"/>
            </w:tcBorders>
            <w:shd w:val="clear" w:color="auto" w:fill="auto"/>
            <w:vAlign w:val="center"/>
          </w:tcPr>
          <w:p w14:paraId="764B3E1D"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-9.7% (-12.3, -6.9)*</w:t>
            </w:r>
          </w:p>
        </w:tc>
      </w:tr>
      <w:tr w:rsidR="00D24C11" w:rsidRPr="004901B0" w14:paraId="12C4FD03"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32AAB27B"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12" w:space="0" w:color="auto"/>
              <w:right w:val="single" w:sz="4" w:space="0" w:color="auto"/>
            </w:tcBorders>
            <w:vAlign w:val="center"/>
          </w:tcPr>
          <w:p w14:paraId="598DE928"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bottom w:val="single" w:sz="12" w:space="0" w:color="auto"/>
              <w:right w:val="nil"/>
            </w:tcBorders>
            <w:shd w:val="clear" w:color="auto" w:fill="D0CECE" w:themeFill="background2" w:themeFillShade="E6"/>
            <w:vAlign w:val="center"/>
          </w:tcPr>
          <w:p w14:paraId="34368085" w14:textId="77777777" w:rsidR="00D24C11" w:rsidRPr="009A35BA" w:rsidRDefault="00D24C11" w:rsidP="00FA153D">
            <w:pPr>
              <w:jc w:val="center"/>
              <w:rPr>
                <w:rFonts w:ascii="Calibri" w:hAnsi="Calibri" w:cs="Calibri"/>
                <w:color w:val="000000"/>
                <w:sz w:val="20"/>
                <w:szCs w:val="20"/>
              </w:rPr>
            </w:pPr>
          </w:p>
        </w:tc>
        <w:tc>
          <w:tcPr>
            <w:tcW w:w="1985" w:type="dxa"/>
            <w:tcBorders>
              <w:left w:val="nil"/>
              <w:bottom w:val="single" w:sz="12" w:space="0" w:color="auto"/>
              <w:right w:val="single" w:sz="4" w:space="0" w:color="auto"/>
            </w:tcBorders>
            <w:shd w:val="clear" w:color="auto" w:fill="D0CECE" w:themeFill="background2" w:themeFillShade="E6"/>
            <w:vAlign w:val="center"/>
          </w:tcPr>
          <w:p w14:paraId="29ED31C1"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-0.4% (-15.6, 17.4)</w:t>
            </w:r>
          </w:p>
        </w:tc>
        <w:tc>
          <w:tcPr>
            <w:tcW w:w="283" w:type="dxa"/>
            <w:tcBorders>
              <w:left w:val="single" w:sz="4" w:space="0" w:color="auto"/>
              <w:bottom w:val="single" w:sz="12" w:space="0" w:color="auto"/>
              <w:right w:val="nil"/>
            </w:tcBorders>
            <w:shd w:val="clear" w:color="auto" w:fill="D0CECE" w:themeFill="background2" w:themeFillShade="E6"/>
            <w:vAlign w:val="center"/>
          </w:tcPr>
          <w:p w14:paraId="0B9A7EE0" w14:textId="77777777" w:rsidR="00D24C11" w:rsidRPr="009A35BA" w:rsidRDefault="00D24C11" w:rsidP="00FA153D">
            <w:pPr>
              <w:jc w:val="center"/>
              <w:rPr>
                <w:rFonts w:ascii="Calibri" w:hAnsi="Calibri" w:cs="Calibri"/>
                <w:color w:val="000000"/>
                <w:sz w:val="20"/>
                <w:szCs w:val="20"/>
              </w:rPr>
            </w:pPr>
          </w:p>
        </w:tc>
        <w:tc>
          <w:tcPr>
            <w:tcW w:w="1843" w:type="dxa"/>
            <w:tcBorders>
              <w:left w:val="nil"/>
              <w:bottom w:val="single" w:sz="12" w:space="0" w:color="auto"/>
            </w:tcBorders>
            <w:shd w:val="clear" w:color="auto" w:fill="D0CECE" w:themeFill="background2" w:themeFillShade="E6"/>
            <w:vAlign w:val="center"/>
          </w:tcPr>
          <w:p w14:paraId="41020EF9"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7.0% (-2.2, 17.1)</w:t>
            </w:r>
          </w:p>
        </w:tc>
        <w:tc>
          <w:tcPr>
            <w:tcW w:w="425" w:type="dxa"/>
            <w:tcBorders>
              <w:left w:val="nil"/>
              <w:bottom w:val="single" w:sz="12" w:space="0" w:color="auto"/>
              <w:right w:val="nil"/>
            </w:tcBorders>
            <w:shd w:val="clear" w:color="auto" w:fill="D0CECE" w:themeFill="background2" w:themeFillShade="E6"/>
            <w:vAlign w:val="center"/>
          </w:tcPr>
          <w:p w14:paraId="070537C2" w14:textId="77777777" w:rsidR="00D24C11" w:rsidRPr="009A35BA" w:rsidRDefault="00D24C11" w:rsidP="00FA153D">
            <w:pPr>
              <w:jc w:val="center"/>
              <w:rPr>
                <w:rFonts w:ascii="Calibri" w:hAnsi="Calibri" w:cs="Calibri"/>
                <w:color w:val="000000"/>
                <w:sz w:val="20"/>
                <w:szCs w:val="20"/>
              </w:rPr>
            </w:pPr>
          </w:p>
        </w:tc>
        <w:tc>
          <w:tcPr>
            <w:tcW w:w="1701" w:type="dxa"/>
            <w:tcBorders>
              <w:left w:val="nil"/>
              <w:bottom w:val="single" w:sz="12" w:space="0" w:color="auto"/>
              <w:right w:val="nil"/>
            </w:tcBorders>
            <w:shd w:val="clear" w:color="auto" w:fill="D0CECE" w:themeFill="background2" w:themeFillShade="E6"/>
            <w:vAlign w:val="center"/>
          </w:tcPr>
          <w:p w14:paraId="6E38C406"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-12.9% (-27.2, 4.2)</w:t>
            </w:r>
          </w:p>
        </w:tc>
      </w:tr>
      <w:tr w:rsidR="00D24C11" w:rsidRPr="004901B0" w14:paraId="2A1505BF" w14:textId="77777777" w:rsidTr="001629AF">
        <w:trPr>
          <w:trHeight w:val="49"/>
        </w:trPr>
        <w:tc>
          <w:tcPr>
            <w:tcW w:w="1560" w:type="dxa"/>
            <w:vMerge w:val="restart"/>
            <w:tcBorders>
              <w:top w:val="single" w:sz="12" w:space="0" w:color="auto"/>
              <w:left w:val="nil"/>
            </w:tcBorders>
            <w:shd w:val="clear" w:color="auto" w:fill="auto"/>
            <w:noWrap/>
            <w:tcMar>
              <w:top w:w="15" w:type="dxa"/>
              <w:left w:w="15" w:type="dxa"/>
              <w:bottom w:w="0" w:type="dxa"/>
              <w:right w:w="15" w:type="dxa"/>
            </w:tcMar>
            <w:vAlign w:val="center"/>
          </w:tcPr>
          <w:p w14:paraId="2A2B260C" w14:textId="77777777" w:rsidR="00D24C11" w:rsidRPr="009A35BA" w:rsidRDefault="00D24C11" w:rsidP="00FA153D">
            <w:pPr>
              <w:jc w:val="center"/>
              <w:rPr>
                <w:rFonts w:ascii="Calibri" w:eastAsia="Times New Roman" w:hAnsi="Calibri" w:cs="Calibri"/>
                <w:i/>
                <w:iCs/>
                <w:color w:val="000000"/>
                <w:sz w:val="20"/>
                <w:szCs w:val="20"/>
                <w:lang w:eastAsia="en-GB"/>
              </w:rPr>
            </w:pPr>
            <w:r w:rsidRPr="009A35BA">
              <w:rPr>
                <w:rFonts w:ascii="Calibri" w:eastAsia="Times New Roman" w:hAnsi="Calibri" w:cs="Calibri"/>
                <w:i/>
                <w:iCs/>
                <w:color w:val="000000"/>
                <w:sz w:val="20"/>
                <w:szCs w:val="20"/>
                <w:lang w:eastAsia="en-GB"/>
              </w:rPr>
              <w:t>Acinetobacter sp.</w:t>
            </w:r>
          </w:p>
        </w:tc>
        <w:tc>
          <w:tcPr>
            <w:tcW w:w="1052" w:type="dxa"/>
            <w:vMerge w:val="restart"/>
            <w:tcBorders>
              <w:top w:val="single" w:sz="12" w:space="0" w:color="auto"/>
              <w:left w:val="nil"/>
              <w:right w:val="single" w:sz="4" w:space="0" w:color="auto"/>
            </w:tcBorders>
            <w:vAlign w:val="center"/>
          </w:tcPr>
          <w:p w14:paraId="545F588D"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Overall</w:t>
            </w:r>
          </w:p>
        </w:tc>
        <w:tc>
          <w:tcPr>
            <w:tcW w:w="223" w:type="dxa"/>
            <w:tcBorders>
              <w:top w:val="single" w:sz="12" w:space="0" w:color="auto"/>
              <w:left w:val="single" w:sz="4" w:space="0" w:color="auto"/>
              <w:right w:val="nil"/>
            </w:tcBorders>
            <w:vAlign w:val="center"/>
          </w:tcPr>
          <w:p w14:paraId="68D4E9EB" w14:textId="77777777" w:rsidR="00D24C11" w:rsidRPr="009A35BA" w:rsidRDefault="00D24C11" w:rsidP="00FA153D">
            <w:pPr>
              <w:jc w:val="center"/>
              <w:rPr>
                <w:rFonts w:ascii="Calibri" w:hAnsi="Calibri" w:cs="Calibri"/>
                <w:color w:val="000000"/>
                <w:sz w:val="20"/>
                <w:szCs w:val="20"/>
              </w:rPr>
            </w:pPr>
          </w:p>
        </w:tc>
        <w:tc>
          <w:tcPr>
            <w:tcW w:w="1985" w:type="dxa"/>
            <w:tcBorders>
              <w:top w:val="single" w:sz="12" w:space="0" w:color="auto"/>
              <w:left w:val="nil"/>
              <w:right w:val="single" w:sz="4" w:space="0" w:color="auto"/>
            </w:tcBorders>
            <w:shd w:val="clear" w:color="auto" w:fill="auto"/>
            <w:vAlign w:val="center"/>
          </w:tcPr>
          <w:p w14:paraId="4B1ECE43"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-3.4% (-7.0, 0.3)</w:t>
            </w:r>
          </w:p>
        </w:tc>
        <w:tc>
          <w:tcPr>
            <w:tcW w:w="283" w:type="dxa"/>
            <w:tcBorders>
              <w:top w:val="single" w:sz="12" w:space="0" w:color="auto"/>
              <w:left w:val="single" w:sz="4" w:space="0" w:color="auto"/>
              <w:right w:val="nil"/>
            </w:tcBorders>
            <w:vAlign w:val="center"/>
          </w:tcPr>
          <w:p w14:paraId="77DBBDC6" w14:textId="77777777" w:rsidR="00D24C11" w:rsidRPr="009A35BA" w:rsidRDefault="00D24C11" w:rsidP="00FA153D">
            <w:pPr>
              <w:jc w:val="center"/>
              <w:rPr>
                <w:rFonts w:ascii="Calibri" w:hAnsi="Calibri" w:cs="Calibri"/>
                <w:color w:val="000000"/>
                <w:sz w:val="20"/>
                <w:szCs w:val="20"/>
              </w:rPr>
            </w:pPr>
          </w:p>
        </w:tc>
        <w:tc>
          <w:tcPr>
            <w:tcW w:w="1843" w:type="dxa"/>
            <w:tcBorders>
              <w:top w:val="single" w:sz="12" w:space="0" w:color="auto"/>
              <w:left w:val="nil"/>
            </w:tcBorders>
            <w:shd w:val="clear" w:color="auto" w:fill="auto"/>
            <w:vAlign w:val="center"/>
          </w:tcPr>
          <w:p w14:paraId="440C422D"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1.8% (-1.2, 4.8)</w:t>
            </w:r>
          </w:p>
        </w:tc>
        <w:tc>
          <w:tcPr>
            <w:tcW w:w="425" w:type="dxa"/>
            <w:tcBorders>
              <w:top w:val="single" w:sz="12" w:space="0" w:color="auto"/>
              <w:left w:val="nil"/>
              <w:right w:val="nil"/>
            </w:tcBorders>
            <w:vAlign w:val="center"/>
          </w:tcPr>
          <w:p w14:paraId="25538BE5" w14:textId="77777777" w:rsidR="00D24C11" w:rsidRPr="009A35BA" w:rsidRDefault="00D24C11" w:rsidP="00FA153D">
            <w:pPr>
              <w:jc w:val="center"/>
              <w:rPr>
                <w:rFonts w:ascii="Calibri" w:hAnsi="Calibri" w:cs="Calibri"/>
                <w:color w:val="000000"/>
                <w:sz w:val="20"/>
                <w:szCs w:val="20"/>
              </w:rPr>
            </w:pPr>
          </w:p>
        </w:tc>
        <w:tc>
          <w:tcPr>
            <w:tcW w:w="1701" w:type="dxa"/>
            <w:tcBorders>
              <w:top w:val="single" w:sz="12" w:space="0" w:color="auto"/>
              <w:left w:val="nil"/>
              <w:right w:val="nil"/>
            </w:tcBorders>
            <w:shd w:val="clear" w:color="auto" w:fill="auto"/>
            <w:vAlign w:val="center"/>
          </w:tcPr>
          <w:p w14:paraId="112A97FA"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-1.7% (-4.3, 1.0)</w:t>
            </w:r>
          </w:p>
        </w:tc>
      </w:tr>
      <w:tr w:rsidR="00D24C11" w:rsidRPr="004901B0" w14:paraId="2BF1D5A4" w14:textId="77777777" w:rsidTr="001629AF">
        <w:trPr>
          <w:trHeight w:val="49"/>
        </w:trPr>
        <w:tc>
          <w:tcPr>
            <w:tcW w:w="1560" w:type="dxa"/>
            <w:vMerge/>
            <w:tcBorders>
              <w:left w:val="nil"/>
            </w:tcBorders>
            <w:shd w:val="clear" w:color="auto" w:fill="auto"/>
            <w:noWrap/>
            <w:tcMar>
              <w:top w:w="15" w:type="dxa"/>
              <w:left w:w="15" w:type="dxa"/>
              <w:bottom w:w="0" w:type="dxa"/>
              <w:right w:w="15" w:type="dxa"/>
            </w:tcMar>
            <w:vAlign w:val="center"/>
          </w:tcPr>
          <w:p w14:paraId="038A4582"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right w:val="single" w:sz="4" w:space="0" w:color="auto"/>
            </w:tcBorders>
            <w:vAlign w:val="center"/>
          </w:tcPr>
          <w:p w14:paraId="6A994CE3"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1627974E"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07E441F6"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10.1% (-8.1, 31.9)</w:t>
            </w:r>
          </w:p>
        </w:tc>
        <w:tc>
          <w:tcPr>
            <w:tcW w:w="283" w:type="dxa"/>
            <w:tcBorders>
              <w:left w:val="single" w:sz="4" w:space="0" w:color="auto"/>
              <w:right w:val="nil"/>
            </w:tcBorders>
            <w:shd w:val="clear" w:color="auto" w:fill="D0CECE" w:themeFill="background2" w:themeFillShade="E6"/>
            <w:vAlign w:val="center"/>
          </w:tcPr>
          <w:p w14:paraId="5AC33DCD"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D0CECE" w:themeFill="background2" w:themeFillShade="E6"/>
            <w:vAlign w:val="center"/>
          </w:tcPr>
          <w:p w14:paraId="0F26CD99"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1.3% (-11.2, 15.6)</w:t>
            </w:r>
          </w:p>
        </w:tc>
        <w:tc>
          <w:tcPr>
            <w:tcW w:w="425" w:type="dxa"/>
            <w:tcBorders>
              <w:left w:val="nil"/>
              <w:right w:val="nil"/>
            </w:tcBorders>
            <w:shd w:val="clear" w:color="auto" w:fill="D0CECE" w:themeFill="background2" w:themeFillShade="E6"/>
            <w:vAlign w:val="center"/>
          </w:tcPr>
          <w:p w14:paraId="5EAA1E2D"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3F549C02"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-3.7% (-16.6, 11.1)</w:t>
            </w:r>
          </w:p>
        </w:tc>
      </w:tr>
      <w:tr w:rsidR="00D24C11" w:rsidRPr="004901B0" w14:paraId="3B9DE978" w14:textId="77777777" w:rsidTr="001629AF">
        <w:trPr>
          <w:trHeight w:val="49"/>
        </w:trPr>
        <w:tc>
          <w:tcPr>
            <w:tcW w:w="1560" w:type="dxa"/>
            <w:vMerge/>
            <w:tcBorders>
              <w:left w:val="nil"/>
            </w:tcBorders>
            <w:shd w:val="clear" w:color="auto" w:fill="auto"/>
            <w:noWrap/>
            <w:tcMar>
              <w:top w:w="15" w:type="dxa"/>
              <w:left w:w="15" w:type="dxa"/>
              <w:bottom w:w="0" w:type="dxa"/>
              <w:right w:w="15" w:type="dxa"/>
            </w:tcMar>
            <w:vAlign w:val="center"/>
          </w:tcPr>
          <w:p w14:paraId="779DB10B"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right w:val="single" w:sz="4" w:space="0" w:color="auto"/>
            </w:tcBorders>
            <w:vAlign w:val="center"/>
          </w:tcPr>
          <w:p w14:paraId="779DE33C"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Community-onset</w:t>
            </w:r>
          </w:p>
        </w:tc>
        <w:tc>
          <w:tcPr>
            <w:tcW w:w="223" w:type="dxa"/>
            <w:tcBorders>
              <w:left w:val="single" w:sz="4" w:space="0" w:color="auto"/>
              <w:bottom w:val="single" w:sz="4" w:space="0" w:color="auto"/>
              <w:right w:val="nil"/>
            </w:tcBorders>
            <w:vAlign w:val="center"/>
          </w:tcPr>
          <w:p w14:paraId="7F2378E4"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auto"/>
            <w:vAlign w:val="center"/>
          </w:tcPr>
          <w:p w14:paraId="0EE1CC06"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-1.3% (-5.9, 3.4)</w:t>
            </w:r>
          </w:p>
        </w:tc>
        <w:tc>
          <w:tcPr>
            <w:tcW w:w="283" w:type="dxa"/>
            <w:tcBorders>
              <w:left w:val="single" w:sz="4" w:space="0" w:color="auto"/>
              <w:right w:val="nil"/>
            </w:tcBorders>
            <w:vAlign w:val="center"/>
          </w:tcPr>
          <w:p w14:paraId="075CCC23"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D"/>
            </w:r>
          </w:p>
        </w:tc>
        <w:tc>
          <w:tcPr>
            <w:tcW w:w="1843" w:type="dxa"/>
            <w:tcBorders>
              <w:left w:val="nil"/>
            </w:tcBorders>
            <w:shd w:val="clear" w:color="auto" w:fill="auto"/>
            <w:vAlign w:val="center"/>
          </w:tcPr>
          <w:p w14:paraId="0E1018E9" w14:textId="77777777" w:rsidR="00D24C11" w:rsidRDefault="00D24C11" w:rsidP="00FA153D">
            <w:pPr>
              <w:jc w:val="center"/>
            </w:pPr>
            <w:r w:rsidRPr="009A35BA">
              <w:rPr>
                <w:rFonts w:ascii="Calibri" w:hAnsi="Calibri" w:cs="Calibri"/>
                <w:color w:val="000000"/>
                <w:sz w:val="20"/>
                <w:szCs w:val="20"/>
              </w:rPr>
              <w:t>3.6% ( 0.2, 7.2)</w:t>
            </w:r>
            <w:r>
              <w:t xml:space="preserve"> </w:t>
            </w:r>
          </w:p>
          <w:p w14:paraId="1A984CFB"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hAnsi="Calibri" w:cs="Calibri"/>
                <w:color w:val="000000"/>
                <w:sz w:val="16"/>
                <w:szCs w:val="16"/>
              </w:rPr>
              <w:t>p-value = 0.0392</w:t>
            </w:r>
          </w:p>
        </w:tc>
        <w:tc>
          <w:tcPr>
            <w:tcW w:w="425" w:type="dxa"/>
            <w:tcBorders>
              <w:left w:val="nil"/>
              <w:right w:val="nil"/>
            </w:tcBorders>
            <w:vAlign w:val="center"/>
          </w:tcPr>
          <w:p w14:paraId="5FCE04B6"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auto"/>
            <w:vAlign w:val="center"/>
          </w:tcPr>
          <w:p w14:paraId="7D97978D"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-1.8% (-4.7, 1.2)</w:t>
            </w:r>
          </w:p>
        </w:tc>
      </w:tr>
      <w:tr w:rsidR="00D24C11" w:rsidRPr="004901B0" w14:paraId="48130537" w14:textId="77777777" w:rsidTr="001629AF">
        <w:trPr>
          <w:trHeight w:val="49"/>
        </w:trPr>
        <w:tc>
          <w:tcPr>
            <w:tcW w:w="1560" w:type="dxa"/>
            <w:vMerge/>
            <w:tcBorders>
              <w:left w:val="nil"/>
            </w:tcBorders>
            <w:shd w:val="clear" w:color="auto" w:fill="auto"/>
            <w:noWrap/>
            <w:tcMar>
              <w:top w:w="15" w:type="dxa"/>
              <w:left w:w="15" w:type="dxa"/>
              <w:bottom w:w="0" w:type="dxa"/>
              <w:right w:w="15" w:type="dxa"/>
            </w:tcMar>
            <w:vAlign w:val="center"/>
          </w:tcPr>
          <w:p w14:paraId="34127424"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right w:val="single" w:sz="4" w:space="0" w:color="auto"/>
            </w:tcBorders>
            <w:vAlign w:val="center"/>
          </w:tcPr>
          <w:p w14:paraId="42FE50DC"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right w:val="nil"/>
            </w:tcBorders>
            <w:shd w:val="clear" w:color="auto" w:fill="D0CECE" w:themeFill="background2" w:themeFillShade="E6"/>
            <w:vAlign w:val="center"/>
          </w:tcPr>
          <w:p w14:paraId="3170E236" w14:textId="77777777" w:rsidR="00D24C11" w:rsidRPr="009A35BA" w:rsidRDefault="00D24C11" w:rsidP="00FA153D">
            <w:pPr>
              <w:jc w:val="center"/>
              <w:rPr>
                <w:rFonts w:ascii="Calibri" w:hAnsi="Calibri" w:cs="Calibri"/>
                <w:color w:val="000000"/>
                <w:sz w:val="20"/>
                <w:szCs w:val="20"/>
              </w:rPr>
            </w:pPr>
          </w:p>
        </w:tc>
        <w:tc>
          <w:tcPr>
            <w:tcW w:w="1985" w:type="dxa"/>
            <w:tcBorders>
              <w:left w:val="nil"/>
              <w:right w:val="single" w:sz="4" w:space="0" w:color="auto"/>
            </w:tcBorders>
            <w:shd w:val="clear" w:color="auto" w:fill="D0CECE" w:themeFill="background2" w:themeFillShade="E6"/>
            <w:vAlign w:val="center"/>
          </w:tcPr>
          <w:p w14:paraId="52A306BC"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11.3% (-8.2, 34.9)</w:t>
            </w:r>
          </w:p>
        </w:tc>
        <w:tc>
          <w:tcPr>
            <w:tcW w:w="283" w:type="dxa"/>
            <w:tcBorders>
              <w:left w:val="single" w:sz="4" w:space="0" w:color="auto"/>
              <w:right w:val="nil"/>
            </w:tcBorders>
            <w:shd w:val="clear" w:color="auto" w:fill="D0CECE" w:themeFill="background2" w:themeFillShade="E6"/>
            <w:vAlign w:val="center"/>
          </w:tcPr>
          <w:p w14:paraId="53464153" w14:textId="77777777" w:rsidR="00D24C11" w:rsidRPr="009A35BA" w:rsidRDefault="00D24C11" w:rsidP="00FA153D">
            <w:pPr>
              <w:jc w:val="center"/>
              <w:rPr>
                <w:rFonts w:ascii="Calibri" w:hAnsi="Calibri" w:cs="Calibri"/>
                <w:color w:val="000000"/>
                <w:sz w:val="20"/>
                <w:szCs w:val="20"/>
              </w:rPr>
            </w:pPr>
          </w:p>
        </w:tc>
        <w:tc>
          <w:tcPr>
            <w:tcW w:w="1843" w:type="dxa"/>
            <w:tcBorders>
              <w:left w:val="nil"/>
            </w:tcBorders>
            <w:shd w:val="clear" w:color="auto" w:fill="D0CECE" w:themeFill="background2" w:themeFillShade="E6"/>
            <w:vAlign w:val="center"/>
          </w:tcPr>
          <w:p w14:paraId="4944DDA0"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14.0% (-3.7, 34.8)</w:t>
            </w:r>
          </w:p>
        </w:tc>
        <w:tc>
          <w:tcPr>
            <w:tcW w:w="425" w:type="dxa"/>
            <w:tcBorders>
              <w:left w:val="nil"/>
              <w:right w:val="nil"/>
            </w:tcBorders>
            <w:shd w:val="clear" w:color="auto" w:fill="D0CECE" w:themeFill="background2" w:themeFillShade="E6"/>
            <w:vAlign w:val="center"/>
          </w:tcPr>
          <w:p w14:paraId="71F7201C" w14:textId="77777777" w:rsidR="00D24C11" w:rsidRPr="009A35BA" w:rsidRDefault="00D24C11" w:rsidP="00FA153D">
            <w:pPr>
              <w:jc w:val="center"/>
              <w:rPr>
                <w:rFonts w:ascii="Calibri" w:hAnsi="Calibri" w:cs="Calibri"/>
                <w:color w:val="000000"/>
                <w:sz w:val="20"/>
                <w:szCs w:val="20"/>
              </w:rPr>
            </w:pPr>
          </w:p>
        </w:tc>
        <w:tc>
          <w:tcPr>
            <w:tcW w:w="1701" w:type="dxa"/>
            <w:tcBorders>
              <w:left w:val="nil"/>
              <w:right w:val="nil"/>
            </w:tcBorders>
            <w:shd w:val="clear" w:color="auto" w:fill="D0CECE" w:themeFill="background2" w:themeFillShade="E6"/>
            <w:vAlign w:val="center"/>
          </w:tcPr>
          <w:p w14:paraId="3097BBF9"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1.5% (-13.1, 18.7)</w:t>
            </w:r>
          </w:p>
        </w:tc>
      </w:tr>
      <w:tr w:rsidR="00D24C11" w:rsidRPr="004901B0" w14:paraId="5CDAA15C" w14:textId="77777777" w:rsidTr="001629AF">
        <w:trPr>
          <w:trHeight w:val="49"/>
        </w:trPr>
        <w:tc>
          <w:tcPr>
            <w:tcW w:w="1560" w:type="dxa"/>
            <w:vMerge/>
            <w:tcBorders>
              <w:left w:val="nil"/>
            </w:tcBorders>
            <w:shd w:val="clear" w:color="auto" w:fill="auto"/>
            <w:noWrap/>
            <w:tcMar>
              <w:top w:w="15" w:type="dxa"/>
              <w:left w:w="15" w:type="dxa"/>
              <w:bottom w:w="0" w:type="dxa"/>
              <w:right w:w="15" w:type="dxa"/>
            </w:tcMar>
            <w:vAlign w:val="center"/>
          </w:tcPr>
          <w:p w14:paraId="1CBBECF1"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val="restart"/>
            <w:tcBorders>
              <w:left w:val="nil"/>
              <w:right w:val="single" w:sz="4" w:space="0" w:color="auto"/>
            </w:tcBorders>
            <w:vAlign w:val="center"/>
          </w:tcPr>
          <w:p w14:paraId="707DAAD8"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eastAsia="Times New Roman" w:hAnsi="Calibri" w:cs="Calibri"/>
                <w:color w:val="000000"/>
                <w:sz w:val="20"/>
                <w:szCs w:val="20"/>
                <w:lang w:eastAsia="en-GB"/>
              </w:rPr>
              <w:t>Hospital-associated</w:t>
            </w:r>
          </w:p>
        </w:tc>
        <w:tc>
          <w:tcPr>
            <w:tcW w:w="223" w:type="dxa"/>
            <w:tcBorders>
              <w:left w:val="single" w:sz="4" w:space="0" w:color="auto"/>
              <w:right w:val="nil"/>
            </w:tcBorders>
            <w:vAlign w:val="center"/>
          </w:tcPr>
          <w:p w14:paraId="201023BF"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b/>
                <w:bCs/>
                <w:color w:val="000000"/>
                <w:sz w:val="20"/>
                <w:szCs w:val="20"/>
              </w:rPr>
              <w:sym w:font="Symbol" w:char="F0AF"/>
            </w:r>
          </w:p>
        </w:tc>
        <w:tc>
          <w:tcPr>
            <w:tcW w:w="1985" w:type="dxa"/>
            <w:tcBorders>
              <w:left w:val="nil"/>
              <w:bottom w:val="single" w:sz="4" w:space="0" w:color="auto"/>
              <w:right w:val="single" w:sz="4" w:space="0" w:color="auto"/>
            </w:tcBorders>
            <w:shd w:val="clear" w:color="auto" w:fill="auto"/>
            <w:vAlign w:val="center"/>
          </w:tcPr>
          <w:p w14:paraId="263812DB" w14:textId="77777777" w:rsidR="00D24C11"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-5.4% (-9.6, -1.0)</w:t>
            </w:r>
          </w:p>
          <w:p w14:paraId="50382570" w14:textId="77777777" w:rsidR="00D24C11" w:rsidRPr="009A35BA" w:rsidRDefault="00D24C11" w:rsidP="00FA153D">
            <w:pPr>
              <w:jc w:val="center"/>
              <w:rPr>
                <w:rFonts w:ascii="Calibri" w:eastAsia="Times New Roman" w:hAnsi="Calibri" w:cs="Calibri"/>
                <w:color w:val="000000"/>
                <w:sz w:val="20"/>
                <w:szCs w:val="20"/>
                <w:lang w:eastAsia="en-GB"/>
              </w:rPr>
            </w:pPr>
            <w:r w:rsidRPr="00FA153D">
              <w:rPr>
                <w:rFonts w:ascii="Calibri" w:eastAsia="Times New Roman" w:hAnsi="Calibri" w:cs="Calibri"/>
                <w:color w:val="000000"/>
                <w:sz w:val="16"/>
                <w:szCs w:val="16"/>
                <w:lang w:eastAsia="en-GB"/>
              </w:rPr>
              <w:t>p-value = 0.0157</w:t>
            </w:r>
          </w:p>
        </w:tc>
        <w:tc>
          <w:tcPr>
            <w:tcW w:w="283" w:type="dxa"/>
            <w:tcBorders>
              <w:left w:val="single" w:sz="4" w:space="0" w:color="auto"/>
              <w:bottom w:val="single" w:sz="4" w:space="0" w:color="auto"/>
              <w:right w:val="nil"/>
            </w:tcBorders>
            <w:vAlign w:val="center"/>
          </w:tcPr>
          <w:p w14:paraId="15011747" w14:textId="77777777" w:rsidR="00D24C11" w:rsidRPr="009A35BA" w:rsidRDefault="00D24C11" w:rsidP="00FA153D">
            <w:pPr>
              <w:jc w:val="center"/>
              <w:rPr>
                <w:rFonts w:ascii="Calibri" w:hAnsi="Calibri" w:cs="Calibri"/>
                <w:color w:val="000000"/>
                <w:sz w:val="20"/>
                <w:szCs w:val="20"/>
              </w:rPr>
            </w:pPr>
          </w:p>
        </w:tc>
        <w:tc>
          <w:tcPr>
            <w:tcW w:w="1843" w:type="dxa"/>
            <w:tcBorders>
              <w:left w:val="nil"/>
              <w:bottom w:val="single" w:sz="4" w:space="0" w:color="auto"/>
            </w:tcBorders>
            <w:shd w:val="clear" w:color="auto" w:fill="auto"/>
            <w:vAlign w:val="center"/>
          </w:tcPr>
          <w:p w14:paraId="65E6AD3F"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-0.1% (-3.5, 3.5)</w:t>
            </w:r>
          </w:p>
        </w:tc>
        <w:tc>
          <w:tcPr>
            <w:tcW w:w="425" w:type="dxa"/>
            <w:tcBorders>
              <w:left w:val="nil"/>
              <w:bottom w:val="single" w:sz="4" w:space="0" w:color="auto"/>
              <w:right w:val="nil"/>
            </w:tcBorders>
            <w:vAlign w:val="center"/>
          </w:tcPr>
          <w:p w14:paraId="5D913B67" w14:textId="77777777" w:rsidR="00D24C11" w:rsidRPr="009A35BA" w:rsidRDefault="00D24C11" w:rsidP="00FA153D">
            <w:pPr>
              <w:jc w:val="center"/>
              <w:rPr>
                <w:rFonts w:ascii="Calibri" w:hAnsi="Calibri" w:cs="Calibri"/>
                <w:color w:val="000000"/>
                <w:sz w:val="20"/>
                <w:szCs w:val="20"/>
              </w:rPr>
            </w:pPr>
          </w:p>
        </w:tc>
        <w:tc>
          <w:tcPr>
            <w:tcW w:w="1701" w:type="dxa"/>
            <w:tcBorders>
              <w:left w:val="nil"/>
              <w:bottom w:val="single" w:sz="4" w:space="0" w:color="auto"/>
              <w:right w:val="nil"/>
            </w:tcBorders>
            <w:shd w:val="clear" w:color="auto" w:fill="auto"/>
            <w:vAlign w:val="center"/>
          </w:tcPr>
          <w:p w14:paraId="27A0BF61"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-1.6% (-4.3, 1.2)</w:t>
            </w:r>
          </w:p>
        </w:tc>
      </w:tr>
      <w:tr w:rsidR="00D24C11" w:rsidRPr="004901B0" w14:paraId="57A0B323" w14:textId="77777777" w:rsidTr="001629AF">
        <w:trPr>
          <w:trHeight w:val="49"/>
        </w:trPr>
        <w:tc>
          <w:tcPr>
            <w:tcW w:w="1560" w:type="dxa"/>
            <w:vMerge/>
            <w:tcBorders>
              <w:left w:val="nil"/>
              <w:bottom w:val="single" w:sz="12" w:space="0" w:color="auto"/>
            </w:tcBorders>
            <w:shd w:val="clear" w:color="auto" w:fill="auto"/>
            <w:noWrap/>
            <w:tcMar>
              <w:top w:w="15" w:type="dxa"/>
              <w:left w:w="15" w:type="dxa"/>
              <w:bottom w:w="0" w:type="dxa"/>
              <w:right w:w="15" w:type="dxa"/>
            </w:tcMar>
            <w:vAlign w:val="center"/>
          </w:tcPr>
          <w:p w14:paraId="4A6D3E4F"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1052" w:type="dxa"/>
            <w:vMerge/>
            <w:tcBorders>
              <w:left w:val="nil"/>
              <w:bottom w:val="single" w:sz="12" w:space="0" w:color="auto"/>
              <w:right w:val="single" w:sz="4" w:space="0" w:color="auto"/>
            </w:tcBorders>
            <w:vAlign w:val="center"/>
          </w:tcPr>
          <w:p w14:paraId="5BFC2827" w14:textId="77777777" w:rsidR="00D24C11" w:rsidRPr="009A35BA" w:rsidRDefault="00D24C11" w:rsidP="00FA153D">
            <w:pPr>
              <w:jc w:val="center"/>
              <w:rPr>
                <w:rFonts w:ascii="Calibri" w:eastAsia="Times New Roman" w:hAnsi="Calibri" w:cs="Calibri"/>
                <w:color w:val="000000"/>
                <w:sz w:val="20"/>
                <w:szCs w:val="20"/>
                <w:lang w:eastAsia="en-GB"/>
              </w:rPr>
            </w:pPr>
          </w:p>
        </w:tc>
        <w:tc>
          <w:tcPr>
            <w:tcW w:w="223" w:type="dxa"/>
            <w:tcBorders>
              <w:left w:val="single" w:sz="4" w:space="0" w:color="auto"/>
              <w:bottom w:val="single" w:sz="12" w:space="0" w:color="auto"/>
              <w:right w:val="nil"/>
            </w:tcBorders>
            <w:shd w:val="clear" w:color="auto" w:fill="D0CECE" w:themeFill="background2" w:themeFillShade="E6"/>
            <w:vAlign w:val="center"/>
          </w:tcPr>
          <w:p w14:paraId="739D36A2" w14:textId="77777777" w:rsidR="00D24C11" w:rsidRPr="009A35BA" w:rsidRDefault="00D24C11" w:rsidP="00FA153D">
            <w:pPr>
              <w:jc w:val="center"/>
              <w:rPr>
                <w:rFonts w:ascii="Calibri" w:hAnsi="Calibri" w:cs="Calibri"/>
                <w:color w:val="000000"/>
                <w:sz w:val="20"/>
                <w:szCs w:val="20"/>
              </w:rPr>
            </w:pPr>
          </w:p>
        </w:tc>
        <w:tc>
          <w:tcPr>
            <w:tcW w:w="1985" w:type="dxa"/>
            <w:tcBorders>
              <w:left w:val="nil"/>
              <w:bottom w:val="single" w:sz="12" w:space="0" w:color="auto"/>
              <w:right w:val="single" w:sz="4" w:space="0" w:color="auto"/>
            </w:tcBorders>
            <w:shd w:val="clear" w:color="auto" w:fill="D0CECE" w:themeFill="background2" w:themeFillShade="E6"/>
            <w:vAlign w:val="center"/>
          </w:tcPr>
          <w:p w14:paraId="7145D637"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8.9% (-14.5, 38.8)</w:t>
            </w:r>
          </w:p>
        </w:tc>
        <w:tc>
          <w:tcPr>
            <w:tcW w:w="283" w:type="dxa"/>
            <w:tcBorders>
              <w:left w:val="single" w:sz="4" w:space="0" w:color="auto"/>
              <w:bottom w:val="single" w:sz="12" w:space="0" w:color="auto"/>
              <w:right w:val="nil"/>
            </w:tcBorders>
            <w:shd w:val="clear" w:color="auto" w:fill="D0CECE" w:themeFill="background2" w:themeFillShade="E6"/>
            <w:vAlign w:val="center"/>
          </w:tcPr>
          <w:p w14:paraId="1F37F571" w14:textId="77777777" w:rsidR="00D24C11" w:rsidRPr="009A35BA" w:rsidRDefault="00D24C11" w:rsidP="00FA153D">
            <w:pPr>
              <w:jc w:val="center"/>
              <w:rPr>
                <w:rFonts w:ascii="Calibri" w:hAnsi="Calibri" w:cs="Calibri"/>
                <w:color w:val="000000"/>
                <w:sz w:val="20"/>
                <w:szCs w:val="20"/>
              </w:rPr>
            </w:pPr>
          </w:p>
        </w:tc>
        <w:tc>
          <w:tcPr>
            <w:tcW w:w="1843" w:type="dxa"/>
            <w:tcBorders>
              <w:left w:val="nil"/>
              <w:bottom w:val="single" w:sz="12" w:space="0" w:color="auto"/>
            </w:tcBorders>
            <w:shd w:val="clear" w:color="auto" w:fill="D0CECE" w:themeFill="background2" w:themeFillShade="E6"/>
            <w:vAlign w:val="center"/>
          </w:tcPr>
          <w:p w14:paraId="40CFB476" w14:textId="77777777" w:rsidR="00D24C11" w:rsidRPr="009A35BA" w:rsidRDefault="00D24C11" w:rsidP="00FA153D">
            <w:pPr>
              <w:jc w:val="center"/>
              <w:rPr>
                <w:rFonts w:ascii="Calibri" w:eastAsia="Times New Roman" w:hAnsi="Calibri" w:cs="Calibri"/>
                <w:color w:val="000000"/>
                <w:sz w:val="20"/>
                <w:szCs w:val="20"/>
                <w:lang w:eastAsia="en-GB"/>
              </w:rPr>
            </w:pPr>
            <w:r w:rsidRPr="009A35BA">
              <w:rPr>
                <w:rFonts w:ascii="Calibri" w:hAnsi="Calibri" w:cs="Calibri"/>
                <w:color w:val="000000"/>
                <w:sz w:val="20"/>
                <w:szCs w:val="20"/>
              </w:rPr>
              <w:t>-10.0% (-25.8, 9.1)</w:t>
            </w:r>
          </w:p>
        </w:tc>
        <w:tc>
          <w:tcPr>
            <w:tcW w:w="425" w:type="dxa"/>
            <w:tcBorders>
              <w:left w:val="nil"/>
              <w:bottom w:val="single" w:sz="12" w:space="0" w:color="auto"/>
              <w:right w:val="nil"/>
            </w:tcBorders>
            <w:shd w:val="clear" w:color="auto" w:fill="D0CECE" w:themeFill="background2" w:themeFillShade="E6"/>
            <w:vAlign w:val="center"/>
          </w:tcPr>
          <w:p w14:paraId="7B4AE67C" w14:textId="77777777" w:rsidR="00D24C11" w:rsidRPr="009A35BA" w:rsidRDefault="00D24C11" w:rsidP="00FA153D">
            <w:pPr>
              <w:jc w:val="center"/>
              <w:rPr>
                <w:rFonts w:ascii="Calibri" w:hAnsi="Calibri" w:cs="Calibri"/>
                <w:color w:val="000000"/>
                <w:sz w:val="20"/>
                <w:szCs w:val="20"/>
              </w:rPr>
            </w:pPr>
          </w:p>
        </w:tc>
        <w:tc>
          <w:tcPr>
            <w:tcW w:w="1701" w:type="dxa"/>
            <w:tcBorders>
              <w:left w:val="nil"/>
              <w:bottom w:val="single" w:sz="12" w:space="0" w:color="auto"/>
              <w:right w:val="nil"/>
            </w:tcBorders>
            <w:shd w:val="clear" w:color="auto" w:fill="D0CECE" w:themeFill="background2" w:themeFillShade="E6"/>
            <w:vAlign w:val="center"/>
          </w:tcPr>
          <w:p w14:paraId="0379182A" w14:textId="77777777" w:rsidR="00D24C11" w:rsidRPr="009A35BA" w:rsidRDefault="00D24C11" w:rsidP="00FA153D">
            <w:pPr>
              <w:jc w:val="center"/>
              <w:rPr>
                <w:rFonts w:ascii="Calibri" w:hAnsi="Calibri" w:cs="Calibri"/>
                <w:color w:val="000000"/>
                <w:sz w:val="20"/>
                <w:szCs w:val="20"/>
              </w:rPr>
            </w:pPr>
            <w:r w:rsidRPr="009A35BA">
              <w:rPr>
                <w:rFonts w:ascii="Calibri" w:hAnsi="Calibri" w:cs="Calibri"/>
                <w:color w:val="000000"/>
                <w:sz w:val="20"/>
                <w:szCs w:val="20"/>
              </w:rPr>
              <w:t>-8.7% (-24.1, 9.7)</w:t>
            </w:r>
          </w:p>
        </w:tc>
      </w:tr>
    </w:tbl>
    <w:p w14:paraId="4B05222D" w14:textId="77777777" w:rsidR="00D24C11" w:rsidRDefault="00D24C11" w:rsidP="00D24C11">
      <w:pPr>
        <w:jc w:val="both"/>
        <w:rPr>
          <w:sz w:val="16"/>
          <w:szCs w:val="16"/>
          <w:lang w:val="en-US"/>
        </w:rPr>
      </w:pPr>
      <w:r w:rsidRPr="00173CAD">
        <w:rPr>
          <w:sz w:val="16"/>
          <w:szCs w:val="16"/>
          <w:lang w:val="en-US"/>
        </w:rPr>
        <w:t>* p-value &lt; 0.0</w:t>
      </w:r>
      <w:r>
        <w:rPr>
          <w:sz w:val="16"/>
          <w:szCs w:val="16"/>
          <w:lang w:val="en-US"/>
        </w:rPr>
        <w:t>001</w:t>
      </w:r>
    </w:p>
    <w:p w14:paraId="60B3C490" w14:textId="659EB41B" w:rsidR="006C3256" w:rsidRDefault="006C3256">
      <w:pPr>
        <w:rPr>
          <w:sz w:val="12"/>
          <w:szCs w:val="12"/>
          <w:u w:val="single"/>
          <w:lang w:val="en-US"/>
        </w:rPr>
      </w:pPr>
      <w:r>
        <w:rPr>
          <w:sz w:val="12"/>
          <w:szCs w:val="12"/>
          <w:u w:val="single"/>
          <w:lang w:val="en-US"/>
        </w:rPr>
        <w:br w:type="page"/>
      </w:r>
    </w:p>
    <w:p w14:paraId="106FCDD6" w14:textId="532EDA53" w:rsidR="008B5761" w:rsidRPr="004F2537" w:rsidRDefault="008B5761" w:rsidP="008B5761">
      <w:pPr>
        <w:pStyle w:val="Caption"/>
      </w:pPr>
      <w:r>
        <w:lastRenderedPageBreak/>
        <w:t>Table S</w:t>
      </w:r>
      <w:r>
        <w:fldChar w:fldCharType="begin"/>
      </w:r>
      <w:r>
        <w:instrText xml:space="preserve"> SEQ Table_S \* ARABIC </w:instrText>
      </w:r>
      <w:r>
        <w:fldChar w:fldCharType="separate"/>
      </w:r>
      <w:r w:rsidR="00EC4F6F">
        <w:rPr>
          <w:noProof/>
        </w:rPr>
        <w:t>10</w:t>
      </w:r>
      <w:r>
        <w:fldChar w:fldCharType="end"/>
      </w:r>
      <w:r>
        <w:t xml:space="preserve">. </w:t>
      </w:r>
      <w:r w:rsidRPr="00C63521">
        <w:rPr>
          <w:lang w:val="en-US"/>
        </w:rPr>
        <w:t xml:space="preserve">Change in </w:t>
      </w:r>
      <w:r>
        <w:rPr>
          <w:lang w:val="en-US"/>
        </w:rPr>
        <w:t xml:space="preserve">carbapenem </w:t>
      </w:r>
      <w:r w:rsidRPr="00C63521">
        <w:rPr>
          <w:lang w:val="en-US"/>
        </w:rPr>
        <w:t xml:space="preserve">phenotypic incidence and resistance proportion </w:t>
      </w:r>
      <w:r>
        <w:rPr>
          <w:lang w:val="en-US"/>
        </w:rPr>
        <w:t>for the pre-pandemic (</w:t>
      </w:r>
      <w:r w:rsidRPr="00C63521">
        <w:rPr>
          <w:lang w:val="en-US"/>
        </w:rPr>
        <w:t>2007-2019</w:t>
      </w:r>
      <w:r>
        <w:rPr>
          <w:lang w:val="en-US"/>
        </w:rPr>
        <w:t xml:space="preserve">) </w:t>
      </w:r>
      <w:r w:rsidRPr="00C63521">
        <w:rPr>
          <w:lang w:val="en-US"/>
        </w:rPr>
        <w:t>and</w:t>
      </w:r>
      <w:r>
        <w:rPr>
          <w:lang w:val="en-US"/>
        </w:rPr>
        <w:t xml:space="preserve"> pandemic (</w:t>
      </w:r>
      <w:r w:rsidRPr="00C63521">
        <w:rPr>
          <w:lang w:val="en-US"/>
        </w:rPr>
        <w:t>2020-2022</w:t>
      </w:r>
      <w:r>
        <w:rPr>
          <w:lang w:val="en-US"/>
        </w:rPr>
        <w:t>) period</w:t>
      </w:r>
      <w:r w:rsidRPr="00C63521">
        <w:rPr>
          <w:lang w:val="en-US"/>
        </w:rPr>
        <w:t xml:space="preserve">. </w:t>
      </w:r>
      <w:r w:rsidR="003216FE" w:rsidRPr="009937C3">
        <w:rPr>
          <w:b w:val="0"/>
          <w:bCs/>
        </w:rPr>
        <w:t xml:space="preserve">Average annual percentage change (AAPC) estimates were obtained from time trend coefficients using generalized estimating equations. </w:t>
      </w:r>
      <w:r w:rsidR="003216FE">
        <w:rPr>
          <w:b w:val="0"/>
          <w:bCs/>
        </w:rPr>
        <w:t xml:space="preserve">95% confidence intervals are reported in brackets. </w:t>
      </w:r>
      <w:r w:rsidR="003216FE" w:rsidRPr="009937C3">
        <w:rPr>
          <w:b w:val="0"/>
          <w:bCs/>
        </w:rPr>
        <w:t>White rows represent results for the pre-pandemic (2007-2019), grey shaded rows for the pandemic (2020-2022) period. Upward or downward pointing arrows indicate statistically significant increasing or decreasing incidence trends.</w:t>
      </w:r>
      <w:r w:rsidR="003216FE" w:rsidRPr="009937C3">
        <w:rPr>
          <w:b w:val="0"/>
          <w:bCs/>
          <w:lang w:val="en-US"/>
        </w:rPr>
        <w:t xml:space="preserve"> </w:t>
      </w:r>
      <w:r w:rsidR="003216FE">
        <w:rPr>
          <w:b w:val="0"/>
          <w:bCs/>
          <w:lang w:val="en-US"/>
        </w:rPr>
        <w:t>P-values are given for statistically significant time trends if p-value is larger or equal than 0.0001.</w:t>
      </w: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19"/>
        <w:gridCol w:w="1017"/>
        <w:gridCol w:w="258"/>
        <w:gridCol w:w="2126"/>
        <w:gridCol w:w="283"/>
        <w:gridCol w:w="1843"/>
        <w:gridCol w:w="284"/>
        <w:gridCol w:w="1796"/>
      </w:tblGrid>
      <w:tr w:rsidR="008B5761" w:rsidRPr="009A35BA" w14:paraId="1C9E317E" w14:textId="77777777" w:rsidTr="0094193F">
        <w:trPr>
          <w:trHeight w:val="300"/>
        </w:trPr>
        <w:tc>
          <w:tcPr>
            <w:tcW w:w="1419"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2C384E7B" w14:textId="77777777" w:rsidR="008B5761" w:rsidRPr="003216FE" w:rsidRDefault="008B5761" w:rsidP="00FA153D">
            <w:pPr>
              <w:jc w:val="center"/>
              <w:rPr>
                <w:rFonts w:ascii="Calibri" w:eastAsia="Times New Roman" w:hAnsi="Calibri" w:cs="Calibri"/>
                <w:b/>
                <w:bCs/>
                <w:color w:val="000000"/>
                <w:sz w:val="18"/>
                <w:szCs w:val="18"/>
                <w:lang w:eastAsia="en-GB"/>
              </w:rPr>
            </w:pPr>
            <w:r w:rsidRPr="003216FE">
              <w:rPr>
                <w:rFonts w:ascii="Calibri" w:eastAsia="Times New Roman" w:hAnsi="Calibri" w:cs="Calibri"/>
                <w:b/>
                <w:bCs/>
                <w:color w:val="000000"/>
                <w:sz w:val="18"/>
                <w:szCs w:val="18"/>
                <w:lang w:eastAsia="en-GB"/>
              </w:rPr>
              <w:t>Organism</w:t>
            </w:r>
          </w:p>
        </w:tc>
        <w:tc>
          <w:tcPr>
            <w:tcW w:w="1017" w:type="dxa"/>
            <w:vMerge w:val="restart"/>
            <w:tcBorders>
              <w:top w:val="single" w:sz="12" w:space="0" w:color="auto"/>
              <w:left w:val="nil"/>
              <w:bottom w:val="single" w:sz="12" w:space="0" w:color="auto"/>
              <w:right w:val="single" w:sz="4" w:space="0" w:color="auto"/>
            </w:tcBorders>
            <w:vAlign w:val="center"/>
          </w:tcPr>
          <w:p w14:paraId="07277FF5" w14:textId="77777777" w:rsidR="008B5761" w:rsidRPr="003216FE" w:rsidRDefault="008B5761" w:rsidP="00FA153D">
            <w:pPr>
              <w:jc w:val="center"/>
              <w:rPr>
                <w:rFonts w:ascii="Calibri" w:eastAsia="Times New Roman" w:hAnsi="Calibri" w:cs="Calibri"/>
                <w:b/>
                <w:bCs/>
                <w:color w:val="000000"/>
                <w:sz w:val="18"/>
                <w:szCs w:val="18"/>
                <w:lang w:eastAsia="en-GB"/>
              </w:rPr>
            </w:pPr>
            <w:r w:rsidRPr="003216FE">
              <w:rPr>
                <w:rFonts w:ascii="Calibri" w:eastAsia="Times New Roman" w:hAnsi="Calibri" w:cs="Calibri"/>
                <w:b/>
                <w:bCs/>
                <w:color w:val="000000"/>
                <w:sz w:val="18"/>
                <w:szCs w:val="18"/>
                <w:lang w:eastAsia="en-GB"/>
              </w:rPr>
              <w:t>Source of infection</w:t>
            </w:r>
          </w:p>
        </w:tc>
        <w:tc>
          <w:tcPr>
            <w:tcW w:w="6590" w:type="dxa"/>
            <w:gridSpan w:val="6"/>
            <w:tcBorders>
              <w:top w:val="single" w:sz="12" w:space="0" w:color="auto"/>
              <w:left w:val="single" w:sz="4" w:space="0" w:color="auto"/>
              <w:right w:val="nil"/>
            </w:tcBorders>
          </w:tcPr>
          <w:p w14:paraId="1164811F" w14:textId="77777777" w:rsidR="008B5761" w:rsidRPr="003216FE" w:rsidRDefault="008B5761" w:rsidP="00FA153D">
            <w:pPr>
              <w:jc w:val="center"/>
              <w:rPr>
                <w:rFonts w:ascii="Calibri" w:eastAsia="Times New Roman" w:hAnsi="Calibri" w:cs="Calibri"/>
                <w:b/>
                <w:bCs/>
                <w:color w:val="000000"/>
                <w:sz w:val="18"/>
                <w:szCs w:val="18"/>
                <w:lang w:eastAsia="en-GB"/>
              </w:rPr>
            </w:pPr>
            <w:r w:rsidRPr="003216FE">
              <w:rPr>
                <w:rFonts w:ascii="Calibri" w:eastAsia="Times New Roman" w:hAnsi="Calibri" w:cs="Calibri"/>
                <w:b/>
                <w:bCs/>
                <w:color w:val="000000"/>
                <w:sz w:val="18"/>
                <w:szCs w:val="18"/>
                <w:lang w:eastAsia="en-GB"/>
              </w:rPr>
              <w:t>Carbapenems</w:t>
            </w:r>
          </w:p>
          <w:p w14:paraId="57BA2EB1"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AAPC point estimates (95% confidence interval)</w:t>
            </w:r>
          </w:p>
        </w:tc>
      </w:tr>
      <w:tr w:rsidR="008B5761" w:rsidRPr="009A35BA" w14:paraId="4225AF97" w14:textId="77777777" w:rsidTr="0094193F">
        <w:trPr>
          <w:trHeight w:val="88"/>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7BDD658B" w14:textId="77777777" w:rsidR="008B5761" w:rsidRPr="003216FE" w:rsidRDefault="008B5761" w:rsidP="00FA153D">
            <w:pPr>
              <w:rPr>
                <w:rFonts w:ascii="Calibri" w:eastAsia="Times New Roman" w:hAnsi="Calibri" w:cs="Calibri"/>
                <w:b/>
                <w:bCs/>
                <w:color w:val="000000"/>
                <w:sz w:val="18"/>
                <w:szCs w:val="18"/>
                <w:lang w:eastAsia="en-GB"/>
              </w:rPr>
            </w:pPr>
          </w:p>
        </w:tc>
        <w:tc>
          <w:tcPr>
            <w:tcW w:w="1017" w:type="dxa"/>
            <w:vMerge/>
            <w:tcBorders>
              <w:left w:val="nil"/>
              <w:bottom w:val="single" w:sz="12" w:space="0" w:color="auto"/>
              <w:right w:val="single" w:sz="4" w:space="0" w:color="auto"/>
            </w:tcBorders>
            <w:vAlign w:val="center"/>
          </w:tcPr>
          <w:p w14:paraId="778D7D3A" w14:textId="77777777" w:rsidR="008B5761" w:rsidRPr="003216FE" w:rsidRDefault="008B5761" w:rsidP="00FA153D">
            <w:pPr>
              <w:jc w:val="center"/>
              <w:rPr>
                <w:rFonts w:ascii="Calibri" w:eastAsia="Times New Roman" w:hAnsi="Calibri" w:cs="Calibri"/>
                <w:b/>
                <w:bCs/>
                <w:color w:val="000000"/>
                <w:sz w:val="18"/>
                <w:szCs w:val="18"/>
                <w:lang w:eastAsia="en-GB"/>
              </w:rPr>
            </w:pPr>
          </w:p>
        </w:tc>
        <w:tc>
          <w:tcPr>
            <w:tcW w:w="6590" w:type="dxa"/>
            <w:gridSpan w:val="6"/>
            <w:tcBorders>
              <w:left w:val="single" w:sz="4" w:space="0" w:color="auto"/>
              <w:right w:val="nil"/>
            </w:tcBorders>
          </w:tcPr>
          <w:p w14:paraId="0A0A2477"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2007-2019</w:t>
            </w:r>
          </w:p>
        </w:tc>
      </w:tr>
      <w:tr w:rsidR="008B5761" w:rsidRPr="009A35BA" w14:paraId="328A1275"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3ACDFCD6" w14:textId="77777777" w:rsidR="008B5761" w:rsidRPr="003216FE" w:rsidRDefault="008B5761" w:rsidP="00FA153D">
            <w:pPr>
              <w:rPr>
                <w:rFonts w:ascii="Calibri" w:eastAsia="Times New Roman" w:hAnsi="Calibri" w:cs="Calibri"/>
                <w:b/>
                <w:bCs/>
                <w:color w:val="000000"/>
                <w:sz w:val="18"/>
                <w:szCs w:val="18"/>
                <w:lang w:eastAsia="en-GB"/>
              </w:rPr>
            </w:pPr>
          </w:p>
        </w:tc>
        <w:tc>
          <w:tcPr>
            <w:tcW w:w="1017" w:type="dxa"/>
            <w:vMerge/>
            <w:tcBorders>
              <w:left w:val="nil"/>
              <w:bottom w:val="single" w:sz="12" w:space="0" w:color="auto"/>
              <w:right w:val="single" w:sz="4" w:space="0" w:color="auto"/>
            </w:tcBorders>
            <w:vAlign w:val="center"/>
          </w:tcPr>
          <w:p w14:paraId="0B697470" w14:textId="77777777" w:rsidR="008B5761" w:rsidRPr="003216FE" w:rsidRDefault="008B5761" w:rsidP="00FA153D">
            <w:pPr>
              <w:jc w:val="center"/>
              <w:rPr>
                <w:rFonts w:ascii="Calibri" w:eastAsia="Times New Roman" w:hAnsi="Calibri" w:cs="Calibri"/>
                <w:b/>
                <w:bCs/>
                <w:color w:val="000000"/>
                <w:sz w:val="18"/>
                <w:szCs w:val="18"/>
                <w:lang w:eastAsia="en-GB"/>
              </w:rPr>
            </w:pPr>
          </w:p>
        </w:tc>
        <w:tc>
          <w:tcPr>
            <w:tcW w:w="6590" w:type="dxa"/>
            <w:gridSpan w:val="6"/>
            <w:tcBorders>
              <w:left w:val="single" w:sz="4" w:space="0" w:color="auto"/>
              <w:bottom w:val="single" w:sz="4" w:space="0" w:color="auto"/>
              <w:right w:val="nil"/>
            </w:tcBorders>
            <w:shd w:val="clear" w:color="auto" w:fill="D0CECE" w:themeFill="background2" w:themeFillShade="E6"/>
          </w:tcPr>
          <w:p w14:paraId="67A4A63B"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2020-2022</w:t>
            </w:r>
          </w:p>
        </w:tc>
      </w:tr>
      <w:tr w:rsidR="008B5761" w:rsidRPr="009A35BA" w14:paraId="07A2CC0A" w14:textId="77777777" w:rsidTr="0094193F">
        <w:trPr>
          <w:trHeight w:val="513"/>
        </w:trPr>
        <w:tc>
          <w:tcPr>
            <w:tcW w:w="1419" w:type="dxa"/>
            <w:vMerge/>
            <w:tcBorders>
              <w:left w:val="nil"/>
              <w:bottom w:val="single" w:sz="12" w:space="0" w:color="auto"/>
            </w:tcBorders>
            <w:shd w:val="clear" w:color="auto" w:fill="auto"/>
            <w:noWrap/>
            <w:tcMar>
              <w:top w:w="15" w:type="dxa"/>
              <w:left w:w="15" w:type="dxa"/>
              <w:bottom w:w="0" w:type="dxa"/>
              <w:right w:w="15" w:type="dxa"/>
            </w:tcMar>
            <w:vAlign w:val="bottom"/>
          </w:tcPr>
          <w:p w14:paraId="75F2D0FE" w14:textId="77777777" w:rsidR="008B5761" w:rsidRPr="003216FE" w:rsidRDefault="008B5761" w:rsidP="00FA153D">
            <w:pPr>
              <w:rPr>
                <w:rFonts w:ascii="Calibri" w:eastAsia="Times New Roman" w:hAnsi="Calibri" w:cs="Calibri"/>
                <w:color w:val="000000"/>
                <w:sz w:val="18"/>
                <w:szCs w:val="18"/>
                <w:lang w:eastAsia="en-GB"/>
              </w:rPr>
            </w:pPr>
          </w:p>
        </w:tc>
        <w:tc>
          <w:tcPr>
            <w:tcW w:w="1017" w:type="dxa"/>
            <w:vMerge/>
            <w:tcBorders>
              <w:left w:val="nil"/>
              <w:bottom w:val="single" w:sz="12" w:space="0" w:color="auto"/>
              <w:right w:val="single" w:sz="4" w:space="0" w:color="auto"/>
            </w:tcBorders>
          </w:tcPr>
          <w:p w14:paraId="7F488CD7"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384" w:type="dxa"/>
            <w:gridSpan w:val="2"/>
            <w:tcBorders>
              <w:left w:val="single" w:sz="4" w:space="0" w:color="auto"/>
              <w:bottom w:val="single" w:sz="12" w:space="0" w:color="auto"/>
            </w:tcBorders>
            <w:vAlign w:val="center"/>
          </w:tcPr>
          <w:p w14:paraId="1D501BF4"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Incidence of resistant infections</w:t>
            </w:r>
          </w:p>
        </w:tc>
        <w:tc>
          <w:tcPr>
            <w:tcW w:w="2126" w:type="dxa"/>
            <w:gridSpan w:val="2"/>
            <w:tcBorders>
              <w:left w:val="nil"/>
              <w:bottom w:val="single" w:sz="12" w:space="0" w:color="auto"/>
            </w:tcBorders>
          </w:tcPr>
          <w:p w14:paraId="254D1F42"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Incidence of susceptible infections</w:t>
            </w:r>
          </w:p>
        </w:tc>
        <w:tc>
          <w:tcPr>
            <w:tcW w:w="284" w:type="dxa"/>
            <w:tcBorders>
              <w:left w:val="nil"/>
              <w:bottom w:val="single" w:sz="12" w:space="0" w:color="auto"/>
              <w:right w:val="nil"/>
            </w:tcBorders>
          </w:tcPr>
          <w:p w14:paraId="1AB4E29F"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796" w:type="dxa"/>
            <w:tcBorders>
              <w:left w:val="nil"/>
              <w:bottom w:val="single" w:sz="12" w:space="0" w:color="auto"/>
              <w:right w:val="nil"/>
            </w:tcBorders>
          </w:tcPr>
          <w:p w14:paraId="2866B7B8"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Resistance proportion</w:t>
            </w:r>
          </w:p>
        </w:tc>
      </w:tr>
      <w:tr w:rsidR="008B5761" w:rsidRPr="009A35BA" w14:paraId="6992E4AD" w14:textId="77777777" w:rsidTr="0094193F">
        <w:trPr>
          <w:trHeight w:val="49"/>
        </w:trPr>
        <w:tc>
          <w:tcPr>
            <w:tcW w:w="1419"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0B7A45F9" w14:textId="77777777" w:rsidR="008B5761" w:rsidRPr="003216FE" w:rsidRDefault="008B5761" w:rsidP="00FA153D">
            <w:pPr>
              <w:jc w:val="center"/>
              <w:rPr>
                <w:rFonts w:ascii="Calibri" w:eastAsia="Times New Roman" w:hAnsi="Calibri" w:cs="Calibri"/>
                <w:i/>
                <w:iCs/>
                <w:color w:val="000000"/>
                <w:sz w:val="18"/>
                <w:szCs w:val="18"/>
                <w:lang w:eastAsia="en-GB"/>
              </w:rPr>
            </w:pPr>
            <w:r w:rsidRPr="003216FE">
              <w:rPr>
                <w:rFonts w:ascii="Calibri" w:eastAsia="Times New Roman" w:hAnsi="Calibri" w:cs="Calibri"/>
                <w:i/>
                <w:iCs/>
                <w:color w:val="000000"/>
                <w:sz w:val="18"/>
                <w:szCs w:val="18"/>
                <w:lang w:eastAsia="en-GB"/>
              </w:rPr>
              <w:t>K. pneumoniae</w:t>
            </w:r>
          </w:p>
        </w:tc>
        <w:tc>
          <w:tcPr>
            <w:tcW w:w="1017" w:type="dxa"/>
            <w:vMerge w:val="restart"/>
            <w:tcBorders>
              <w:top w:val="single" w:sz="12" w:space="0" w:color="auto"/>
              <w:left w:val="nil"/>
              <w:right w:val="single" w:sz="4" w:space="0" w:color="auto"/>
            </w:tcBorders>
            <w:vAlign w:val="center"/>
          </w:tcPr>
          <w:p w14:paraId="6CDB069E"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Overall</w:t>
            </w:r>
          </w:p>
        </w:tc>
        <w:tc>
          <w:tcPr>
            <w:tcW w:w="258" w:type="dxa"/>
            <w:tcBorders>
              <w:top w:val="single" w:sz="12" w:space="0" w:color="auto"/>
              <w:left w:val="single" w:sz="4" w:space="0" w:color="auto"/>
              <w:right w:val="nil"/>
            </w:tcBorders>
            <w:vAlign w:val="center"/>
          </w:tcPr>
          <w:p w14:paraId="2999DF33" w14:textId="77777777" w:rsidR="008B5761" w:rsidRPr="003216FE" w:rsidRDefault="008B5761" w:rsidP="0094193F">
            <w:pPr>
              <w:jc w:val="center"/>
              <w:rPr>
                <w:rFonts w:ascii="Calibri" w:hAnsi="Calibri" w:cs="Calibri"/>
                <w:color w:val="000000"/>
                <w:sz w:val="18"/>
                <w:szCs w:val="18"/>
              </w:rPr>
            </w:pPr>
          </w:p>
        </w:tc>
        <w:tc>
          <w:tcPr>
            <w:tcW w:w="2126" w:type="dxa"/>
            <w:tcBorders>
              <w:top w:val="single" w:sz="12" w:space="0" w:color="auto"/>
              <w:left w:val="nil"/>
            </w:tcBorders>
            <w:shd w:val="clear" w:color="auto" w:fill="auto"/>
            <w:vAlign w:val="center"/>
          </w:tcPr>
          <w:p w14:paraId="0F146E7D"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-0.3% (-4.3, 3.9)</w:t>
            </w:r>
          </w:p>
        </w:tc>
        <w:tc>
          <w:tcPr>
            <w:tcW w:w="283" w:type="dxa"/>
            <w:tcBorders>
              <w:top w:val="single" w:sz="12" w:space="0" w:color="auto"/>
              <w:left w:val="nil"/>
              <w:right w:val="nil"/>
            </w:tcBorders>
            <w:vAlign w:val="center"/>
          </w:tcPr>
          <w:p w14:paraId="1DDF656A" w14:textId="77777777" w:rsidR="008B5761" w:rsidRPr="003216FE" w:rsidRDefault="008B5761" w:rsidP="0094193F">
            <w:pPr>
              <w:jc w:val="center"/>
              <w:rPr>
                <w:rFonts w:ascii="Calibri" w:hAnsi="Calibri" w:cs="Calibri"/>
                <w:color w:val="000000"/>
                <w:sz w:val="18"/>
                <w:szCs w:val="18"/>
              </w:rPr>
            </w:pPr>
          </w:p>
        </w:tc>
        <w:tc>
          <w:tcPr>
            <w:tcW w:w="1843" w:type="dxa"/>
            <w:tcBorders>
              <w:top w:val="single" w:sz="12" w:space="0" w:color="auto"/>
              <w:left w:val="nil"/>
            </w:tcBorders>
            <w:shd w:val="clear" w:color="auto" w:fill="auto"/>
            <w:vAlign w:val="center"/>
          </w:tcPr>
          <w:p w14:paraId="1E42493C"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-0.9% (-2.6, 0.8)</w:t>
            </w:r>
          </w:p>
        </w:tc>
        <w:tc>
          <w:tcPr>
            <w:tcW w:w="284" w:type="dxa"/>
            <w:tcBorders>
              <w:top w:val="single" w:sz="12" w:space="0" w:color="auto"/>
              <w:left w:val="nil"/>
              <w:right w:val="nil"/>
            </w:tcBorders>
            <w:vAlign w:val="center"/>
          </w:tcPr>
          <w:p w14:paraId="70003F56" w14:textId="77777777" w:rsidR="008B5761" w:rsidRPr="003216FE" w:rsidRDefault="008B5761" w:rsidP="0094193F">
            <w:pPr>
              <w:jc w:val="center"/>
              <w:rPr>
                <w:rFonts w:ascii="Calibri" w:hAnsi="Calibri" w:cs="Calibri"/>
                <w:color w:val="000000"/>
                <w:sz w:val="18"/>
                <w:szCs w:val="18"/>
              </w:rPr>
            </w:pPr>
          </w:p>
        </w:tc>
        <w:tc>
          <w:tcPr>
            <w:tcW w:w="1796" w:type="dxa"/>
            <w:tcBorders>
              <w:top w:val="single" w:sz="12" w:space="0" w:color="auto"/>
              <w:left w:val="nil"/>
              <w:right w:val="nil"/>
            </w:tcBorders>
            <w:shd w:val="clear" w:color="auto" w:fill="auto"/>
            <w:vAlign w:val="center"/>
          </w:tcPr>
          <w:p w14:paraId="548ABD74"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-0.1% (-6.7, 6.9)</w:t>
            </w:r>
          </w:p>
        </w:tc>
      </w:tr>
      <w:tr w:rsidR="008B5761" w:rsidRPr="009A35BA" w14:paraId="5FFF99BD"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435BC35F"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right w:val="single" w:sz="4" w:space="0" w:color="auto"/>
            </w:tcBorders>
            <w:vAlign w:val="center"/>
          </w:tcPr>
          <w:p w14:paraId="3262FD63"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right w:val="nil"/>
            </w:tcBorders>
            <w:shd w:val="clear" w:color="auto" w:fill="D0CECE" w:themeFill="background2" w:themeFillShade="E6"/>
            <w:vAlign w:val="center"/>
          </w:tcPr>
          <w:p w14:paraId="1A9F8BB2"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D0CECE" w:themeFill="background2" w:themeFillShade="E6"/>
            <w:vAlign w:val="center"/>
          </w:tcPr>
          <w:p w14:paraId="75BEDF23"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-6.1% (-20.6, 11.0)</w:t>
            </w:r>
          </w:p>
        </w:tc>
        <w:tc>
          <w:tcPr>
            <w:tcW w:w="283" w:type="dxa"/>
            <w:tcBorders>
              <w:left w:val="nil"/>
              <w:right w:val="nil"/>
            </w:tcBorders>
            <w:shd w:val="clear" w:color="auto" w:fill="D0CECE" w:themeFill="background2" w:themeFillShade="E6"/>
            <w:vAlign w:val="center"/>
          </w:tcPr>
          <w:p w14:paraId="368339C0"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D0CECE" w:themeFill="background2" w:themeFillShade="E6"/>
            <w:vAlign w:val="center"/>
          </w:tcPr>
          <w:p w14:paraId="634B544A"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-1.0% (-6.7, 5.2)</w:t>
            </w:r>
          </w:p>
        </w:tc>
        <w:tc>
          <w:tcPr>
            <w:tcW w:w="284" w:type="dxa"/>
            <w:tcBorders>
              <w:left w:val="nil"/>
              <w:right w:val="nil"/>
            </w:tcBorders>
            <w:shd w:val="clear" w:color="auto" w:fill="D0CECE" w:themeFill="background2" w:themeFillShade="E6"/>
            <w:vAlign w:val="center"/>
          </w:tcPr>
          <w:p w14:paraId="5BED770B"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D0CECE" w:themeFill="background2" w:themeFillShade="E6"/>
            <w:vAlign w:val="center"/>
          </w:tcPr>
          <w:p w14:paraId="3FFCCADF"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14.9% (-11.5, 49.3)</w:t>
            </w:r>
          </w:p>
        </w:tc>
      </w:tr>
      <w:tr w:rsidR="008B5761" w:rsidRPr="009A35BA" w14:paraId="320CA4F9"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6BB9C17F"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val="restart"/>
            <w:tcBorders>
              <w:left w:val="nil"/>
              <w:right w:val="single" w:sz="4" w:space="0" w:color="auto"/>
            </w:tcBorders>
            <w:vAlign w:val="center"/>
          </w:tcPr>
          <w:p w14:paraId="50411D2C"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Community-onset</w:t>
            </w:r>
          </w:p>
        </w:tc>
        <w:tc>
          <w:tcPr>
            <w:tcW w:w="258" w:type="dxa"/>
            <w:tcBorders>
              <w:left w:val="single" w:sz="4" w:space="0" w:color="auto"/>
              <w:right w:val="nil"/>
            </w:tcBorders>
            <w:vAlign w:val="center"/>
          </w:tcPr>
          <w:p w14:paraId="6D08FA85"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auto"/>
            <w:vAlign w:val="center"/>
          </w:tcPr>
          <w:p w14:paraId="0C7FC2D8"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3.6% (-1.5, 9.0)</w:t>
            </w:r>
          </w:p>
        </w:tc>
        <w:tc>
          <w:tcPr>
            <w:tcW w:w="283" w:type="dxa"/>
            <w:tcBorders>
              <w:left w:val="nil"/>
              <w:right w:val="nil"/>
            </w:tcBorders>
            <w:vAlign w:val="center"/>
          </w:tcPr>
          <w:p w14:paraId="1C629C22"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auto"/>
            <w:vAlign w:val="center"/>
          </w:tcPr>
          <w:p w14:paraId="0E0C78A8"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0.7% (-1.2, 2.6)</w:t>
            </w:r>
          </w:p>
        </w:tc>
        <w:tc>
          <w:tcPr>
            <w:tcW w:w="284" w:type="dxa"/>
            <w:tcBorders>
              <w:left w:val="nil"/>
              <w:right w:val="nil"/>
            </w:tcBorders>
            <w:vAlign w:val="center"/>
          </w:tcPr>
          <w:p w14:paraId="0F7D7045"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auto"/>
            <w:vAlign w:val="center"/>
          </w:tcPr>
          <w:p w14:paraId="5A48B31F"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-2.6% (-9.7, 5.1)</w:t>
            </w:r>
          </w:p>
        </w:tc>
      </w:tr>
      <w:tr w:rsidR="008B5761" w:rsidRPr="009A35BA" w14:paraId="6ACEF3A5"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2A21AFD6"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bottom w:val="single" w:sz="4" w:space="0" w:color="auto"/>
              <w:right w:val="single" w:sz="4" w:space="0" w:color="auto"/>
            </w:tcBorders>
            <w:vAlign w:val="center"/>
          </w:tcPr>
          <w:p w14:paraId="6963743D"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right w:val="nil"/>
            </w:tcBorders>
            <w:shd w:val="clear" w:color="auto" w:fill="D0CECE" w:themeFill="background2" w:themeFillShade="E6"/>
            <w:vAlign w:val="center"/>
          </w:tcPr>
          <w:p w14:paraId="276F3DA6"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D0CECE" w:themeFill="background2" w:themeFillShade="E6"/>
            <w:vAlign w:val="center"/>
          </w:tcPr>
          <w:p w14:paraId="719CDBF3"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-5.7% (-22.1, 14.1)</w:t>
            </w:r>
          </w:p>
        </w:tc>
        <w:tc>
          <w:tcPr>
            <w:tcW w:w="283" w:type="dxa"/>
            <w:tcBorders>
              <w:left w:val="nil"/>
              <w:right w:val="nil"/>
            </w:tcBorders>
            <w:shd w:val="clear" w:color="auto" w:fill="D0CECE" w:themeFill="background2" w:themeFillShade="E6"/>
            <w:vAlign w:val="center"/>
          </w:tcPr>
          <w:p w14:paraId="29AEE088"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D0CECE" w:themeFill="background2" w:themeFillShade="E6"/>
            <w:vAlign w:val="center"/>
          </w:tcPr>
          <w:p w14:paraId="34E88092"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-4.1% (-10.1, 2.3)</w:t>
            </w:r>
          </w:p>
        </w:tc>
        <w:tc>
          <w:tcPr>
            <w:tcW w:w="284" w:type="dxa"/>
            <w:tcBorders>
              <w:left w:val="nil"/>
              <w:right w:val="nil"/>
            </w:tcBorders>
            <w:shd w:val="clear" w:color="auto" w:fill="D0CECE" w:themeFill="background2" w:themeFillShade="E6"/>
            <w:vAlign w:val="center"/>
          </w:tcPr>
          <w:p w14:paraId="56993F99"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D0CECE" w:themeFill="background2" w:themeFillShade="E6"/>
            <w:vAlign w:val="center"/>
          </w:tcPr>
          <w:p w14:paraId="5029B343"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-10.5% (-32.0, 17.9)</w:t>
            </w:r>
          </w:p>
        </w:tc>
      </w:tr>
      <w:tr w:rsidR="008B5761" w:rsidRPr="009A35BA" w14:paraId="51AF832B"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2065E6C5"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val="restart"/>
            <w:tcBorders>
              <w:left w:val="nil"/>
              <w:bottom w:val="single" w:sz="12" w:space="0" w:color="auto"/>
              <w:right w:val="single" w:sz="4" w:space="0" w:color="auto"/>
            </w:tcBorders>
            <w:vAlign w:val="center"/>
          </w:tcPr>
          <w:p w14:paraId="0052E7B7"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Hospital-associated</w:t>
            </w:r>
          </w:p>
        </w:tc>
        <w:tc>
          <w:tcPr>
            <w:tcW w:w="258" w:type="dxa"/>
            <w:tcBorders>
              <w:left w:val="single" w:sz="4" w:space="0" w:color="auto"/>
              <w:bottom w:val="single" w:sz="4" w:space="0" w:color="auto"/>
              <w:right w:val="nil"/>
            </w:tcBorders>
            <w:vAlign w:val="center"/>
          </w:tcPr>
          <w:p w14:paraId="07900A49"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F"/>
            </w:r>
          </w:p>
        </w:tc>
        <w:tc>
          <w:tcPr>
            <w:tcW w:w="2126" w:type="dxa"/>
            <w:tcBorders>
              <w:left w:val="nil"/>
              <w:bottom w:val="single" w:sz="4" w:space="0" w:color="auto"/>
            </w:tcBorders>
            <w:shd w:val="clear" w:color="auto" w:fill="auto"/>
            <w:vAlign w:val="center"/>
          </w:tcPr>
          <w:p w14:paraId="3BE74BD7"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-4.1% (-7.4, -0.7)</w:t>
            </w:r>
          </w:p>
          <w:p w14:paraId="33555D99"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0.0182</w:t>
            </w:r>
          </w:p>
        </w:tc>
        <w:tc>
          <w:tcPr>
            <w:tcW w:w="283" w:type="dxa"/>
            <w:tcBorders>
              <w:left w:val="nil"/>
              <w:bottom w:val="single" w:sz="4" w:space="0" w:color="auto"/>
              <w:right w:val="nil"/>
            </w:tcBorders>
            <w:vAlign w:val="center"/>
          </w:tcPr>
          <w:p w14:paraId="6CF493B7"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F"/>
            </w:r>
          </w:p>
        </w:tc>
        <w:tc>
          <w:tcPr>
            <w:tcW w:w="1843" w:type="dxa"/>
            <w:tcBorders>
              <w:left w:val="nil"/>
              <w:bottom w:val="single" w:sz="4" w:space="0" w:color="auto"/>
            </w:tcBorders>
            <w:shd w:val="clear" w:color="auto" w:fill="auto"/>
            <w:vAlign w:val="center"/>
          </w:tcPr>
          <w:p w14:paraId="7DD3CB36"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-2.4% (-4.3, -0.5)</w:t>
            </w:r>
          </w:p>
          <w:p w14:paraId="4127E103"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0.0122</w:t>
            </w:r>
          </w:p>
        </w:tc>
        <w:tc>
          <w:tcPr>
            <w:tcW w:w="284" w:type="dxa"/>
            <w:tcBorders>
              <w:left w:val="nil"/>
              <w:bottom w:val="single" w:sz="4" w:space="0" w:color="auto"/>
              <w:right w:val="nil"/>
            </w:tcBorders>
            <w:vAlign w:val="center"/>
          </w:tcPr>
          <w:p w14:paraId="31EFF673" w14:textId="77777777" w:rsidR="008B5761" w:rsidRPr="003216FE" w:rsidRDefault="008B5761" w:rsidP="0094193F">
            <w:pPr>
              <w:jc w:val="center"/>
              <w:rPr>
                <w:rFonts w:ascii="Calibri" w:hAnsi="Calibri" w:cs="Calibri"/>
                <w:color w:val="000000"/>
                <w:sz w:val="18"/>
                <w:szCs w:val="18"/>
              </w:rPr>
            </w:pPr>
          </w:p>
        </w:tc>
        <w:tc>
          <w:tcPr>
            <w:tcW w:w="1796" w:type="dxa"/>
            <w:tcBorders>
              <w:left w:val="nil"/>
              <w:bottom w:val="single" w:sz="4" w:space="0" w:color="auto"/>
              <w:right w:val="nil"/>
            </w:tcBorders>
            <w:shd w:val="clear" w:color="auto" w:fill="auto"/>
            <w:vAlign w:val="center"/>
          </w:tcPr>
          <w:p w14:paraId="5DCE62C2"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2.4% (-4.3, 9.6)</w:t>
            </w:r>
          </w:p>
        </w:tc>
      </w:tr>
      <w:tr w:rsidR="008B5761" w:rsidRPr="009A35BA" w14:paraId="32CBAACD"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5547E887"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bottom w:val="single" w:sz="12" w:space="0" w:color="auto"/>
              <w:right w:val="single" w:sz="4" w:space="0" w:color="auto"/>
            </w:tcBorders>
            <w:vAlign w:val="center"/>
          </w:tcPr>
          <w:p w14:paraId="42B07010"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bottom w:val="single" w:sz="12" w:space="0" w:color="auto"/>
              <w:right w:val="nil"/>
            </w:tcBorders>
            <w:shd w:val="clear" w:color="auto" w:fill="D0CECE" w:themeFill="background2" w:themeFillShade="E6"/>
            <w:vAlign w:val="center"/>
          </w:tcPr>
          <w:p w14:paraId="05C7FAAB" w14:textId="77777777" w:rsidR="008B5761" w:rsidRPr="003216FE" w:rsidRDefault="008B5761" w:rsidP="0094193F">
            <w:pPr>
              <w:jc w:val="center"/>
              <w:rPr>
                <w:rFonts w:ascii="Calibri" w:hAnsi="Calibri" w:cs="Calibri"/>
                <w:color w:val="000000"/>
                <w:sz w:val="18"/>
                <w:szCs w:val="18"/>
              </w:rPr>
            </w:pPr>
          </w:p>
        </w:tc>
        <w:tc>
          <w:tcPr>
            <w:tcW w:w="2126" w:type="dxa"/>
            <w:tcBorders>
              <w:left w:val="nil"/>
              <w:bottom w:val="single" w:sz="12" w:space="0" w:color="auto"/>
            </w:tcBorders>
            <w:shd w:val="clear" w:color="auto" w:fill="D0CECE" w:themeFill="background2" w:themeFillShade="E6"/>
            <w:vAlign w:val="center"/>
          </w:tcPr>
          <w:p w14:paraId="63E83854"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-6.5% (-22.5, 12.9)</w:t>
            </w:r>
          </w:p>
        </w:tc>
        <w:tc>
          <w:tcPr>
            <w:tcW w:w="283" w:type="dxa"/>
            <w:tcBorders>
              <w:left w:val="nil"/>
              <w:bottom w:val="single" w:sz="12" w:space="0" w:color="auto"/>
              <w:right w:val="nil"/>
            </w:tcBorders>
            <w:shd w:val="clear" w:color="auto" w:fill="D0CECE" w:themeFill="background2" w:themeFillShade="E6"/>
            <w:vAlign w:val="center"/>
          </w:tcPr>
          <w:p w14:paraId="5EC5CFEC" w14:textId="77777777" w:rsidR="008B5761" w:rsidRPr="003216FE" w:rsidRDefault="008B5761" w:rsidP="0094193F">
            <w:pPr>
              <w:jc w:val="center"/>
              <w:rPr>
                <w:rFonts w:ascii="Calibri" w:hAnsi="Calibri" w:cs="Calibri"/>
                <w:color w:val="000000"/>
                <w:sz w:val="18"/>
                <w:szCs w:val="18"/>
              </w:rPr>
            </w:pPr>
          </w:p>
        </w:tc>
        <w:tc>
          <w:tcPr>
            <w:tcW w:w="1843" w:type="dxa"/>
            <w:tcBorders>
              <w:left w:val="nil"/>
              <w:bottom w:val="single" w:sz="12" w:space="0" w:color="auto"/>
            </w:tcBorders>
            <w:shd w:val="clear" w:color="auto" w:fill="D0CECE" w:themeFill="background2" w:themeFillShade="E6"/>
            <w:vAlign w:val="center"/>
          </w:tcPr>
          <w:p w14:paraId="65C66FAB"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2.3% (-5.3, 10.4)</w:t>
            </w:r>
          </w:p>
        </w:tc>
        <w:tc>
          <w:tcPr>
            <w:tcW w:w="284" w:type="dxa"/>
            <w:tcBorders>
              <w:left w:val="nil"/>
              <w:bottom w:val="single" w:sz="12" w:space="0" w:color="auto"/>
              <w:right w:val="nil"/>
            </w:tcBorders>
            <w:shd w:val="clear" w:color="auto" w:fill="D0CECE" w:themeFill="background2" w:themeFillShade="E6"/>
            <w:vAlign w:val="center"/>
          </w:tcPr>
          <w:p w14:paraId="08B6D249"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1796" w:type="dxa"/>
            <w:tcBorders>
              <w:left w:val="nil"/>
              <w:bottom w:val="single" w:sz="12" w:space="0" w:color="auto"/>
              <w:right w:val="nil"/>
            </w:tcBorders>
            <w:shd w:val="clear" w:color="auto" w:fill="D0CECE" w:themeFill="background2" w:themeFillShade="E6"/>
            <w:vAlign w:val="center"/>
          </w:tcPr>
          <w:p w14:paraId="68ADE1DB"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47.6% (4.4, 108.6)</w:t>
            </w:r>
          </w:p>
          <w:p w14:paraId="71BE7642"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p-value = 0.0274</w:t>
            </w:r>
          </w:p>
        </w:tc>
      </w:tr>
      <w:tr w:rsidR="008B5761" w:rsidRPr="009A35BA" w14:paraId="2E6F5908" w14:textId="77777777" w:rsidTr="0094193F">
        <w:trPr>
          <w:trHeight w:val="49"/>
        </w:trPr>
        <w:tc>
          <w:tcPr>
            <w:tcW w:w="1419"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4A6458CF" w14:textId="77777777" w:rsidR="008B5761" w:rsidRPr="003216FE" w:rsidRDefault="008B5761" w:rsidP="00FA153D">
            <w:pPr>
              <w:jc w:val="center"/>
              <w:rPr>
                <w:rFonts w:ascii="Calibri" w:eastAsia="Times New Roman" w:hAnsi="Calibri" w:cs="Calibri"/>
                <w:i/>
                <w:iCs/>
                <w:color w:val="000000"/>
                <w:sz w:val="18"/>
                <w:szCs w:val="18"/>
                <w:lang w:eastAsia="en-GB"/>
              </w:rPr>
            </w:pPr>
            <w:r w:rsidRPr="003216FE">
              <w:rPr>
                <w:rFonts w:ascii="Calibri" w:eastAsia="Times New Roman" w:hAnsi="Calibri" w:cs="Calibri"/>
                <w:i/>
                <w:iCs/>
                <w:color w:val="000000"/>
                <w:sz w:val="18"/>
                <w:szCs w:val="18"/>
                <w:lang w:eastAsia="en-GB"/>
              </w:rPr>
              <w:t>Enterobacter cl.</w:t>
            </w:r>
          </w:p>
        </w:tc>
        <w:tc>
          <w:tcPr>
            <w:tcW w:w="1017" w:type="dxa"/>
            <w:vMerge w:val="restart"/>
            <w:tcBorders>
              <w:top w:val="single" w:sz="12" w:space="0" w:color="auto"/>
              <w:left w:val="nil"/>
              <w:right w:val="single" w:sz="4" w:space="0" w:color="auto"/>
            </w:tcBorders>
            <w:vAlign w:val="center"/>
          </w:tcPr>
          <w:p w14:paraId="06AFCAFB"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Overall</w:t>
            </w:r>
          </w:p>
        </w:tc>
        <w:tc>
          <w:tcPr>
            <w:tcW w:w="258" w:type="dxa"/>
            <w:tcBorders>
              <w:top w:val="single" w:sz="12" w:space="0" w:color="auto"/>
              <w:left w:val="single" w:sz="4" w:space="0" w:color="auto"/>
              <w:right w:val="nil"/>
            </w:tcBorders>
            <w:vAlign w:val="center"/>
          </w:tcPr>
          <w:p w14:paraId="210AA121" w14:textId="3DF40A23" w:rsidR="008B5761" w:rsidRPr="003216FE" w:rsidRDefault="00081AE3"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2126" w:type="dxa"/>
            <w:tcBorders>
              <w:top w:val="single" w:sz="12" w:space="0" w:color="auto"/>
              <w:left w:val="nil"/>
            </w:tcBorders>
            <w:shd w:val="clear" w:color="auto" w:fill="auto"/>
            <w:vAlign w:val="center"/>
          </w:tcPr>
          <w:p w14:paraId="2FD42D54"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5.0% (1.9, 8.2)</w:t>
            </w:r>
          </w:p>
          <w:p w14:paraId="79DBCE26"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0.0012</w:t>
            </w:r>
          </w:p>
        </w:tc>
        <w:tc>
          <w:tcPr>
            <w:tcW w:w="283" w:type="dxa"/>
            <w:tcBorders>
              <w:top w:val="single" w:sz="12" w:space="0" w:color="auto"/>
              <w:left w:val="nil"/>
              <w:right w:val="nil"/>
            </w:tcBorders>
            <w:vAlign w:val="center"/>
          </w:tcPr>
          <w:p w14:paraId="00807175" w14:textId="77777777" w:rsidR="008B5761" w:rsidRPr="003216FE" w:rsidRDefault="008B5761" w:rsidP="0094193F">
            <w:pPr>
              <w:jc w:val="center"/>
              <w:rPr>
                <w:rFonts w:ascii="Calibri" w:hAnsi="Calibri" w:cs="Calibri"/>
                <w:color w:val="000000"/>
                <w:sz w:val="18"/>
                <w:szCs w:val="18"/>
              </w:rPr>
            </w:pPr>
          </w:p>
        </w:tc>
        <w:tc>
          <w:tcPr>
            <w:tcW w:w="1843" w:type="dxa"/>
            <w:tcBorders>
              <w:top w:val="single" w:sz="12" w:space="0" w:color="auto"/>
              <w:left w:val="nil"/>
            </w:tcBorders>
            <w:shd w:val="clear" w:color="auto" w:fill="auto"/>
            <w:vAlign w:val="center"/>
          </w:tcPr>
          <w:p w14:paraId="5A8D4D79"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-1.8% (-3.7, 0.2)</w:t>
            </w:r>
          </w:p>
        </w:tc>
        <w:tc>
          <w:tcPr>
            <w:tcW w:w="284" w:type="dxa"/>
            <w:tcBorders>
              <w:top w:val="single" w:sz="12" w:space="0" w:color="auto"/>
              <w:left w:val="nil"/>
              <w:right w:val="nil"/>
            </w:tcBorders>
            <w:vAlign w:val="center"/>
          </w:tcPr>
          <w:p w14:paraId="79E20F18"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1796" w:type="dxa"/>
            <w:tcBorders>
              <w:top w:val="single" w:sz="12" w:space="0" w:color="auto"/>
              <w:left w:val="nil"/>
              <w:right w:val="nil"/>
            </w:tcBorders>
            <w:shd w:val="clear" w:color="auto" w:fill="auto"/>
            <w:vAlign w:val="center"/>
          </w:tcPr>
          <w:p w14:paraId="706A05D9"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19.8% (13.7, 26.2)*</w:t>
            </w:r>
          </w:p>
        </w:tc>
      </w:tr>
      <w:tr w:rsidR="008B5761" w:rsidRPr="009A35BA" w14:paraId="05FBBD3A"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00B763D9"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right w:val="single" w:sz="4" w:space="0" w:color="auto"/>
            </w:tcBorders>
            <w:vAlign w:val="center"/>
          </w:tcPr>
          <w:p w14:paraId="167E2A71"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right w:val="nil"/>
            </w:tcBorders>
            <w:shd w:val="clear" w:color="auto" w:fill="D0CECE" w:themeFill="background2" w:themeFillShade="E6"/>
            <w:vAlign w:val="center"/>
          </w:tcPr>
          <w:p w14:paraId="012EE3C8"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D0CECE" w:themeFill="background2" w:themeFillShade="E6"/>
            <w:vAlign w:val="center"/>
          </w:tcPr>
          <w:p w14:paraId="7EE52D82"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11.0% (-1.7, 25.2)</w:t>
            </w:r>
          </w:p>
        </w:tc>
        <w:tc>
          <w:tcPr>
            <w:tcW w:w="283" w:type="dxa"/>
            <w:tcBorders>
              <w:left w:val="nil"/>
              <w:right w:val="nil"/>
            </w:tcBorders>
            <w:shd w:val="clear" w:color="auto" w:fill="D0CECE" w:themeFill="background2" w:themeFillShade="E6"/>
            <w:vAlign w:val="center"/>
          </w:tcPr>
          <w:p w14:paraId="390FBF1D"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D0CECE" w:themeFill="background2" w:themeFillShade="E6"/>
            <w:vAlign w:val="center"/>
          </w:tcPr>
          <w:p w14:paraId="2C2391EE"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7.0% (-0.9, 15.5)</w:t>
            </w:r>
          </w:p>
        </w:tc>
        <w:tc>
          <w:tcPr>
            <w:tcW w:w="284" w:type="dxa"/>
            <w:tcBorders>
              <w:left w:val="nil"/>
              <w:right w:val="nil"/>
            </w:tcBorders>
            <w:shd w:val="clear" w:color="auto" w:fill="D0CECE" w:themeFill="background2" w:themeFillShade="E6"/>
            <w:vAlign w:val="center"/>
          </w:tcPr>
          <w:p w14:paraId="6BA21B7E"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D0CECE" w:themeFill="background2" w:themeFillShade="E6"/>
            <w:vAlign w:val="center"/>
          </w:tcPr>
          <w:p w14:paraId="4505AE47"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6.0% (-14.1, 30.7)</w:t>
            </w:r>
          </w:p>
        </w:tc>
      </w:tr>
      <w:tr w:rsidR="008B5761" w:rsidRPr="009A35BA" w14:paraId="7E0977A0"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25970EF9"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val="restart"/>
            <w:tcBorders>
              <w:left w:val="nil"/>
              <w:right w:val="single" w:sz="4" w:space="0" w:color="auto"/>
            </w:tcBorders>
            <w:vAlign w:val="center"/>
          </w:tcPr>
          <w:p w14:paraId="2F262313"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Community-onset</w:t>
            </w:r>
          </w:p>
        </w:tc>
        <w:tc>
          <w:tcPr>
            <w:tcW w:w="258" w:type="dxa"/>
            <w:tcBorders>
              <w:left w:val="single" w:sz="4" w:space="0" w:color="auto"/>
              <w:right w:val="nil"/>
            </w:tcBorders>
            <w:vAlign w:val="center"/>
          </w:tcPr>
          <w:p w14:paraId="651C67B7"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auto"/>
            <w:vAlign w:val="center"/>
          </w:tcPr>
          <w:p w14:paraId="0DC3D331"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4.3% (-0.3, 9.0)</w:t>
            </w:r>
          </w:p>
        </w:tc>
        <w:tc>
          <w:tcPr>
            <w:tcW w:w="283" w:type="dxa"/>
            <w:tcBorders>
              <w:left w:val="nil"/>
              <w:right w:val="nil"/>
            </w:tcBorders>
            <w:vAlign w:val="center"/>
          </w:tcPr>
          <w:p w14:paraId="2C89AE02"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auto"/>
            <w:vAlign w:val="center"/>
          </w:tcPr>
          <w:p w14:paraId="38E546D6"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0.6% (-1.7, 2.9)</w:t>
            </w:r>
          </w:p>
        </w:tc>
        <w:tc>
          <w:tcPr>
            <w:tcW w:w="284" w:type="dxa"/>
            <w:tcBorders>
              <w:left w:val="nil"/>
              <w:right w:val="nil"/>
            </w:tcBorders>
            <w:vAlign w:val="center"/>
          </w:tcPr>
          <w:p w14:paraId="4EDB5DDA"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1796" w:type="dxa"/>
            <w:tcBorders>
              <w:left w:val="nil"/>
              <w:right w:val="nil"/>
            </w:tcBorders>
            <w:shd w:val="clear" w:color="auto" w:fill="auto"/>
            <w:vAlign w:val="center"/>
          </w:tcPr>
          <w:p w14:paraId="50AC536E"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18.4% (10.7, 26.6)*</w:t>
            </w:r>
          </w:p>
        </w:tc>
      </w:tr>
      <w:tr w:rsidR="008B5761" w:rsidRPr="009A35BA" w14:paraId="173A8CE5"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4C3F3F11"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bottom w:val="single" w:sz="4" w:space="0" w:color="auto"/>
              <w:right w:val="single" w:sz="4" w:space="0" w:color="auto"/>
            </w:tcBorders>
            <w:vAlign w:val="center"/>
          </w:tcPr>
          <w:p w14:paraId="31635874"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right w:val="nil"/>
            </w:tcBorders>
            <w:shd w:val="clear" w:color="auto" w:fill="D0CECE" w:themeFill="background2" w:themeFillShade="E6"/>
            <w:vAlign w:val="center"/>
          </w:tcPr>
          <w:p w14:paraId="4B45157C"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D0CECE" w:themeFill="background2" w:themeFillShade="E6"/>
            <w:vAlign w:val="center"/>
          </w:tcPr>
          <w:p w14:paraId="34560A7E"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13.6% (-7.7, 39.6)</w:t>
            </w:r>
          </w:p>
        </w:tc>
        <w:tc>
          <w:tcPr>
            <w:tcW w:w="283" w:type="dxa"/>
            <w:tcBorders>
              <w:left w:val="nil"/>
              <w:right w:val="nil"/>
            </w:tcBorders>
            <w:shd w:val="clear" w:color="auto" w:fill="D0CECE" w:themeFill="background2" w:themeFillShade="E6"/>
            <w:vAlign w:val="center"/>
          </w:tcPr>
          <w:p w14:paraId="63DD5272"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D0CECE" w:themeFill="background2" w:themeFillShade="E6"/>
            <w:vAlign w:val="center"/>
          </w:tcPr>
          <w:p w14:paraId="3CB0D4FA"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4.4% (-4.6, 14.2)</w:t>
            </w:r>
          </w:p>
        </w:tc>
        <w:tc>
          <w:tcPr>
            <w:tcW w:w="284" w:type="dxa"/>
            <w:tcBorders>
              <w:left w:val="nil"/>
              <w:right w:val="nil"/>
            </w:tcBorders>
            <w:shd w:val="clear" w:color="auto" w:fill="D0CECE" w:themeFill="background2" w:themeFillShade="E6"/>
            <w:vAlign w:val="center"/>
          </w:tcPr>
          <w:p w14:paraId="66E7546F"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D0CECE" w:themeFill="background2" w:themeFillShade="E6"/>
            <w:vAlign w:val="center"/>
          </w:tcPr>
          <w:p w14:paraId="539F0974"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4.4% (-19.9, 36.2)</w:t>
            </w:r>
          </w:p>
        </w:tc>
      </w:tr>
      <w:tr w:rsidR="008B5761" w:rsidRPr="009A35BA" w14:paraId="6BE1FA46"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3C3BFA4B"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val="restart"/>
            <w:tcBorders>
              <w:left w:val="nil"/>
              <w:bottom w:val="single" w:sz="12" w:space="0" w:color="auto"/>
              <w:right w:val="single" w:sz="4" w:space="0" w:color="auto"/>
            </w:tcBorders>
            <w:vAlign w:val="center"/>
          </w:tcPr>
          <w:p w14:paraId="63FDE590"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Hospital-associated</w:t>
            </w:r>
          </w:p>
        </w:tc>
        <w:tc>
          <w:tcPr>
            <w:tcW w:w="258" w:type="dxa"/>
            <w:tcBorders>
              <w:left w:val="single" w:sz="4" w:space="0" w:color="auto"/>
              <w:bottom w:val="single" w:sz="4" w:space="0" w:color="auto"/>
              <w:right w:val="nil"/>
            </w:tcBorders>
            <w:vAlign w:val="center"/>
          </w:tcPr>
          <w:p w14:paraId="1E5CA8BF"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2126" w:type="dxa"/>
            <w:tcBorders>
              <w:left w:val="nil"/>
              <w:bottom w:val="single" w:sz="4" w:space="0" w:color="auto"/>
            </w:tcBorders>
            <w:shd w:val="clear" w:color="auto" w:fill="auto"/>
            <w:vAlign w:val="center"/>
          </w:tcPr>
          <w:p w14:paraId="63C25C49"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5.8% (2.9, 8.7)</w:t>
            </w:r>
          </w:p>
          <w:p w14:paraId="325B3F80"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1e-04</w:t>
            </w:r>
          </w:p>
        </w:tc>
        <w:tc>
          <w:tcPr>
            <w:tcW w:w="283" w:type="dxa"/>
            <w:tcBorders>
              <w:left w:val="nil"/>
              <w:bottom w:val="single" w:sz="4" w:space="0" w:color="auto"/>
              <w:right w:val="nil"/>
            </w:tcBorders>
            <w:vAlign w:val="center"/>
          </w:tcPr>
          <w:p w14:paraId="719FE950"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F"/>
            </w:r>
          </w:p>
        </w:tc>
        <w:tc>
          <w:tcPr>
            <w:tcW w:w="1843" w:type="dxa"/>
            <w:tcBorders>
              <w:left w:val="nil"/>
              <w:bottom w:val="single" w:sz="4" w:space="0" w:color="auto"/>
            </w:tcBorders>
            <w:shd w:val="clear" w:color="auto" w:fill="auto"/>
            <w:vAlign w:val="center"/>
          </w:tcPr>
          <w:p w14:paraId="1EC69DC5"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-4.0% (-6.1, -1.9)</w:t>
            </w:r>
          </w:p>
          <w:p w14:paraId="449F6436"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2e-04</w:t>
            </w:r>
          </w:p>
        </w:tc>
        <w:tc>
          <w:tcPr>
            <w:tcW w:w="284" w:type="dxa"/>
            <w:tcBorders>
              <w:left w:val="nil"/>
              <w:bottom w:val="single" w:sz="4" w:space="0" w:color="auto"/>
              <w:right w:val="nil"/>
            </w:tcBorders>
            <w:vAlign w:val="center"/>
          </w:tcPr>
          <w:p w14:paraId="31D436B2"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1796" w:type="dxa"/>
            <w:tcBorders>
              <w:left w:val="nil"/>
              <w:bottom w:val="single" w:sz="4" w:space="0" w:color="auto"/>
              <w:right w:val="nil"/>
            </w:tcBorders>
            <w:shd w:val="clear" w:color="auto" w:fill="auto"/>
            <w:vAlign w:val="center"/>
          </w:tcPr>
          <w:p w14:paraId="354324A7"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21.1% (15.0, 27.6)*</w:t>
            </w:r>
          </w:p>
        </w:tc>
      </w:tr>
      <w:tr w:rsidR="008B5761" w:rsidRPr="009A35BA" w14:paraId="7EAE9B7E"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574B46F0"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bottom w:val="single" w:sz="12" w:space="0" w:color="auto"/>
              <w:right w:val="single" w:sz="4" w:space="0" w:color="auto"/>
            </w:tcBorders>
            <w:vAlign w:val="center"/>
          </w:tcPr>
          <w:p w14:paraId="7DED5A99"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bottom w:val="single" w:sz="12" w:space="0" w:color="auto"/>
              <w:right w:val="nil"/>
            </w:tcBorders>
            <w:shd w:val="clear" w:color="auto" w:fill="D0CECE" w:themeFill="background2" w:themeFillShade="E6"/>
            <w:vAlign w:val="center"/>
          </w:tcPr>
          <w:p w14:paraId="15B991A0" w14:textId="77777777" w:rsidR="008B5761" w:rsidRPr="003216FE" w:rsidRDefault="008B5761" w:rsidP="0094193F">
            <w:pPr>
              <w:jc w:val="center"/>
              <w:rPr>
                <w:rFonts w:ascii="Calibri" w:hAnsi="Calibri" w:cs="Calibri"/>
                <w:color w:val="000000"/>
                <w:sz w:val="18"/>
                <w:szCs w:val="18"/>
              </w:rPr>
            </w:pPr>
          </w:p>
        </w:tc>
        <w:tc>
          <w:tcPr>
            <w:tcW w:w="2126" w:type="dxa"/>
            <w:tcBorders>
              <w:left w:val="nil"/>
              <w:bottom w:val="single" w:sz="12" w:space="0" w:color="auto"/>
            </w:tcBorders>
            <w:shd w:val="clear" w:color="auto" w:fill="D0CECE" w:themeFill="background2" w:themeFillShade="E6"/>
            <w:vAlign w:val="center"/>
          </w:tcPr>
          <w:p w14:paraId="0B146C4A"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8.4% (-11.0, 32.1)</w:t>
            </w:r>
          </w:p>
        </w:tc>
        <w:tc>
          <w:tcPr>
            <w:tcW w:w="283" w:type="dxa"/>
            <w:tcBorders>
              <w:left w:val="nil"/>
              <w:bottom w:val="single" w:sz="12" w:space="0" w:color="auto"/>
              <w:right w:val="nil"/>
            </w:tcBorders>
            <w:shd w:val="clear" w:color="auto" w:fill="D0CECE" w:themeFill="background2" w:themeFillShade="E6"/>
            <w:vAlign w:val="center"/>
          </w:tcPr>
          <w:p w14:paraId="298AF919" w14:textId="77777777" w:rsidR="008B5761" w:rsidRPr="003216FE" w:rsidRDefault="008B5761" w:rsidP="0094193F">
            <w:pPr>
              <w:jc w:val="center"/>
              <w:rPr>
                <w:rFonts w:ascii="Calibri" w:hAnsi="Calibri" w:cs="Calibri"/>
                <w:color w:val="000000"/>
                <w:sz w:val="18"/>
                <w:szCs w:val="18"/>
              </w:rPr>
            </w:pPr>
          </w:p>
        </w:tc>
        <w:tc>
          <w:tcPr>
            <w:tcW w:w="1843" w:type="dxa"/>
            <w:tcBorders>
              <w:left w:val="nil"/>
              <w:bottom w:val="single" w:sz="12" w:space="0" w:color="auto"/>
            </w:tcBorders>
            <w:shd w:val="clear" w:color="auto" w:fill="D0CECE" w:themeFill="background2" w:themeFillShade="E6"/>
            <w:vAlign w:val="center"/>
          </w:tcPr>
          <w:p w14:paraId="5382FFFC"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9.7% (-0.8, 21.3)</w:t>
            </w:r>
          </w:p>
        </w:tc>
        <w:tc>
          <w:tcPr>
            <w:tcW w:w="284" w:type="dxa"/>
            <w:tcBorders>
              <w:left w:val="nil"/>
              <w:bottom w:val="single" w:sz="12" w:space="0" w:color="auto"/>
              <w:right w:val="nil"/>
            </w:tcBorders>
            <w:shd w:val="clear" w:color="auto" w:fill="D0CECE" w:themeFill="background2" w:themeFillShade="E6"/>
            <w:vAlign w:val="center"/>
          </w:tcPr>
          <w:p w14:paraId="63A34075" w14:textId="77777777" w:rsidR="008B5761" w:rsidRPr="003216FE" w:rsidRDefault="008B5761" w:rsidP="0094193F">
            <w:pPr>
              <w:jc w:val="center"/>
              <w:rPr>
                <w:rFonts w:ascii="Calibri" w:hAnsi="Calibri" w:cs="Calibri"/>
                <w:color w:val="000000"/>
                <w:sz w:val="18"/>
                <w:szCs w:val="18"/>
              </w:rPr>
            </w:pPr>
          </w:p>
        </w:tc>
        <w:tc>
          <w:tcPr>
            <w:tcW w:w="1796" w:type="dxa"/>
            <w:tcBorders>
              <w:left w:val="nil"/>
              <w:bottom w:val="single" w:sz="12" w:space="0" w:color="auto"/>
              <w:right w:val="nil"/>
            </w:tcBorders>
            <w:shd w:val="clear" w:color="auto" w:fill="D0CECE" w:themeFill="background2" w:themeFillShade="E6"/>
            <w:vAlign w:val="center"/>
          </w:tcPr>
          <w:p w14:paraId="08ECC783"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7.5% (-19.8, 44.2)</w:t>
            </w:r>
          </w:p>
        </w:tc>
      </w:tr>
      <w:tr w:rsidR="008B5761" w:rsidRPr="009A35BA" w14:paraId="066BC53C" w14:textId="77777777" w:rsidTr="0094193F">
        <w:trPr>
          <w:trHeight w:val="49"/>
        </w:trPr>
        <w:tc>
          <w:tcPr>
            <w:tcW w:w="1419"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0B9025BD" w14:textId="77777777" w:rsidR="008B5761" w:rsidRPr="003216FE" w:rsidRDefault="008B5761" w:rsidP="00FA153D">
            <w:pPr>
              <w:jc w:val="center"/>
              <w:rPr>
                <w:rFonts w:ascii="Calibri" w:eastAsia="Times New Roman" w:hAnsi="Calibri" w:cs="Calibri"/>
                <w:i/>
                <w:iCs/>
                <w:color w:val="000000"/>
                <w:sz w:val="18"/>
                <w:szCs w:val="18"/>
                <w:lang w:eastAsia="en-GB"/>
              </w:rPr>
            </w:pPr>
            <w:r w:rsidRPr="003216FE">
              <w:rPr>
                <w:rFonts w:ascii="Calibri" w:eastAsia="Times New Roman" w:hAnsi="Calibri" w:cs="Calibri"/>
                <w:i/>
                <w:iCs/>
                <w:color w:val="000000"/>
                <w:sz w:val="18"/>
                <w:szCs w:val="18"/>
                <w:lang w:eastAsia="en-GB"/>
              </w:rPr>
              <w:t>Serratia m.</w:t>
            </w:r>
          </w:p>
        </w:tc>
        <w:tc>
          <w:tcPr>
            <w:tcW w:w="1017" w:type="dxa"/>
            <w:vMerge w:val="restart"/>
            <w:tcBorders>
              <w:top w:val="single" w:sz="12" w:space="0" w:color="auto"/>
              <w:left w:val="nil"/>
              <w:right w:val="single" w:sz="4" w:space="0" w:color="auto"/>
            </w:tcBorders>
            <w:vAlign w:val="center"/>
          </w:tcPr>
          <w:p w14:paraId="34048BF8"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Overall</w:t>
            </w:r>
          </w:p>
        </w:tc>
        <w:tc>
          <w:tcPr>
            <w:tcW w:w="258" w:type="dxa"/>
            <w:tcBorders>
              <w:top w:val="single" w:sz="12" w:space="0" w:color="auto"/>
              <w:left w:val="single" w:sz="4" w:space="0" w:color="auto"/>
              <w:right w:val="nil"/>
            </w:tcBorders>
            <w:vAlign w:val="center"/>
          </w:tcPr>
          <w:p w14:paraId="2D7A6770" w14:textId="77777777" w:rsidR="008B5761" w:rsidRPr="003216FE" w:rsidRDefault="008B5761" w:rsidP="0094193F">
            <w:pPr>
              <w:jc w:val="center"/>
              <w:rPr>
                <w:rFonts w:ascii="Calibri" w:hAnsi="Calibri" w:cs="Calibri"/>
                <w:color w:val="000000"/>
                <w:sz w:val="18"/>
                <w:szCs w:val="18"/>
              </w:rPr>
            </w:pPr>
          </w:p>
        </w:tc>
        <w:tc>
          <w:tcPr>
            <w:tcW w:w="2126" w:type="dxa"/>
            <w:tcBorders>
              <w:top w:val="single" w:sz="12" w:space="0" w:color="auto"/>
              <w:left w:val="nil"/>
            </w:tcBorders>
            <w:shd w:val="clear" w:color="auto" w:fill="auto"/>
            <w:vAlign w:val="center"/>
          </w:tcPr>
          <w:p w14:paraId="4BDEEBF5" w14:textId="71185002"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4.5% (-0.4, 9.6)</w:t>
            </w:r>
          </w:p>
        </w:tc>
        <w:tc>
          <w:tcPr>
            <w:tcW w:w="283" w:type="dxa"/>
            <w:tcBorders>
              <w:top w:val="single" w:sz="12" w:space="0" w:color="auto"/>
              <w:left w:val="nil"/>
              <w:right w:val="nil"/>
            </w:tcBorders>
            <w:vAlign w:val="center"/>
          </w:tcPr>
          <w:p w14:paraId="420EFFA7" w14:textId="77777777" w:rsidR="008B5761" w:rsidRPr="003216FE" w:rsidRDefault="008B5761" w:rsidP="0094193F">
            <w:pPr>
              <w:jc w:val="center"/>
              <w:rPr>
                <w:rFonts w:ascii="Calibri" w:hAnsi="Calibri" w:cs="Calibri"/>
                <w:color w:val="000000"/>
                <w:sz w:val="18"/>
                <w:szCs w:val="18"/>
              </w:rPr>
            </w:pPr>
          </w:p>
        </w:tc>
        <w:tc>
          <w:tcPr>
            <w:tcW w:w="1843" w:type="dxa"/>
            <w:tcBorders>
              <w:top w:val="single" w:sz="12" w:space="0" w:color="auto"/>
              <w:left w:val="nil"/>
            </w:tcBorders>
            <w:shd w:val="clear" w:color="auto" w:fill="auto"/>
            <w:vAlign w:val="center"/>
          </w:tcPr>
          <w:p w14:paraId="547287DA"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-1.0% (-2.7, 0.7)</w:t>
            </w:r>
          </w:p>
        </w:tc>
        <w:tc>
          <w:tcPr>
            <w:tcW w:w="284" w:type="dxa"/>
            <w:tcBorders>
              <w:top w:val="single" w:sz="12" w:space="0" w:color="auto"/>
              <w:left w:val="nil"/>
              <w:right w:val="nil"/>
            </w:tcBorders>
            <w:vAlign w:val="center"/>
          </w:tcPr>
          <w:p w14:paraId="48D29C66"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1796" w:type="dxa"/>
            <w:tcBorders>
              <w:top w:val="single" w:sz="12" w:space="0" w:color="auto"/>
              <w:left w:val="nil"/>
              <w:right w:val="nil"/>
            </w:tcBorders>
            <w:shd w:val="clear" w:color="auto" w:fill="auto"/>
            <w:vAlign w:val="center"/>
          </w:tcPr>
          <w:p w14:paraId="52C6C59A" w14:textId="4CC25A15"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19.9% ( 8.6, 32.3)</w:t>
            </w:r>
          </w:p>
          <w:p w14:paraId="2E9788E7"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p-value = 3e-04</w:t>
            </w:r>
          </w:p>
        </w:tc>
      </w:tr>
      <w:tr w:rsidR="008B5761" w:rsidRPr="009A35BA" w14:paraId="0385D029"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6F7A54ED"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right w:val="single" w:sz="4" w:space="0" w:color="auto"/>
            </w:tcBorders>
            <w:vAlign w:val="center"/>
          </w:tcPr>
          <w:p w14:paraId="431908E6"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right w:val="nil"/>
            </w:tcBorders>
            <w:shd w:val="clear" w:color="auto" w:fill="D0CECE" w:themeFill="background2" w:themeFillShade="E6"/>
            <w:vAlign w:val="center"/>
          </w:tcPr>
          <w:p w14:paraId="327742B0"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D0CECE" w:themeFill="background2" w:themeFillShade="E6"/>
            <w:vAlign w:val="center"/>
          </w:tcPr>
          <w:p w14:paraId="24461954" w14:textId="5706AD1F"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1.3% (-16.6, 23.2)</w:t>
            </w:r>
          </w:p>
        </w:tc>
        <w:tc>
          <w:tcPr>
            <w:tcW w:w="283" w:type="dxa"/>
            <w:tcBorders>
              <w:left w:val="nil"/>
              <w:right w:val="nil"/>
            </w:tcBorders>
            <w:shd w:val="clear" w:color="auto" w:fill="D0CECE" w:themeFill="background2" w:themeFillShade="E6"/>
            <w:vAlign w:val="center"/>
          </w:tcPr>
          <w:p w14:paraId="3046789E"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1843" w:type="dxa"/>
            <w:tcBorders>
              <w:left w:val="nil"/>
            </w:tcBorders>
            <w:shd w:val="clear" w:color="auto" w:fill="D0CECE" w:themeFill="background2" w:themeFillShade="E6"/>
            <w:vAlign w:val="center"/>
          </w:tcPr>
          <w:p w14:paraId="1A8E1BB8"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11.0% ( 2.3, 20.5)</w:t>
            </w:r>
          </w:p>
          <w:p w14:paraId="58CA1EE9"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0.0176</w:t>
            </w:r>
          </w:p>
        </w:tc>
        <w:tc>
          <w:tcPr>
            <w:tcW w:w="284" w:type="dxa"/>
            <w:tcBorders>
              <w:left w:val="nil"/>
              <w:right w:val="nil"/>
            </w:tcBorders>
            <w:shd w:val="clear" w:color="auto" w:fill="D0CECE" w:themeFill="background2" w:themeFillShade="E6"/>
            <w:vAlign w:val="center"/>
          </w:tcPr>
          <w:p w14:paraId="5D10ABE8"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D0CECE" w:themeFill="background2" w:themeFillShade="E6"/>
            <w:vAlign w:val="center"/>
          </w:tcPr>
          <w:p w14:paraId="639FC642" w14:textId="362C61C4"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-4.4% (-41.1, 55.2)</w:t>
            </w:r>
          </w:p>
        </w:tc>
      </w:tr>
      <w:tr w:rsidR="008B5761" w:rsidRPr="009A35BA" w14:paraId="236E8958"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3F8F63E0"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val="restart"/>
            <w:tcBorders>
              <w:left w:val="nil"/>
              <w:right w:val="single" w:sz="4" w:space="0" w:color="auto"/>
            </w:tcBorders>
            <w:vAlign w:val="center"/>
          </w:tcPr>
          <w:p w14:paraId="7AF75DF1"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Community-onset</w:t>
            </w:r>
          </w:p>
        </w:tc>
        <w:tc>
          <w:tcPr>
            <w:tcW w:w="258" w:type="dxa"/>
            <w:tcBorders>
              <w:left w:val="single" w:sz="4" w:space="0" w:color="auto"/>
              <w:right w:val="nil"/>
            </w:tcBorders>
            <w:vAlign w:val="center"/>
          </w:tcPr>
          <w:p w14:paraId="7EDBD105"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auto"/>
            <w:vAlign w:val="center"/>
          </w:tcPr>
          <w:p w14:paraId="51EEB15D" w14:textId="5FAF7E6F"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3.8% (-2.9, 10.9)</w:t>
            </w:r>
          </w:p>
        </w:tc>
        <w:tc>
          <w:tcPr>
            <w:tcW w:w="283" w:type="dxa"/>
            <w:tcBorders>
              <w:left w:val="nil"/>
              <w:right w:val="nil"/>
            </w:tcBorders>
            <w:vAlign w:val="center"/>
          </w:tcPr>
          <w:p w14:paraId="4D172310"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auto"/>
            <w:vAlign w:val="center"/>
          </w:tcPr>
          <w:p w14:paraId="0BA8F455" w14:textId="6A92472E"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0.0% (-2.0, 2.0)</w:t>
            </w:r>
          </w:p>
        </w:tc>
        <w:tc>
          <w:tcPr>
            <w:tcW w:w="284" w:type="dxa"/>
            <w:tcBorders>
              <w:left w:val="nil"/>
              <w:right w:val="nil"/>
            </w:tcBorders>
            <w:vAlign w:val="center"/>
          </w:tcPr>
          <w:p w14:paraId="6BB21A59"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1796" w:type="dxa"/>
            <w:tcBorders>
              <w:left w:val="nil"/>
              <w:right w:val="nil"/>
            </w:tcBorders>
            <w:shd w:val="clear" w:color="auto" w:fill="auto"/>
            <w:vAlign w:val="center"/>
          </w:tcPr>
          <w:p w14:paraId="2AA9AE63"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15.9% ( 3.3, 29.9)</w:t>
            </w:r>
          </w:p>
          <w:p w14:paraId="4A93CEBA"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p-value = 0.0117</w:t>
            </w:r>
          </w:p>
        </w:tc>
      </w:tr>
      <w:tr w:rsidR="008B5761" w:rsidRPr="009A35BA" w14:paraId="2FFF1AB7"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6297AB4A"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bottom w:val="single" w:sz="4" w:space="0" w:color="auto"/>
              <w:right w:val="single" w:sz="4" w:space="0" w:color="auto"/>
            </w:tcBorders>
            <w:vAlign w:val="center"/>
          </w:tcPr>
          <w:p w14:paraId="6F932A2B"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right w:val="nil"/>
            </w:tcBorders>
            <w:shd w:val="clear" w:color="auto" w:fill="D0CECE" w:themeFill="background2" w:themeFillShade="E6"/>
            <w:vAlign w:val="center"/>
          </w:tcPr>
          <w:p w14:paraId="7BC5B039"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D0CECE" w:themeFill="background2" w:themeFillShade="E6"/>
            <w:vAlign w:val="center"/>
          </w:tcPr>
          <w:p w14:paraId="6A067D9B" w14:textId="08C1AE45"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4.4% (-24.6, 44.4)</w:t>
            </w:r>
          </w:p>
        </w:tc>
        <w:tc>
          <w:tcPr>
            <w:tcW w:w="283" w:type="dxa"/>
            <w:tcBorders>
              <w:left w:val="nil"/>
              <w:right w:val="nil"/>
            </w:tcBorders>
            <w:shd w:val="clear" w:color="auto" w:fill="D0CECE" w:themeFill="background2" w:themeFillShade="E6"/>
            <w:vAlign w:val="center"/>
          </w:tcPr>
          <w:p w14:paraId="160D89BD"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D0CECE" w:themeFill="background2" w:themeFillShade="E6"/>
            <w:vAlign w:val="center"/>
          </w:tcPr>
          <w:p w14:paraId="2069D6C1" w14:textId="0947388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5.3% (-4.9, 16.6)</w:t>
            </w:r>
          </w:p>
        </w:tc>
        <w:tc>
          <w:tcPr>
            <w:tcW w:w="284" w:type="dxa"/>
            <w:tcBorders>
              <w:left w:val="nil"/>
              <w:right w:val="nil"/>
            </w:tcBorders>
            <w:shd w:val="clear" w:color="auto" w:fill="D0CECE" w:themeFill="background2" w:themeFillShade="E6"/>
            <w:vAlign w:val="center"/>
          </w:tcPr>
          <w:p w14:paraId="17605B58"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D0CECE" w:themeFill="background2" w:themeFillShade="E6"/>
            <w:vAlign w:val="center"/>
          </w:tcPr>
          <w:p w14:paraId="669CFF68"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-1.1% (-45.9, 80.8)</w:t>
            </w:r>
          </w:p>
        </w:tc>
      </w:tr>
      <w:tr w:rsidR="008B5761" w:rsidRPr="009A35BA" w14:paraId="6C034795"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68B0A177"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val="restart"/>
            <w:tcBorders>
              <w:left w:val="nil"/>
              <w:bottom w:val="single" w:sz="12" w:space="0" w:color="auto"/>
              <w:right w:val="single" w:sz="4" w:space="0" w:color="auto"/>
            </w:tcBorders>
            <w:vAlign w:val="center"/>
          </w:tcPr>
          <w:p w14:paraId="5B2F3AE7"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Hospital-associated</w:t>
            </w:r>
          </w:p>
        </w:tc>
        <w:tc>
          <w:tcPr>
            <w:tcW w:w="258" w:type="dxa"/>
            <w:tcBorders>
              <w:left w:val="single" w:sz="4" w:space="0" w:color="auto"/>
              <w:bottom w:val="single" w:sz="4" w:space="0" w:color="auto"/>
              <w:right w:val="nil"/>
            </w:tcBorders>
            <w:vAlign w:val="center"/>
          </w:tcPr>
          <w:p w14:paraId="3DF3A69B" w14:textId="77777777" w:rsidR="008B5761" w:rsidRPr="003216FE" w:rsidRDefault="008B5761" w:rsidP="0094193F">
            <w:pPr>
              <w:jc w:val="center"/>
              <w:rPr>
                <w:rFonts w:ascii="Calibri" w:hAnsi="Calibri" w:cs="Calibri"/>
                <w:color w:val="000000"/>
                <w:sz w:val="18"/>
                <w:szCs w:val="18"/>
              </w:rPr>
            </w:pPr>
          </w:p>
        </w:tc>
        <w:tc>
          <w:tcPr>
            <w:tcW w:w="2126" w:type="dxa"/>
            <w:tcBorders>
              <w:left w:val="nil"/>
              <w:bottom w:val="single" w:sz="4" w:space="0" w:color="auto"/>
            </w:tcBorders>
            <w:shd w:val="clear" w:color="auto" w:fill="auto"/>
            <w:vAlign w:val="center"/>
          </w:tcPr>
          <w:p w14:paraId="474B575C" w14:textId="0C505402"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5.3% (-0.6, 11.5)</w:t>
            </w:r>
          </w:p>
        </w:tc>
        <w:tc>
          <w:tcPr>
            <w:tcW w:w="283" w:type="dxa"/>
            <w:tcBorders>
              <w:left w:val="nil"/>
              <w:bottom w:val="single" w:sz="4" w:space="0" w:color="auto"/>
              <w:right w:val="nil"/>
            </w:tcBorders>
            <w:vAlign w:val="center"/>
          </w:tcPr>
          <w:p w14:paraId="3063301A" w14:textId="77777777" w:rsidR="008B5761" w:rsidRPr="003216FE" w:rsidRDefault="008B5761" w:rsidP="0094193F">
            <w:pPr>
              <w:jc w:val="center"/>
              <w:rPr>
                <w:rFonts w:ascii="Calibri" w:hAnsi="Calibri" w:cs="Calibri"/>
                <w:color w:val="000000"/>
                <w:sz w:val="18"/>
                <w:szCs w:val="18"/>
              </w:rPr>
            </w:pPr>
          </w:p>
        </w:tc>
        <w:tc>
          <w:tcPr>
            <w:tcW w:w="1843" w:type="dxa"/>
            <w:tcBorders>
              <w:left w:val="nil"/>
              <w:bottom w:val="single" w:sz="4" w:space="0" w:color="auto"/>
            </w:tcBorders>
            <w:shd w:val="clear" w:color="auto" w:fill="auto"/>
            <w:vAlign w:val="center"/>
          </w:tcPr>
          <w:p w14:paraId="68391A74"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-2.0% (-4.3, 0.2)</w:t>
            </w:r>
          </w:p>
        </w:tc>
        <w:tc>
          <w:tcPr>
            <w:tcW w:w="284" w:type="dxa"/>
            <w:tcBorders>
              <w:left w:val="nil"/>
              <w:bottom w:val="single" w:sz="4" w:space="0" w:color="auto"/>
              <w:right w:val="nil"/>
            </w:tcBorders>
            <w:vAlign w:val="center"/>
          </w:tcPr>
          <w:p w14:paraId="71B8B924"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1796" w:type="dxa"/>
            <w:tcBorders>
              <w:left w:val="nil"/>
              <w:bottom w:val="single" w:sz="4" w:space="0" w:color="auto"/>
              <w:right w:val="nil"/>
            </w:tcBorders>
            <w:shd w:val="clear" w:color="auto" w:fill="auto"/>
            <w:vAlign w:val="center"/>
          </w:tcPr>
          <w:p w14:paraId="56A39496"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24.0% (11.1, 38.4)</w:t>
            </w:r>
          </w:p>
          <w:p w14:paraId="5C8817BB"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p-value = 1e-04</w:t>
            </w:r>
          </w:p>
        </w:tc>
      </w:tr>
      <w:tr w:rsidR="008B5761" w:rsidRPr="009A35BA" w14:paraId="71F9B1E5"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54DE197C"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bottom w:val="single" w:sz="12" w:space="0" w:color="auto"/>
              <w:right w:val="single" w:sz="4" w:space="0" w:color="auto"/>
            </w:tcBorders>
            <w:vAlign w:val="center"/>
          </w:tcPr>
          <w:p w14:paraId="67849BB6"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bottom w:val="single" w:sz="12" w:space="0" w:color="auto"/>
              <w:right w:val="nil"/>
            </w:tcBorders>
            <w:shd w:val="clear" w:color="auto" w:fill="D0CECE" w:themeFill="background2" w:themeFillShade="E6"/>
            <w:vAlign w:val="center"/>
          </w:tcPr>
          <w:p w14:paraId="65568402" w14:textId="77777777" w:rsidR="008B5761" w:rsidRPr="003216FE" w:rsidRDefault="008B5761" w:rsidP="0094193F">
            <w:pPr>
              <w:jc w:val="center"/>
              <w:rPr>
                <w:rFonts w:ascii="Calibri" w:hAnsi="Calibri" w:cs="Calibri"/>
                <w:color w:val="000000"/>
                <w:sz w:val="18"/>
                <w:szCs w:val="18"/>
              </w:rPr>
            </w:pPr>
          </w:p>
        </w:tc>
        <w:tc>
          <w:tcPr>
            <w:tcW w:w="2126" w:type="dxa"/>
            <w:tcBorders>
              <w:left w:val="nil"/>
              <w:bottom w:val="single" w:sz="12" w:space="0" w:color="auto"/>
            </w:tcBorders>
            <w:shd w:val="clear" w:color="auto" w:fill="D0CECE" w:themeFill="background2" w:themeFillShade="E6"/>
            <w:vAlign w:val="center"/>
          </w:tcPr>
          <w:p w14:paraId="43133A56" w14:textId="00B396B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-1.6% (-25.1, 29.2)</w:t>
            </w:r>
          </w:p>
        </w:tc>
        <w:tc>
          <w:tcPr>
            <w:tcW w:w="283" w:type="dxa"/>
            <w:tcBorders>
              <w:left w:val="nil"/>
              <w:bottom w:val="single" w:sz="12" w:space="0" w:color="auto"/>
              <w:right w:val="nil"/>
            </w:tcBorders>
            <w:shd w:val="clear" w:color="auto" w:fill="D0CECE" w:themeFill="background2" w:themeFillShade="E6"/>
            <w:vAlign w:val="center"/>
          </w:tcPr>
          <w:p w14:paraId="53B1C783"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1843" w:type="dxa"/>
            <w:tcBorders>
              <w:left w:val="nil"/>
              <w:bottom w:val="single" w:sz="12" w:space="0" w:color="auto"/>
            </w:tcBorders>
            <w:shd w:val="clear" w:color="auto" w:fill="D0CECE" w:themeFill="background2" w:themeFillShade="E6"/>
            <w:vAlign w:val="center"/>
          </w:tcPr>
          <w:p w14:paraId="663FD75C"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17.0% ( 3.6, 32.2)</w:t>
            </w:r>
          </w:p>
          <w:p w14:paraId="3A35DE68"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0.0463</w:t>
            </w:r>
          </w:p>
        </w:tc>
        <w:tc>
          <w:tcPr>
            <w:tcW w:w="284" w:type="dxa"/>
            <w:tcBorders>
              <w:left w:val="nil"/>
              <w:bottom w:val="single" w:sz="12" w:space="0" w:color="auto"/>
              <w:right w:val="nil"/>
            </w:tcBorders>
            <w:shd w:val="clear" w:color="auto" w:fill="D0CECE" w:themeFill="background2" w:themeFillShade="E6"/>
            <w:vAlign w:val="center"/>
          </w:tcPr>
          <w:p w14:paraId="3FA20A88" w14:textId="77777777" w:rsidR="008B5761" w:rsidRPr="003216FE" w:rsidRDefault="008B5761" w:rsidP="0094193F">
            <w:pPr>
              <w:jc w:val="center"/>
              <w:rPr>
                <w:rFonts w:ascii="Calibri" w:hAnsi="Calibri" w:cs="Calibri"/>
                <w:color w:val="000000"/>
                <w:sz w:val="18"/>
                <w:szCs w:val="18"/>
              </w:rPr>
            </w:pPr>
          </w:p>
        </w:tc>
        <w:tc>
          <w:tcPr>
            <w:tcW w:w="1796" w:type="dxa"/>
            <w:tcBorders>
              <w:left w:val="nil"/>
              <w:bottom w:val="single" w:sz="12" w:space="0" w:color="auto"/>
              <w:right w:val="nil"/>
            </w:tcBorders>
            <w:shd w:val="clear" w:color="auto" w:fill="D0CECE" w:themeFill="background2" w:themeFillShade="E6"/>
            <w:vAlign w:val="center"/>
          </w:tcPr>
          <w:p w14:paraId="467AD993"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-7.6% (-49.5, 69.2)</w:t>
            </w:r>
          </w:p>
        </w:tc>
      </w:tr>
      <w:tr w:rsidR="008B5761" w:rsidRPr="009A35BA" w14:paraId="4C860A1D" w14:textId="77777777" w:rsidTr="0094193F">
        <w:trPr>
          <w:trHeight w:val="49"/>
        </w:trPr>
        <w:tc>
          <w:tcPr>
            <w:tcW w:w="1419"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132A81B3" w14:textId="77777777" w:rsidR="008B5761" w:rsidRPr="003216FE" w:rsidRDefault="008B5761" w:rsidP="00FA153D">
            <w:pPr>
              <w:jc w:val="center"/>
              <w:rPr>
                <w:rFonts w:ascii="Calibri" w:eastAsia="Times New Roman" w:hAnsi="Calibri" w:cs="Calibri"/>
                <w:i/>
                <w:iCs/>
                <w:color w:val="000000"/>
                <w:sz w:val="18"/>
                <w:szCs w:val="18"/>
                <w:lang w:eastAsia="en-GB"/>
              </w:rPr>
            </w:pPr>
            <w:r w:rsidRPr="003216FE">
              <w:rPr>
                <w:rFonts w:ascii="Calibri" w:eastAsia="Times New Roman" w:hAnsi="Calibri" w:cs="Calibri"/>
                <w:i/>
                <w:iCs/>
                <w:color w:val="000000"/>
                <w:sz w:val="18"/>
                <w:szCs w:val="18"/>
                <w:lang w:eastAsia="en-GB"/>
              </w:rPr>
              <w:t>P. aeruginosa</w:t>
            </w:r>
          </w:p>
        </w:tc>
        <w:tc>
          <w:tcPr>
            <w:tcW w:w="1017" w:type="dxa"/>
            <w:vMerge w:val="restart"/>
            <w:tcBorders>
              <w:top w:val="single" w:sz="12" w:space="0" w:color="auto"/>
              <w:left w:val="nil"/>
              <w:right w:val="single" w:sz="4" w:space="0" w:color="auto"/>
            </w:tcBorders>
            <w:vAlign w:val="center"/>
          </w:tcPr>
          <w:p w14:paraId="60BE6BE5"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Overall</w:t>
            </w:r>
          </w:p>
        </w:tc>
        <w:tc>
          <w:tcPr>
            <w:tcW w:w="258" w:type="dxa"/>
            <w:tcBorders>
              <w:top w:val="single" w:sz="12" w:space="0" w:color="auto"/>
              <w:left w:val="single" w:sz="4" w:space="0" w:color="auto"/>
              <w:right w:val="nil"/>
            </w:tcBorders>
            <w:vAlign w:val="center"/>
          </w:tcPr>
          <w:p w14:paraId="043E0F0E" w14:textId="77777777" w:rsidR="008B5761" w:rsidRPr="003216FE" w:rsidRDefault="008B5761" w:rsidP="0094193F">
            <w:pPr>
              <w:jc w:val="center"/>
              <w:rPr>
                <w:rFonts w:ascii="Calibri" w:hAnsi="Calibri" w:cs="Calibri"/>
                <w:color w:val="000000"/>
                <w:sz w:val="18"/>
                <w:szCs w:val="18"/>
              </w:rPr>
            </w:pPr>
          </w:p>
        </w:tc>
        <w:tc>
          <w:tcPr>
            <w:tcW w:w="2126" w:type="dxa"/>
            <w:tcBorders>
              <w:top w:val="single" w:sz="12" w:space="0" w:color="auto"/>
              <w:left w:val="nil"/>
            </w:tcBorders>
            <w:shd w:val="clear" w:color="auto" w:fill="auto"/>
            <w:vAlign w:val="center"/>
          </w:tcPr>
          <w:p w14:paraId="5BD43DE9"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-1.1% (-3.6, 1.5)</w:t>
            </w:r>
          </w:p>
        </w:tc>
        <w:tc>
          <w:tcPr>
            <w:tcW w:w="283" w:type="dxa"/>
            <w:tcBorders>
              <w:top w:val="single" w:sz="12" w:space="0" w:color="auto"/>
              <w:left w:val="nil"/>
              <w:right w:val="nil"/>
            </w:tcBorders>
            <w:vAlign w:val="center"/>
          </w:tcPr>
          <w:p w14:paraId="78580BD4"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F"/>
            </w:r>
          </w:p>
        </w:tc>
        <w:tc>
          <w:tcPr>
            <w:tcW w:w="1843" w:type="dxa"/>
            <w:tcBorders>
              <w:top w:val="single" w:sz="12" w:space="0" w:color="auto"/>
              <w:left w:val="nil"/>
            </w:tcBorders>
            <w:shd w:val="clear" w:color="auto" w:fill="auto"/>
            <w:vAlign w:val="center"/>
          </w:tcPr>
          <w:p w14:paraId="64CAAB57"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-2.3% (-3.8, -0.9)</w:t>
            </w:r>
          </w:p>
          <w:p w14:paraId="4E1C1507"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0.0019</w:t>
            </w:r>
          </w:p>
        </w:tc>
        <w:tc>
          <w:tcPr>
            <w:tcW w:w="284" w:type="dxa"/>
            <w:tcBorders>
              <w:top w:val="single" w:sz="12" w:space="0" w:color="auto"/>
              <w:left w:val="nil"/>
              <w:right w:val="nil"/>
            </w:tcBorders>
            <w:vAlign w:val="center"/>
          </w:tcPr>
          <w:p w14:paraId="265F8104" w14:textId="77777777" w:rsidR="008B5761" w:rsidRPr="003216FE" w:rsidRDefault="008B5761" w:rsidP="0094193F">
            <w:pPr>
              <w:jc w:val="center"/>
              <w:rPr>
                <w:rFonts w:ascii="Calibri" w:hAnsi="Calibri" w:cs="Calibri"/>
                <w:color w:val="000000"/>
                <w:sz w:val="18"/>
                <w:szCs w:val="18"/>
              </w:rPr>
            </w:pPr>
          </w:p>
        </w:tc>
        <w:tc>
          <w:tcPr>
            <w:tcW w:w="1796" w:type="dxa"/>
            <w:tcBorders>
              <w:top w:val="single" w:sz="12" w:space="0" w:color="auto"/>
              <w:left w:val="nil"/>
              <w:right w:val="nil"/>
            </w:tcBorders>
            <w:shd w:val="clear" w:color="auto" w:fill="auto"/>
            <w:vAlign w:val="center"/>
          </w:tcPr>
          <w:p w14:paraId="38E53744"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1.8% (-1.0, 4.6)</w:t>
            </w:r>
          </w:p>
        </w:tc>
      </w:tr>
      <w:tr w:rsidR="008B5761" w:rsidRPr="009A35BA" w14:paraId="3921D74A"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4D3ECF47"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right w:val="single" w:sz="4" w:space="0" w:color="auto"/>
            </w:tcBorders>
            <w:vAlign w:val="center"/>
          </w:tcPr>
          <w:p w14:paraId="7DA2C156"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right w:val="nil"/>
            </w:tcBorders>
            <w:shd w:val="clear" w:color="auto" w:fill="D0CECE" w:themeFill="background2" w:themeFillShade="E6"/>
            <w:vAlign w:val="center"/>
          </w:tcPr>
          <w:p w14:paraId="67E00BAE"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D0CECE" w:themeFill="background2" w:themeFillShade="E6"/>
            <w:vAlign w:val="center"/>
          </w:tcPr>
          <w:p w14:paraId="192D13C4"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7.1% (-4.7, 20.4)</w:t>
            </w:r>
          </w:p>
        </w:tc>
        <w:tc>
          <w:tcPr>
            <w:tcW w:w="283" w:type="dxa"/>
            <w:tcBorders>
              <w:left w:val="nil"/>
              <w:right w:val="nil"/>
            </w:tcBorders>
            <w:shd w:val="clear" w:color="auto" w:fill="D0CECE" w:themeFill="background2" w:themeFillShade="E6"/>
            <w:vAlign w:val="center"/>
          </w:tcPr>
          <w:p w14:paraId="715BFBD9"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D0CECE" w:themeFill="background2" w:themeFillShade="E6"/>
            <w:vAlign w:val="center"/>
          </w:tcPr>
          <w:p w14:paraId="70D9B621"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0.0% (-6.2, 6.5)</w:t>
            </w:r>
          </w:p>
        </w:tc>
        <w:tc>
          <w:tcPr>
            <w:tcW w:w="284" w:type="dxa"/>
            <w:tcBorders>
              <w:left w:val="nil"/>
              <w:right w:val="nil"/>
            </w:tcBorders>
            <w:shd w:val="clear" w:color="auto" w:fill="D0CECE" w:themeFill="background2" w:themeFillShade="E6"/>
            <w:vAlign w:val="center"/>
          </w:tcPr>
          <w:p w14:paraId="6B2D0B65"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D0CECE" w:themeFill="background2" w:themeFillShade="E6"/>
            <w:vAlign w:val="center"/>
          </w:tcPr>
          <w:p w14:paraId="3A1B01D3"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4.8% (-7.1, 18.3)</w:t>
            </w:r>
          </w:p>
        </w:tc>
      </w:tr>
      <w:tr w:rsidR="008B5761" w:rsidRPr="009A35BA" w14:paraId="4E31F880"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624D1157"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val="restart"/>
            <w:tcBorders>
              <w:left w:val="nil"/>
              <w:right w:val="single" w:sz="4" w:space="0" w:color="auto"/>
            </w:tcBorders>
            <w:vAlign w:val="center"/>
          </w:tcPr>
          <w:p w14:paraId="419F202E"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Community-onset</w:t>
            </w:r>
          </w:p>
        </w:tc>
        <w:tc>
          <w:tcPr>
            <w:tcW w:w="258" w:type="dxa"/>
            <w:tcBorders>
              <w:left w:val="single" w:sz="4" w:space="0" w:color="auto"/>
              <w:right w:val="nil"/>
            </w:tcBorders>
            <w:vAlign w:val="center"/>
          </w:tcPr>
          <w:p w14:paraId="10A25BEE"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auto"/>
            <w:vAlign w:val="center"/>
          </w:tcPr>
          <w:p w14:paraId="3FAD7D6C"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1.7% (-1.3, 4.7)</w:t>
            </w:r>
          </w:p>
        </w:tc>
        <w:tc>
          <w:tcPr>
            <w:tcW w:w="283" w:type="dxa"/>
            <w:tcBorders>
              <w:left w:val="nil"/>
              <w:right w:val="nil"/>
            </w:tcBorders>
            <w:vAlign w:val="center"/>
          </w:tcPr>
          <w:p w14:paraId="7DB16867"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auto"/>
            <w:vAlign w:val="center"/>
          </w:tcPr>
          <w:p w14:paraId="19FF4543"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-0.9% (-2.6, 0.9)</w:t>
            </w:r>
          </w:p>
        </w:tc>
        <w:tc>
          <w:tcPr>
            <w:tcW w:w="284" w:type="dxa"/>
            <w:tcBorders>
              <w:left w:val="nil"/>
              <w:right w:val="nil"/>
            </w:tcBorders>
            <w:vAlign w:val="center"/>
          </w:tcPr>
          <w:p w14:paraId="7110C8F8"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auto"/>
            <w:vAlign w:val="center"/>
          </w:tcPr>
          <w:p w14:paraId="2BFAC3B0"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3.0% (-0.1, 6.2)</w:t>
            </w:r>
          </w:p>
        </w:tc>
      </w:tr>
      <w:tr w:rsidR="008B5761" w:rsidRPr="009A35BA" w14:paraId="5A5423DB"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6E171DDD"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bottom w:val="single" w:sz="4" w:space="0" w:color="auto"/>
              <w:right w:val="single" w:sz="4" w:space="0" w:color="auto"/>
            </w:tcBorders>
            <w:vAlign w:val="center"/>
          </w:tcPr>
          <w:p w14:paraId="07E19F8C"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right w:val="nil"/>
            </w:tcBorders>
            <w:shd w:val="clear" w:color="auto" w:fill="D0CECE" w:themeFill="background2" w:themeFillShade="E6"/>
            <w:vAlign w:val="center"/>
          </w:tcPr>
          <w:p w14:paraId="75B285DD"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D0CECE" w:themeFill="background2" w:themeFillShade="E6"/>
            <w:vAlign w:val="center"/>
          </w:tcPr>
          <w:p w14:paraId="5CC65E7A"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-2.3% (-16.1, 13.8)</w:t>
            </w:r>
          </w:p>
        </w:tc>
        <w:tc>
          <w:tcPr>
            <w:tcW w:w="283" w:type="dxa"/>
            <w:tcBorders>
              <w:left w:val="nil"/>
              <w:right w:val="nil"/>
            </w:tcBorders>
            <w:shd w:val="clear" w:color="auto" w:fill="D0CECE" w:themeFill="background2" w:themeFillShade="E6"/>
            <w:vAlign w:val="center"/>
          </w:tcPr>
          <w:p w14:paraId="41235D70"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F"/>
            </w:r>
          </w:p>
        </w:tc>
        <w:tc>
          <w:tcPr>
            <w:tcW w:w="1843" w:type="dxa"/>
            <w:tcBorders>
              <w:left w:val="nil"/>
            </w:tcBorders>
            <w:shd w:val="clear" w:color="auto" w:fill="D0CECE" w:themeFill="background2" w:themeFillShade="E6"/>
            <w:vAlign w:val="center"/>
          </w:tcPr>
          <w:p w14:paraId="04C479D7"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-7.8% (-14.7, -0.5)</w:t>
            </w:r>
          </w:p>
          <w:p w14:paraId="0082F305"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p-value = 0.0369</w:t>
            </w:r>
          </w:p>
        </w:tc>
        <w:tc>
          <w:tcPr>
            <w:tcW w:w="284" w:type="dxa"/>
            <w:tcBorders>
              <w:left w:val="nil"/>
              <w:right w:val="nil"/>
            </w:tcBorders>
            <w:shd w:val="clear" w:color="auto" w:fill="D0CECE" w:themeFill="background2" w:themeFillShade="E6"/>
            <w:vAlign w:val="center"/>
          </w:tcPr>
          <w:p w14:paraId="3AB1A5FD"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D0CECE" w:themeFill="background2" w:themeFillShade="E6"/>
            <w:vAlign w:val="center"/>
          </w:tcPr>
          <w:p w14:paraId="4C39A3F7"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-0.2% (-14.2, 16.1)</w:t>
            </w:r>
          </w:p>
        </w:tc>
      </w:tr>
      <w:tr w:rsidR="008B5761" w:rsidRPr="009A35BA" w14:paraId="7BD3F810"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68F05C54"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val="restart"/>
            <w:tcBorders>
              <w:left w:val="nil"/>
              <w:bottom w:val="single" w:sz="12" w:space="0" w:color="auto"/>
              <w:right w:val="single" w:sz="4" w:space="0" w:color="auto"/>
            </w:tcBorders>
            <w:vAlign w:val="center"/>
          </w:tcPr>
          <w:p w14:paraId="6812DF33"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Hospital-associated</w:t>
            </w:r>
          </w:p>
        </w:tc>
        <w:tc>
          <w:tcPr>
            <w:tcW w:w="258" w:type="dxa"/>
            <w:tcBorders>
              <w:left w:val="single" w:sz="4" w:space="0" w:color="auto"/>
              <w:bottom w:val="single" w:sz="4" w:space="0" w:color="auto"/>
              <w:right w:val="nil"/>
            </w:tcBorders>
            <w:vAlign w:val="center"/>
          </w:tcPr>
          <w:p w14:paraId="37099BD1"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F"/>
            </w:r>
          </w:p>
        </w:tc>
        <w:tc>
          <w:tcPr>
            <w:tcW w:w="2126" w:type="dxa"/>
            <w:tcBorders>
              <w:left w:val="nil"/>
              <w:bottom w:val="single" w:sz="4" w:space="0" w:color="auto"/>
            </w:tcBorders>
            <w:shd w:val="clear" w:color="auto" w:fill="auto"/>
            <w:vAlign w:val="center"/>
          </w:tcPr>
          <w:p w14:paraId="06AB772C"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-3.7% (-6.4, -1.0)</w:t>
            </w:r>
          </w:p>
          <w:p w14:paraId="7B078914"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0.0083</w:t>
            </w:r>
          </w:p>
        </w:tc>
        <w:tc>
          <w:tcPr>
            <w:tcW w:w="283" w:type="dxa"/>
            <w:tcBorders>
              <w:left w:val="nil"/>
              <w:bottom w:val="single" w:sz="4" w:space="0" w:color="auto"/>
              <w:right w:val="nil"/>
            </w:tcBorders>
            <w:vAlign w:val="center"/>
          </w:tcPr>
          <w:p w14:paraId="6B22CA03" w14:textId="77777777" w:rsidR="008B5761" w:rsidRPr="003216FE" w:rsidRDefault="008B5761" w:rsidP="0094193F">
            <w:pPr>
              <w:jc w:val="center"/>
              <w:rPr>
                <w:rFonts w:ascii="Calibri" w:hAnsi="Calibri" w:cs="Calibri"/>
                <w:color w:val="000000"/>
                <w:sz w:val="18"/>
                <w:szCs w:val="18"/>
              </w:rPr>
            </w:pPr>
          </w:p>
        </w:tc>
        <w:tc>
          <w:tcPr>
            <w:tcW w:w="1843" w:type="dxa"/>
            <w:tcBorders>
              <w:left w:val="nil"/>
              <w:bottom w:val="single" w:sz="4" w:space="0" w:color="auto"/>
            </w:tcBorders>
            <w:shd w:val="clear" w:color="auto" w:fill="auto"/>
            <w:vAlign w:val="center"/>
          </w:tcPr>
          <w:p w14:paraId="30ACB7C6"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-3.8% (-5.4, -2.1)*</w:t>
            </w:r>
          </w:p>
        </w:tc>
        <w:tc>
          <w:tcPr>
            <w:tcW w:w="284" w:type="dxa"/>
            <w:tcBorders>
              <w:left w:val="nil"/>
              <w:bottom w:val="single" w:sz="4" w:space="0" w:color="auto"/>
              <w:right w:val="nil"/>
            </w:tcBorders>
            <w:vAlign w:val="center"/>
          </w:tcPr>
          <w:p w14:paraId="6D12E2F2" w14:textId="77777777" w:rsidR="008B5761" w:rsidRPr="003216FE" w:rsidRDefault="008B5761" w:rsidP="0094193F">
            <w:pPr>
              <w:jc w:val="center"/>
              <w:rPr>
                <w:rFonts w:ascii="Calibri" w:hAnsi="Calibri" w:cs="Calibri"/>
                <w:color w:val="000000"/>
                <w:sz w:val="18"/>
                <w:szCs w:val="18"/>
              </w:rPr>
            </w:pPr>
          </w:p>
        </w:tc>
        <w:tc>
          <w:tcPr>
            <w:tcW w:w="1796" w:type="dxa"/>
            <w:tcBorders>
              <w:left w:val="nil"/>
              <w:bottom w:val="single" w:sz="4" w:space="0" w:color="auto"/>
              <w:right w:val="nil"/>
            </w:tcBorders>
            <w:shd w:val="clear" w:color="auto" w:fill="auto"/>
            <w:vAlign w:val="center"/>
          </w:tcPr>
          <w:p w14:paraId="08994AB7"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0.5% (-2.3, 3.4)</w:t>
            </w:r>
          </w:p>
        </w:tc>
      </w:tr>
      <w:tr w:rsidR="008B5761" w:rsidRPr="009A35BA" w14:paraId="5DBAB6EB"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0DE076C0"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bottom w:val="single" w:sz="12" w:space="0" w:color="auto"/>
              <w:right w:val="single" w:sz="4" w:space="0" w:color="auto"/>
            </w:tcBorders>
            <w:vAlign w:val="center"/>
          </w:tcPr>
          <w:p w14:paraId="77385DD1"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bottom w:val="single" w:sz="12" w:space="0" w:color="auto"/>
              <w:right w:val="nil"/>
            </w:tcBorders>
            <w:shd w:val="clear" w:color="auto" w:fill="D0CECE" w:themeFill="background2" w:themeFillShade="E6"/>
            <w:vAlign w:val="center"/>
          </w:tcPr>
          <w:p w14:paraId="4874125C"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2126" w:type="dxa"/>
            <w:tcBorders>
              <w:left w:val="nil"/>
              <w:bottom w:val="single" w:sz="12" w:space="0" w:color="auto"/>
            </w:tcBorders>
            <w:shd w:val="clear" w:color="auto" w:fill="D0CECE" w:themeFill="background2" w:themeFillShade="E6"/>
            <w:vAlign w:val="center"/>
          </w:tcPr>
          <w:p w14:paraId="27F141F1"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17.4% (2.3, 34.8)</w:t>
            </w:r>
          </w:p>
          <w:p w14:paraId="6D7B9151"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0.0228</w:t>
            </w:r>
          </w:p>
        </w:tc>
        <w:tc>
          <w:tcPr>
            <w:tcW w:w="283" w:type="dxa"/>
            <w:tcBorders>
              <w:left w:val="nil"/>
              <w:bottom w:val="single" w:sz="12" w:space="0" w:color="auto"/>
              <w:right w:val="nil"/>
            </w:tcBorders>
            <w:shd w:val="clear" w:color="auto" w:fill="D0CECE" w:themeFill="background2" w:themeFillShade="E6"/>
            <w:vAlign w:val="center"/>
          </w:tcPr>
          <w:p w14:paraId="3882B74E"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D"/>
            </w:r>
          </w:p>
        </w:tc>
        <w:tc>
          <w:tcPr>
            <w:tcW w:w="1843" w:type="dxa"/>
            <w:tcBorders>
              <w:left w:val="nil"/>
              <w:bottom w:val="single" w:sz="12" w:space="0" w:color="auto"/>
            </w:tcBorders>
            <w:shd w:val="clear" w:color="auto" w:fill="D0CECE" w:themeFill="background2" w:themeFillShade="E6"/>
            <w:vAlign w:val="center"/>
          </w:tcPr>
          <w:p w14:paraId="09BEEDF3"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8.4% (0.4, 17.0)*</w:t>
            </w:r>
          </w:p>
          <w:p w14:paraId="7CBB491B"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p</w:t>
            </w:r>
            <w:r w:rsidRPr="0094193F">
              <w:rPr>
                <w:rFonts w:ascii="Calibri" w:eastAsia="Times New Roman" w:hAnsi="Calibri" w:cs="Calibri"/>
                <w:color w:val="000000"/>
                <w:sz w:val="18"/>
                <w:szCs w:val="18"/>
                <w:lang w:eastAsia="en-GB"/>
              </w:rPr>
              <w:t>-value = 0.0382</w:t>
            </w:r>
          </w:p>
        </w:tc>
        <w:tc>
          <w:tcPr>
            <w:tcW w:w="284" w:type="dxa"/>
            <w:tcBorders>
              <w:left w:val="nil"/>
              <w:bottom w:val="single" w:sz="12" w:space="0" w:color="auto"/>
              <w:right w:val="nil"/>
            </w:tcBorders>
            <w:shd w:val="clear" w:color="auto" w:fill="D0CECE" w:themeFill="background2" w:themeFillShade="E6"/>
            <w:vAlign w:val="center"/>
          </w:tcPr>
          <w:p w14:paraId="37F09C1A" w14:textId="77777777" w:rsidR="008B5761" w:rsidRPr="003216FE" w:rsidRDefault="008B5761" w:rsidP="0094193F">
            <w:pPr>
              <w:jc w:val="center"/>
              <w:rPr>
                <w:rFonts w:ascii="Calibri" w:hAnsi="Calibri" w:cs="Calibri"/>
                <w:color w:val="000000"/>
                <w:sz w:val="18"/>
                <w:szCs w:val="18"/>
              </w:rPr>
            </w:pPr>
          </w:p>
        </w:tc>
        <w:tc>
          <w:tcPr>
            <w:tcW w:w="1796" w:type="dxa"/>
            <w:tcBorders>
              <w:left w:val="nil"/>
              <w:bottom w:val="single" w:sz="12" w:space="0" w:color="auto"/>
              <w:right w:val="nil"/>
            </w:tcBorders>
            <w:shd w:val="clear" w:color="auto" w:fill="D0CECE" w:themeFill="background2" w:themeFillShade="E6"/>
            <w:vAlign w:val="center"/>
          </w:tcPr>
          <w:p w14:paraId="24A15EB3"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10.2% (-3.6, 25.9)</w:t>
            </w:r>
          </w:p>
        </w:tc>
      </w:tr>
      <w:tr w:rsidR="008B5761" w:rsidRPr="009A35BA" w14:paraId="44542DBF" w14:textId="77777777" w:rsidTr="0094193F">
        <w:trPr>
          <w:trHeight w:val="49"/>
        </w:trPr>
        <w:tc>
          <w:tcPr>
            <w:tcW w:w="1419" w:type="dxa"/>
            <w:vMerge w:val="restart"/>
            <w:tcBorders>
              <w:top w:val="single" w:sz="12" w:space="0" w:color="auto"/>
              <w:left w:val="nil"/>
              <w:bottom w:val="single" w:sz="12" w:space="0" w:color="auto"/>
            </w:tcBorders>
            <w:shd w:val="clear" w:color="auto" w:fill="auto"/>
            <w:noWrap/>
            <w:tcMar>
              <w:top w:w="15" w:type="dxa"/>
              <w:left w:w="15" w:type="dxa"/>
              <w:bottom w:w="0" w:type="dxa"/>
              <w:right w:w="15" w:type="dxa"/>
            </w:tcMar>
            <w:vAlign w:val="center"/>
          </w:tcPr>
          <w:p w14:paraId="5F08308F" w14:textId="77777777" w:rsidR="008B5761" w:rsidRPr="003216FE" w:rsidRDefault="008B5761" w:rsidP="00FA153D">
            <w:pPr>
              <w:jc w:val="center"/>
              <w:rPr>
                <w:rFonts w:ascii="Calibri" w:eastAsia="Times New Roman" w:hAnsi="Calibri" w:cs="Calibri"/>
                <w:i/>
                <w:iCs/>
                <w:color w:val="000000"/>
                <w:sz w:val="18"/>
                <w:szCs w:val="18"/>
                <w:lang w:eastAsia="en-GB"/>
              </w:rPr>
            </w:pPr>
            <w:r w:rsidRPr="003216FE">
              <w:rPr>
                <w:rFonts w:ascii="Calibri" w:eastAsia="Times New Roman" w:hAnsi="Calibri" w:cs="Calibri"/>
                <w:i/>
                <w:iCs/>
                <w:color w:val="000000"/>
                <w:sz w:val="18"/>
                <w:szCs w:val="18"/>
                <w:lang w:eastAsia="en-GB"/>
              </w:rPr>
              <w:t>Acinetobacter sp.</w:t>
            </w:r>
          </w:p>
        </w:tc>
        <w:tc>
          <w:tcPr>
            <w:tcW w:w="1017" w:type="dxa"/>
            <w:vMerge w:val="restart"/>
            <w:tcBorders>
              <w:top w:val="single" w:sz="12" w:space="0" w:color="auto"/>
              <w:left w:val="nil"/>
              <w:right w:val="single" w:sz="4" w:space="0" w:color="auto"/>
            </w:tcBorders>
            <w:vAlign w:val="center"/>
          </w:tcPr>
          <w:p w14:paraId="583BB9F6"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Overall</w:t>
            </w:r>
          </w:p>
        </w:tc>
        <w:tc>
          <w:tcPr>
            <w:tcW w:w="258" w:type="dxa"/>
            <w:tcBorders>
              <w:top w:val="single" w:sz="12" w:space="0" w:color="auto"/>
              <w:left w:val="single" w:sz="4" w:space="0" w:color="auto"/>
              <w:right w:val="nil"/>
            </w:tcBorders>
            <w:vAlign w:val="center"/>
          </w:tcPr>
          <w:p w14:paraId="0659EE4F" w14:textId="77777777" w:rsidR="008B5761" w:rsidRPr="003216FE" w:rsidRDefault="008B5761" w:rsidP="0094193F">
            <w:pPr>
              <w:jc w:val="center"/>
              <w:rPr>
                <w:rFonts w:ascii="Calibri" w:hAnsi="Calibri" w:cs="Calibri"/>
                <w:color w:val="000000"/>
                <w:sz w:val="18"/>
                <w:szCs w:val="18"/>
              </w:rPr>
            </w:pPr>
          </w:p>
        </w:tc>
        <w:tc>
          <w:tcPr>
            <w:tcW w:w="2126" w:type="dxa"/>
            <w:tcBorders>
              <w:top w:val="single" w:sz="12" w:space="0" w:color="auto"/>
              <w:left w:val="nil"/>
            </w:tcBorders>
            <w:shd w:val="clear" w:color="auto" w:fill="auto"/>
            <w:vAlign w:val="center"/>
          </w:tcPr>
          <w:p w14:paraId="4317FB4E" w14:textId="04A9909F"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-2.8% (-6.0, 0.5)</w:t>
            </w:r>
          </w:p>
        </w:tc>
        <w:tc>
          <w:tcPr>
            <w:tcW w:w="283" w:type="dxa"/>
            <w:tcBorders>
              <w:top w:val="single" w:sz="12" w:space="0" w:color="auto"/>
              <w:left w:val="nil"/>
              <w:right w:val="nil"/>
            </w:tcBorders>
            <w:vAlign w:val="center"/>
          </w:tcPr>
          <w:p w14:paraId="0A10B86E" w14:textId="77777777" w:rsidR="008B5761" w:rsidRPr="003216FE" w:rsidRDefault="008B5761" w:rsidP="0094193F">
            <w:pPr>
              <w:jc w:val="center"/>
              <w:rPr>
                <w:rFonts w:ascii="Calibri" w:hAnsi="Calibri" w:cs="Calibri"/>
                <w:color w:val="000000"/>
                <w:sz w:val="18"/>
                <w:szCs w:val="18"/>
              </w:rPr>
            </w:pPr>
          </w:p>
        </w:tc>
        <w:tc>
          <w:tcPr>
            <w:tcW w:w="1843" w:type="dxa"/>
            <w:tcBorders>
              <w:top w:val="single" w:sz="12" w:space="0" w:color="auto"/>
              <w:left w:val="nil"/>
            </w:tcBorders>
            <w:shd w:val="clear" w:color="auto" w:fill="auto"/>
            <w:vAlign w:val="center"/>
          </w:tcPr>
          <w:p w14:paraId="3E800650"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-2.6% (-5.2, 0.0)</w:t>
            </w:r>
          </w:p>
        </w:tc>
        <w:tc>
          <w:tcPr>
            <w:tcW w:w="284" w:type="dxa"/>
            <w:tcBorders>
              <w:top w:val="single" w:sz="12" w:space="0" w:color="auto"/>
              <w:left w:val="nil"/>
              <w:right w:val="nil"/>
            </w:tcBorders>
            <w:vAlign w:val="center"/>
          </w:tcPr>
          <w:p w14:paraId="507F074C" w14:textId="77777777" w:rsidR="008B5761" w:rsidRPr="003216FE" w:rsidRDefault="008B5761" w:rsidP="0094193F">
            <w:pPr>
              <w:jc w:val="center"/>
              <w:rPr>
                <w:rFonts w:ascii="Calibri" w:hAnsi="Calibri" w:cs="Calibri"/>
                <w:color w:val="000000"/>
                <w:sz w:val="18"/>
                <w:szCs w:val="18"/>
              </w:rPr>
            </w:pPr>
          </w:p>
        </w:tc>
        <w:tc>
          <w:tcPr>
            <w:tcW w:w="1796" w:type="dxa"/>
            <w:tcBorders>
              <w:top w:val="single" w:sz="12" w:space="0" w:color="auto"/>
              <w:left w:val="nil"/>
              <w:right w:val="nil"/>
            </w:tcBorders>
            <w:shd w:val="clear" w:color="auto" w:fill="auto"/>
            <w:vAlign w:val="center"/>
          </w:tcPr>
          <w:p w14:paraId="3447DF74" w14:textId="781DE8B2"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-3.7% (-8.6,  1.5)</w:t>
            </w:r>
          </w:p>
        </w:tc>
      </w:tr>
      <w:tr w:rsidR="008B5761" w:rsidRPr="009A35BA" w14:paraId="70B06AF3"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6C6BD299"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right w:val="single" w:sz="4" w:space="0" w:color="auto"/>
            </w:tcBorders>
            <w:vAlign w:val="center"/>
          </w:tcPr>
          <w:p w14:paraId="7F7B2C18"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right w:val="nil"/>
            </w:tcBorders>
            <w:shd w:val="clear" w:color="auto" w:fill="D0CECE" w:themeFill="background2" w:themeFillShade="E6"/>
            <w:vAlign w:val="center"/>
          </w:tcPr>
          <w:p w14:paraId="33577FF1"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D0CECE" w:themeFill="background2" w:themeFillShade="E6"/>
            <w:vAlign w:val="center"/>
          </w:tcPr>
          <w:p w14:paraId="3ED417B1" w14:textId="2E74DE33"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16.2% (-12.8, 54.9)</w:t>
            </w:r>
          </w:p>
        </w:tc>
        <w:tc>
          <w:tcPr>
            <w:tcW w:w="283" w:type="dxa"/>
            <w:tcBorders>
              <w:left w:val="nil"/>
              <w:right w:val="nil"/>
            </w:tcBorders>
            <w:shd w:val="clear" w:color="auto" w:fill="D0CECE" w:themeFill="background2" w:themeFillShade="E6"/>
            <w:vAlign w:val="center"/>
          </w:tcPr>
          <w:p w14:paraId="699DC4A7"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D0CECE" w:themeFill="background2" w:themeFillShade="E6"/>
            <w:vAlign w:val="center"/>
          </w:tcPr>
          <w:p w14:paraId="648E3553" w14:textId="547D038C"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8.4% (-4.0, 22.5)</w:t>
            </w:r>
          </w:p>
        </w:tc>
        <w:tc>
          <w:tcPr>
            <w:tcW w:w="284" w:type="dxa"/>
            <w:tcBorders>
              <w:left w:val="nil"/>
              <w:right w:val="nil"/>
            </w:tcBorders>
            <w:shd w:val="clear" w:color="auto" w:fill="D0CECE" w:themeFill="background2" w:themeFillShade="E6"/>
            <w:vAlign w:val="center"/>
          </w:tcPr>
          <w:p w14:paraId="3EA09841"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D0CECE" w:themeFill="background2" w:themeFillShade="E6"/>
            <w:vAlign w:val="center"/>
          </w:tcPr>
          <w:p w14:paraId="31FDCD0E" w14:textId="5AFDF4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18.5% (-16.2, 67.7)</w:t>
            </w:r>
          </w:p>
        </w:tc>
      </w:tr>
      <w:tr w:rsidR="008B5761" w:rsidRPr="009A35BA" w14:paraId="472D0A37"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3B03D674"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val="restart"/>
            <w:tcBorders>
              <w:left w:val="nil"/>
              <w:right w:val="single" w:sz="4" w:space="0" w:color="auto"/>
            </w:tcBorders>
            <w:vAlign w:val="center"/>
          </w:tcPr>
          <w:p w14:paraId="1D46E274"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Community-onset</w:t>
            </w:r>
          </w:p>
        </w:tc>
        <w:tc>
          <w:tcPr>
            <w:tcW w:w="258" w:type="dxa"/>
            <w:tcBorders>
              <w:left w:val="single" w:sz="4" w:space="0" w:color="auto"/>
              <w:right w:val="nil"/>
            </w:tcBorders>
            <w:vAlign w:val="center"/>
          </w:tcPr>
          <w:p w14:paraId="436A4C77"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auto"/>
            <w:vAlign w:val="center"/>
          </w:tcPr>
          <w:p w14:paraId="60044047" w14:textId="5B985491"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-0.3% (-4.4, 3.9)</w:t>
            </w:r>
          </w:p>
        </w:tc>
        <w:tc>
          <w:tcPr>
            <w:tcW w:w="283" w:type="dxa"/>
            <w:tcBorders>
              <w:left w:val="nil"/>
              <w:right w:val="nil"/>
            </w:tcBorders>
            <w:shd w:val="clear" w:color="auto" w:fill="auto"/>
            <w:vAlign w:val="center"/>
          </w:tcPr>
          <w:p w14:paraId="1E22D5D6"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vAlign w:val="center"/>
          </w:tcPr>
          <w:p w14:paraId="397237C0"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-2.2% (-5.7, 1.4)</w:t>
            </w:r>
          </w:p>
        </w:tc>
        <w:tc>
          <w:tcPr>
            <w:tcW w:w="284" w:type="dxa"/>
            <w:tcBorders>
              <w:left w:val="nil"/>
              <w:right w:val="nil"/>
            </w:tcBorders>
            <w:shd w:val="clear" w:color="auto" w:fill="auto"/>
            <w:vAlign w:val="center"/>
          </w:tcPr>
          <w:p w14:paraId="6DD1A5C0"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vAlign w:val="center"/>
          </w:tcPr>
          <w:p w14:paraId="1ED0B143"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-3.9% (-9.5,  2.1)</w:t>
            </w:r>
          </w:p>
        </w:tc>
      </w:tr>
      <w:tr w:rsidR="008B5761" w:rsidRPr="009A35BA" w14:paraId="70076DF9"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25EDC6A2"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left w:val="nil"/>
              <w:bottom w:val="single" w:sz="4" w:space="0" w:color="auto"/>
              <w:right w:val="single" w:sz="4" w:space="0" w:color="auto"/>
            </w:tcBorders>
            <w:vAlign w:val="center"/>
          </w:tcPr>
          <w:p w14:paraId="2DEA08D9"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right w:val="nil"/>
            </w:tcBorders>
            <w:shd w:val="clear" w:color="auto" w:fill="D0CECE" w:themeFill="background2" w:themeFillShade="E6"/>
            <w:vAlign w:val="center"/>
          </w:tcPr>
          <w:p w14:paraId="06623810" w14:textId="77777777" w:rsidR="008B5761" w:rsidRPr="003216FE" w:rsidRDefault="008B5761" w:rsidP="0094193F">
            <w:pPr>
              <w:jc w:val="center"/>
              <w:rPr>
                <w:rFonts w:ascii="Calibri" w:hAnsi="Calibri" w:cs="Calibri"/>
                <w:color w:val="000000"/>
                <w:sz w:val="18"/>
                <w:szCs w:val="18"/>
              </w:rPr>
            </w:pPr>
          </w:p>
        </w:tc>
        <w:tc>
          <w:tcPr>
            <w:tcW w:w="2126" w:type="dxa"/>
            <w:tcBorders>
              <w:left w:val="nil"/>
            </w:tcBorders>
            <w:shd w:val="clear" w:color="auto" w:fill="D0CECE" w:themeFill="background2" w:themeFillShade="E6"/>
            <w:vAlign w:val="center"/>
          </w:tcPr>
          <w:p w14:paraId="010D7F61" w14:textId="7DF1289F"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18.0% (-10.7, 55.9)</w:t>
            </w:r>
          </w:p>
        </w:tc>
        <w:tc>
          <w:tcPr>
            <w:tcW w:w="283" w:type="dxa"/>
            <w:tcBorders>
              <w:left w:val="nil"/>
              <w:right w:val="nil"/>
            </w:tcBorders>
            <w:shd w:val="clear" w:color="auto" w:fill="D0CECE" w:themeFill="background2" w:themeFillShade="E6"/>
            <w:vAlign w:val="center"/>
          </w:tcPr>
          <w:p w14:paraId="7DDC5D3D" w14:textId="77777777" w:rsidR="008B5761" w:rsidRPr="003216FE" w:rsidRDefault="008B5761" w:rsidP="0094193F">
            <w:pPr>
              <w:jc w:val="center"/>
              <w:rPr>
                <w:rFonts w:ascii="Calibri" w:hAnsi="Calibri" w:cs="Calibri"/>
                <w:color w:val="000000"/>
                <w:sz w:val="18"/>
                <w:szCs w:val="18"/>
              </w:rPr>
            </w:pPr>
          </w:p>
        </w:tc>
        <w:tc>
          <w:tcPr>
            <w:tcW w:w="1843" w:type="dxa"/>
            <w:tcBorders>
              <w:left w:val="nil"/>
            </w:tcBorders>
            <w:shd w:val="clear" w:color="auto" w:fill="D0CECE" w:themeFill="background2" w:themeFillShade="E6"/>
            <w:vAlign w:val="center"/>
          </w:tcPr>
          <w:p w14:paraId="09F1E56D" w14:textId="27B055D2"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5.0% (-10.0, 22.5)</w:t>
            </w:r>
          </w:p>
        </w:tc>
        <w:tc>
          <w:tcPr>
            <w:tcW w:w="284" w:type="dxa"/>
            <w:tcBorders>
              <w:left w:val="nil"/>
              <w:right w:val="nil"/>
            </w:tcBorders>
            <w:shd w:val="clear" w:color="auto" w:fill="D0CECE" w:themeFill="background2" w:themeFillShade="E6"/>
            <w:vAlign w:val="center"/>
          </w:tcPr>
          <w:p w14:paraId="1FFB33C8" w14:textId="77777777" w:rsidR="008B5761" w:rsidRPr="003216FE" w:rsidRDefault="008B5761" w:rsidP="0094193F">
            <w:pPr>
              <w:jc w:val="center"/>
              <w:rPr>
                <w:rFonts w:ascii="Calibri" w:hAnsi="Calibri" w:cs="Calibri"/>
                <w:color w:val="000000"/>
                <w:sz w:val="18"/>
                <w:szCs w:val="18"/>
              </w:rPr>
            </w:pPr>
          </w:p>
        </w:tc>
        <w:tc>
          <w:tcPr>
            <w:tcW w:w="1796" w:type="dxa"/>
            <w:tcBorders>
              <w:left w:val="nil"/>
              <w:right w:val="nil"/>
            </w:tcBorders>
            <w:shd w:val="clear" w:color="auto" w:fill="D0CECE" w:themeFill="background2" w:themeFillShade="E6"/>
            <w:vAlign w:val="center"/>
          </w:tcPr>
          <w:p w14:paraId="02FE4771"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32.6% (-6.9, 88.7)</w:t>
            </w:r>
          </w:p>
        </w:tc>
      </w:tr>
      <w:tr w:rsidR="008B5761" w:rsidRPr="009A35BA" w14:paraId="1259A612"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6812E4F0"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val="restart"/>
            <w:tcBorders>
              <w:left w:val="nil"/>
              <w:bottom w:val="single" w:sz="12" w:space="0" w:color="auto"/>
              <w:right w:val="single" w:sz="4" w:space="0" w:color="auto"/>
            </w:tcBorders>
            <w:vAlign w:val="center"/>
          </w:tcPr>
          <w:p w14:paraId="37E5C94B" w14:textId="77777777" w:rsidR="008B5761" w:rsidRPr="003216FE" w:rsidRDefault="008B5761" w:rsidP="00FA153D">
            <w:pPr>
              <w:jc w:val="center"/>
              <w:rPr>
                <w:rFonts w:ascii="Calibri" w:eastAsia="Times New Roman" w:hAnsi="Calibri" w:cs="Calibri"/>
                <w:color w:val="000000"/>
                <w:sz w:val="18"/>
                <w:szCs w:val="18"/>
                <w:lang w:eastAsia="en-GB"/>
              </w:rPr>
            </w:pPr>
            <w:r w:rsidRPr="003216FE">
              <w:rPr>
                <w:rFonts w:ascii="Calibri" w:eastAsia="Times New Roman" w:hAnsi="Calibri" w:cs="Calibri"/>
                <w:color w:val="000000"/>
                <w:sz w:val="18"/>
                <w:szCs w:val="18"/>
                <w:lang w:eastAsia="en-GB"/>
              </w:rPr>
              <w:t>Hospital-associated</w:t>
            </w:r>
          </w:p>
        </w:tc>
        <w:tc>
          <w:tcPr>
            <w:tcW w:w="258" w:type="dxa"/>
            <w:tcBorders>
              <w:left w:val="single" w:sz="4" w:space="0" w:color="auto"/>
              <w:bottom w:val="single" w:sz="4" w:space="0" w:color="auto"/>
              <w:right w:val="nil"/>
            </w:tcBorders>
            <w:vAlign w:val="center"/>
          </w:tcPr>
          <w:p w14:paraId="056810A0"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b/>
                <w:bCs/>
                <w:color w:val="000000"/>
                <w:sz w:val="18"/>
                <w:szCs w:val="18"/>
              </w:rPr>
              <w:sym w:font="Symbol" w:char="F0AF"/>
            </w:r>
          </w:p>
        </w:tc>
        <w:tc>
          <w:tcPr>
            <w:tcW w:w="2126" w:type="dxa"/>
            <w:tcBorders>
              <w:left w:val="nil"/>
              <w:bottom w:val="single" w:sz="4" w:space="0" w:color="auto"/>
            </w:tcBorders>
            <w:shd w:val="clear" w:color="auto" w:fill="auto"/>
            <w:vAlign w:val="center"/>
          </w:tcPr>
          <w:p w14:paraId="04527D74" w14:textId="32D92F15"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-5.1% (-8.9, -1.2)</w:t>
            </w:r>
          </w:p>
          <w:p w14:paraId="6BA38EE0" w14:textId="77777777" w:rsidR="008B5761" w:rsidRPr="003216FE" w:rsidRDefault="008B5761" w:rsidP="0094193F">
            <w:pPr>
              <w:jc w:val="center"/>
              <w:rPr>
                <w:rFonts w:ascii="Calibri" w:eastAsia="Times New Roman" w:hAnsi="Calibri" w:cs="Calibri"/>
                <w:color w:val="000000"/>
                <w:sz w:val="18"/>
                <w:szCs w:val="18"/>
                <w:lang w:eastAsia="en-GB"/>
              </w:rPr>
            </w:pPr>
            <w:r w:rsidRPr="0094193F">
              <w:rPr>
                <w:rFonts w:ascii="Calibri" w:eastAsia="Times New Roman" w:hAnsi="Calibri" w:cs="Calibri"/>
                <w:color w:val="000000"/>
                <w:sz w:val="18"/>
                <w:szCs w:val="18"/>
                <w:lang w:eastAsia="en-GB"/>
              </w:rPr>
              <w:t>p-value = 0.0176</w:t>
            </w:r>
          </w:p>
        </w:tc>
        <w:tc>
          <w:tcPr>
            <w:tcW w:w="283" w:type="dxa"/>
            <w:tcBorders>
              <w:left w:val="nil"/>
              <w:bottom w:val="single" w:sz="4" w:space="0" w:color="auto"/>
              <w:right w:val="nil"/>
            </w:tcBorders>
            <w:vAlign w:val="center"/>
          </w:tcPr>
          <w:p w14:paraId="7CAD0901" w14:textId="77777777" w:rsidR="008B5761" w:rsidRPr="003216FE" w:rsidRDefault="008B5761" w:rsidP="0094193F">
            <w:pPr>
              <w:jc w:val="center"/>
              <w:rPr>
                <w:rFonts w:ascii="Calibri" w:hAnsi="Calibri" w:cs="Calibri"/>
                <w:color w:val="000000"/>
                <w:sz w:val="18"/>
                <w:szCs w:val="18"/>
              </w:rPr>
            </w:pPr>
          </w:p>
        </w:tc>
        <w:tc>
          <w:tcPr>
            <w:tcW w:w="1843" w:type="dxa"/>
            <w:tcBorders>
              <w:left w:val="nil"/>
              <w:bottom w:val="single" w:sz="4" w:space="0" w:color="auto"/>
            </w:tcBorders>
            <w:shd w:val="clear" w:color="auto" w:fill="auto"/>
            <w:vAlign w:val="center"/>
          </w:tcPr>
          <w:p w14:paraId="153F5F48"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-3.0% (-6.1, 0.2)</w:t>
            </w:r>
          </w:p>
        </w:tc>
        <w:tc>
          <w:tcPr>
            <w:tcW w:w="284" w:type="dxa"/>
            <w:tcBorders>
              <w:left w:val="nil"/>
              <w:bottom w:val="single" w:sz="4" w:space="0" w:color="auto"/>
              <w:right w:val="nil"/>
            </w:tcBorders>
            <w:vAlign w:val="center"/>
          </w:tcPr>
          <w:p w14:paraId="3B3700A2" w14:textId="77777777" w:rsidR="008B5761" w:rsidRPr="003216FE" w:rsidRDefault="008B5761" w:rsidP="0094193F">
            <w:pPr>
              <w:jc w:val="center"/>
              <w:rPr>
                <w:rFonts w:ascii="Calibri" w:hAnsi="Calibri" w:cs="Calibri"/>
                <w:color w:val="000000"/>
                <w:sz w:val="18"/>
                <w:szCs w:val="18"/>
              </w:rPr>
            </w:pPr>
          </w:p>
        </w:tc>
        <w:tc>
          <w:tcPr>
            <w:tcW w:w="1796" w:type="dxa"/>
            <w:tcBorders>
              <w:left w:val="nil"/>
              <w:bottom w:val="single" w:sz="4" w:space="0" w:color="auto"/>
              <w:right w:val="nil"/>
            </w:tcBorders>
            <w:shd w:val="clear" w:color="auto" w:fill="auto"/>
            <w:vAlign w:val="center"/>
          </w:tcPr>
          <w:p w14:paraId="48201886" w14:textId="77777777"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-3.5% (-8.6,  1.9)</w:t>
            </w:r>
          </w:p>
        </w:tc>
      </w:tr>
      <w:tr w:rsidR="008B5761" w:rsidRPr="009A35BA" w14:paraId="1E5A3AA8" w14:textId="77777777" w:rsidTr="0094193F">
        <w:trPr>
          <w:trHeight w:val="49"/>
        </w:trPr>
        <w:tc>
          <w:tcPr>
            <w:tcW w:w="1419" w:type="dxa"/>
            <w:vMerge/>
            <w:tcBorders>
              <w:left w:val="nil"/>
              <w:bottom w:val="single" w:sz="12" w:space="0" w:color="auto"/>
            </w:tcBorders>
            <w:shd w:val="clear" w:color="auto" w:fill="auto"/>
            <w:noWrap/>
            <w:tcMar>
              <w:top w:w="15" w:type="dxa"/>
              <w:left w:w="15" w:type="dxa"/>
              <w:bottom w:w="0" w:type="dxa"/>
              <w:right w:w="15" w:type="dxa"/>
            </w:tcMar>
            <w:vAlign w:val="center"/>
          </w:tcPr>
          <w:p w14:paraId="1444CEC4"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1017" w:type="dxa"/>
            <w:vMerge/>
            <w:tcBorders>
              <w:top w:val="single" w:sz="12" w:space="0" w:color="auto"/>
              <w:left w:val="nil"/>
              <w:bottom w:val="single" w:sz="12" w:space="0" w:color="auto"/>
              <w:right w:val="single" w:sz="4" w:space="0" w:color="auto"/>
            </w:tcBorders>
            <w:vAlign w:val="center"/>
          </w:tcPr>
          <w:p w14:paraId="2EBD00F5" w14:textId="77777777" w:rsidR="008B5761" w:rsidRPr="003216FE" w:rsidRDefault="008B5761" w:rsidP="00FA153D">
            <w:pPr>
              <w:jc w:val="center"/>
              <w:rPr>
                <w:rFonts w:ascii="Calibri" w:eastAsia="Times New Roman" w:hAnsi="Calibri" w:cs="Calibri"/>
                <w:color w:val="000000"/>
                <w:sz w:val="18"/>
                <w:szCs w:val="18"/>
                <w:lang w:eastAsia="en-GB"/>
              </w:rPr>
            </w:pPr>
          </w:p>
        </w:tc>
        <w:tc>
          <w:tcPr>
            <w:tcW w:w="258" w:type="dxa"/>
            <w:tcBorders>
              <w:left w:val="single" w:sz="4" w:space="0" w:color="auto"/>
              <w:bottom w:val="single" w:sz="12" w:space="0" w:color="auto"/>
              <w:right w:val="nil"/>
            </w:tcBorders>
            <w:shd w:val="clear" w:color="auto" w:fill="D0CECE" w:themeFill="background2" w:themeFillShade="E6"/>
            <w:vAlign w:val="center"/>
          </w:tcPr>
          <w:p w14:paraId="23DA82FC" w14:textId="77777777" w:rsidR="008B5761" w:rsidRPr="003216FE" w:rsidRDefault="008B5761" w:rsidP="0094193F">
            <w:pPr>
              <w:jc w:val="center"/>
              <w:rPr>
                <w:rFonts w:ascii="Calibri" w:hAnsi="Calibri" w:cs="Calibri"/>
                <w:color w:val="000000"/>
                <w:sz w:val="18"/>
                <w:szCs w:val="18"/>
              </w:rPr>
            </w:pPr>
          </w:p>
        </w:tc>
        <w:tc>
          <w:tcPr>
            <w:tcW w:w="2126" w:type="dxa"/>
            <w:tcBorders>
              <w:left w:val="nil"/>
              <w:bottom w:val="single" w:sz="12" w:space="0" w:color="auto"/>
            </w:tcBorders>
            <w:shd w:val="clear" w:color="auto" w:fill="D0CECE" w:themeFill="background2" w:themeFillShade="E6"/>
            <w:vAlign w:val="center"/>
          </w:tcPr>
          <w:p w14:paraId="10DFB812" w14:textId="50F011A5"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14.5% (-25.9, 77.1)</w:t>
            </w:r>
          </w:p>
        </w:tc>
        <w:tc>
          <w:tcPr>
            <w:tcW w:w="283" w:type="dxa"/>
            <w:tcBorders>
              <w:left w:val="nil"/>
              <w:bottom w:val="single" w:sz="12" w:space="0" w:color="auto"/>
              <w:right w:val="nil"/>
            </w:tcBorders>
            <w:shd w:val="clear" w:color="auto" w:fill="D0CECE" w:themeFill="background2" w:themeFillShade="E6"/>
            <w:vAlign w:val="center"/>
          </w:tcPr>
          <w:p w14:paraId="71A538B1" w14:textId="77777777" w:rsidR="008B5761" w:rsidRPr="003216FE" w:rsidRDefault="008B5761" w:rsidP="0094193F">
            <w:pPr>
              <w:jc w:val="center"/>
              <w:rPr>
                <w:rFonts w:ascii="Calibri" w:hAnsi="Calibri" w:cs="Calibri"/>
                <w:color w:val="000000"/>
                <w:sz w:val="18"/>
                <w:szCs w:val="18"/>
              </w:rPr>
            </w:pPr>
          </w:p>
        </w:tc>
        <w:tc>
          <w:tcPr>
            <w:tcW w:w="1843" w:type="dxa"/>
            <w:tcBorders>
              <w:left w:val="nil"/>
              <w:bottom w:val="single" w:sz="12" w:space="0" w:color="auto"/>
            </w:tcBorders>
            <w:shd w:val="clear" w:color="auto" w:fill="D0CECE" w:themeFill="background2" w:themeFillShade="E6"/>
            <w:vAlign w:val="center"/>
          </w:tcPr>
          <w:p w14:paraId="6A7CDA4E" w14:textId="77777777" w:rsidR="008B5761" w:rsidRPr="003216FE" w:rsidRDefault="008B5761" w:rsidP="0094193F">
            <w:pPr>
              <w:jc w:val="center"/>
              <w:rPr>
                <w:rFonts w:ascii="Calibri" w:eastAsia="Times New Roman" w:hAnsi="Calibri" w:cs="Calibri"/>
                <w:color w:val="000000"/>
                <w:sz w:val="18"/>
                <w:szCs w:val="18"/>
                <w:lang w:eastAsia="en-GB"/>
              </w:rPr>
            </w:pPr>
            <w:r w:rsidRPr="003216FE">
              <w:rPr>
                <w:rFonts w:ascii="Calibri" w:hAnsi="Calibri" w:cs="Calibri"/>
                <w:color w:val="000000"/>
                <w:sz w:val="18"/>
                <w:szCs w:val="18"/>
              </w:rPr>
              <w:t>12.0% (-4.2, 30.9)</w:t>
            </w:r>
          </w:p>
        </w:tc>
        <w:tc>
          <w:tcPr>
            <w:tcW w:w="284" w:type="dxa"/>
            <w:tcBorders>
              <w:left w:val="nil"/>
              <w:bottom w:val="single" w:sz="12" w:space="0" w:color="auto"/>
              <w:right w:val="nil"/>
            </w:tcBorders>
            <w:shd w:val="clear" w:color="auto" w:fill="D0CECE" w:themeFill="background2" w:themeFillShade="E6"/>
            <w:vAlign w:val="center"/>
          </w:tcPr>
          <w:p w14:paraId="52CFD3DA" w14:textId="77777777" w:rsidR="008B5761" w:rsidRPr="003216FE" w:rsidRDefault="008B5761" w:rsidP="0094193F">
            <w:pPr>
              <w:jc w:val="center"/>
              <w:rPr>
                <w:rFonts w:ascii="Calibri" w:hAnsi="Calibri" w:cs="Calibri"/>
                <w:color w:val="000000"/>
                <w:sz w:val="18"/>
                <w:szCs w:val="18"/>
              </w:rPr>
            </w:pPr>
          </w:p>
        </w:tc>
        <w:tc>
          <w:tcPr>
            <w:tcW w:w="1796" w:type="dxa"/>
            <w:tcBorders>
              <w:left w:val="nil"/>
              <w:bottom w:val="single" w:sz="12" w:space="0" w:color="auto"/>
              <w:right w:val="nil"/>
            </w:tcBorders>
            <w:shd w:val="clear" w:color="auto" w:fill="D0CECE" w:themeFill="background2" w:themeFillShade="E6"/>
            <w:vAlign w:val="center"/>
          </w:tcPr>
          <w:p w14:paraId="09FF3328" w14:textId="24E1B8B1" w:rsidR="008B5761" w:rsidRPr="003216FE" w:rsidRDefault="008B5761" w:rsidP="0094193F">
            <w:pPr>
              <w:jc w:val="center"/>
              <w:rPr>
                <w:rFonts w:ascii="Calibri" w:hAnsi="Calibri" w:cs="Calibri"/>
                <w:color w:val="000000"/>
                <w:sz w:val="18"/>
                <w:szCs w:val="18"/>
              </w:rPr>
            </w:pPr>
            <w:r w:rsidRPr="003216FE">
              <w:rPr>
                <w:rFonts w:ascii="Calibri" w:hAnsi="Calibri" w:cs="Calibri"/>
                <w:color w:val="000000"/>
                <w:sz w:val="18"/>
                <w:szCs w:val="18"/>
              </w:rPr>
              <w:t>6.0% (-32.7, 66.9)</w:t>
            </w:r>
          </w:p>
        </w:tc>
      </w:tr>
    </w:tbl>
    <w:p w14:paraId="5610AF7A" w14:textId="0689108F" w:rsidR="007F5A97" w:rsidRPr="00CF5BAC" w:rsidRDefault="008B5761" w:rsidP="00CF5BAC">
      <w:pPr>
        <w:jc w:val="both"/>
        <w:rPr>
          <w:sz w:val="16"/>
          <w:szCs w:val="16"/>
          <w:lang w:val="en-US"/>
        </w:rPr>
      </w:pPr>
      <w:r w:rsidRPr="00173CAD">
        <w:rPr>
          <w:sz w:val="16"/>
          <w:szCs w:val="16"/>
          <w:lang w:val="en-US"/>
        </w:rPr>
        <w:t>* p-value &lt; 0.0</w:t>
      </w:r>
      <w:r>
        <w:rPr>
          <w:sz w:val="16"/>
          <w:szCs w:val="16"/>
          <w:lang w:val="en-US"/>
        </w:rPr>
        <w:t>001</w:t>
      </w:r>
      <w:r w:rsidR="007F5A97">
        <w:rPr>
          <w:b/>
          <w:bCs/>
          <w:lang w:val="en-US"/>
        </w:rPr>
        <w:br w:type="page"/>
      </w:r>
    </w:p>
    <w:p w14:paraId="51C65D05" w14:textId="275B3AB8" w:rsidR="000F0BAA" w:rsidRDefault="00D83908" w:rsidP="003A12C3">
      <w:r w:rsidRPr="00E113A2">
        <w:rPr>
          <w:b/>
          <w:bCs/>
          <w:lang w:val="en-US"/>
        </w:rPr>
        <w:lastRenderedPageBreak/>
        <w:t>S</w:t>
      </w:r>
      <w:r w:rsidR="00650F3D">
        <w:rPr>
          <w:b/>
          <w:bCs/>
          <w:lang w:val="en-US"/>
        </w:rPr>
        <w:t>5</w:t>
      </w:r>
      <w:r w:rsidRPr="00E113A2">
        <w:rPr>
          <w:b/>
          <w:bCs/>
          <w:lang w:val="en-US"/>
        </w:rPr>
        <w:t xml:space="preserve">.2 Resistance stratified by </w:t>
      </w:r>
      <w:r>
        <w:rPr>
          <w:b/>
          <w:bCs/>
          <w:lang w:val="en-US"/>
        </w:rPr>
        <w:t>location</w:t>
      </w:r>
      <w:r w:rsidRPr="00E113A2">
        <w:rPr>
          <w:b/>
          <w:bCs/>
          <w:lang w:val="en-US"/>
        </w:rPr>
        <w:t xml:space="preserve"> of infection</w:t>
      </w:r>
      <w:r>
        <w:rPr>
          <w:b/>
          <w:bCs/>
          <w:lang w:val="en-US"/>
        </w:rPr>
        <w:t xml:space="preserve"> onset</w:t>
      </w:r>
      <w:r w:rsidR="000F0BAA">
        <w:rPr>
          <w:noProof/>
        </w:rPr>
        <w:drawing>
          <wp:inline distT="0" distB="0" distL="0" distR="0" wp14:anchorId="39EA9414" wp14:editId="37082432">
            <wp:extent cx="5583504" cy="7613753"/>
            <wp:effectExtent l="0" t="0" r="5080" b="0"/>
            <wp:docPr id="111340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0362" name="Picture 1113403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4174" cy="7669212"/>
                    </a:xfrm>
                    <a:prstGeom prst="rect">
                      <a:avLst/>
                    </a:prstGeom>
                  </pic:spPr>
                </pic:pic>
              </a:graphicData>
            </a:graphic>
          </wp:inline>
        </w:drawing>
      </w:r>
    </w:p>
    <w:p w14:paraId="74BF8E8B" w14:textId="5E512B03" w:rsidR="003A12C3" w:rsidRPr="003A12C3" w:rsidRDefault="003A12C3" w:rsidP="000344B1">
      <w:pPr>
        <w:pStyle w:val="Caption"/>
        <w:rPr>
          <w:lang w:val="en-US"/>
        </w:rPr>
      </w:pPr>
      <w:r>
        <w:t>Figure S</w:t>
      </w:r>
      <w:r>
        <w:fldChar w:fldCharType="begin"/>
      </w:r>
      <w:r>
        <w:instrText xml:space="preserve"> SEQ Figure_S \* ARABIC </w:instrText>
      </w:r>
      <w:r>
        <w:fldChar w:fldCharType="separate"/>
      </w:r>
      <w:r w:rsidR="00546FF0">
        <w:rPr>
          <w:noProof/>
        </w:rPr>
        <w:t>7</w:t>
      </w:r>
      <w:r>
        <w:rPr>
          <w:noProof/>
        </w:rPr>
        <w:fldChar w:fldCharType="end"/>
      </w:r>
      <w:r>
        <w:t>.</w:t>
      </w:r>
      <w:r w:rsidRPr="00C63521">
        <w:rPr>
          <w:lang w:val="en-US"/>
        </w:rPr>
        <w:t xml:space="preserve"> Third-generation cephalosporin resistance levels</w:t>
      </w:r>
      <w:r w:rsidRPr="00E113A2">
        <w:rPr>
          <w:lang w:val="en-US"/>
        </w:rPr>
        <w:t xml:space="preserve"> for </w:t>
      </w:r>
      <w:r w:rsidRPr="00C63521">
        <w:rPr>
          <w:i/>
          <w:lang w:val="en-US"/>
        </w:rPr>
        <w:t>K. pneumoniae</w:t>
      </w:r>
      <w:r w:rsidRPr="00E113A2">
        <w:rPr>
          <w:lang w:val="en-US"/>
        </w:rPr>
        <w:t xml:space="preserve">, </w:t>
      </w:r>
      <w:r w:rsidRPr="00C63521">
        <w:rPr>
          <w:i/>
          <w:lang w:val="en-US"/>
        </w:rPr>
        <w:t>Enterobacter cloacae</w:t>
      </w:r>
      <w:r w:rsidRPr="00E113A2">
        <w:rPr>
          <w:lang w:val="en-US"/>
        </w:rPr>
        <w:t xml:space="preserve">, </w:t>
      </w:r>
      <w:r w:rsidRPr="00C63521">
        <w:rPr>
          <w:i/>
          <w:lang w:val="en-US"/>
        </w:rPr>
        <w:t>Serratia marcescens</w:t>
      </w:r>
      <w:r w:rsidRPr="00E113A2">
        <w:rPr>
          <w:lang w:val="en-US"/>
        </w:rPr>
        <w:t xml:space="preserve">, </w:t>
      </w:r>
      <w:r w:rsidRPr="00C63521">
        <w:rPr>
          <w:i/>
          <w:lang w:val="en-US"/>
        </w:rPr>
        <w:t>Pseudomonas aeruginosa</w:t>
      </w:r>
      <w:r w:rsidRPr="00E113A2">
        <w:rPr>
          <w:lang w:val="en-US"/>
        </w:rPr>
        <w:t xml:space="preserve">, and </w:t>
      </w:r>
      <w:r w:rsidRPr="00C63521">
        <w:rPr>
          <w:i/>
          <w:lang w:val="en-US"/>
        </w:rPr>
        <w:t>Acinetobacter</w:t>
      </w:r>
      <w:r w:rsidRPr="00E113A2">
        <w:rPr>
          <w:lang w:val="en-US"/>
        </w:rPr>
        <w:t xml:space="preserve"> Sp. stratified by </w:t>
      </w:r>
      <w:r>
        <w:rPr>
          <w:lang w:val="en-US"/>
        </w:rPr>
        <w:t>location of infection onset</w:t>
      </w:r>
      <w:r w:rsidRPr="003A12C3">
        <w:rPr>
          <w:bCs/>
          <w:lang w:val="en-US"/>
        </w:rPr>
        <w:t xml:space="preserve">. </w:t>
      </w:r>
      <w:r w:rsidRPr="00C82CCF">
        <w:rPr>
          <w:b w:val="0"/>
          <w:lang w:val="en-US"/>
        </w:rPr>
        <w:t xml:space="preserve">Points represent the incidence in infections with susceptible (turquoise), resistant (red), and missing (grey) susceptibility test results. Lines and grey bands are smoothing curves using the </w:t>
      </w:r>
      <w:r w:rsidRPr="00C82CCF">
        <w:rPr>
          <w:b w:val="0"/>
          <w:i/>
          <w:lang w:val="en-US"/>
        </w:rPr>
        <w:t>locally estimated scatterplot smoothing (loess)</w:t>
      </w:r>
      <w:r w:rsidRPr="00C82CCF">
        <w:rPr>
          <w:b w:val="0"/>
          <w:lang w:val="en-US"/>
        </w:rPr>
        <w:t xml:space="preserve"> method and corresponding 95% confidence intervals. Bar plots (orange) show respective resistance proportions. Dashed vertical lines denote the start of the COVID-19 pandemic era.  </w:t>
      </w:r>
    </w:p>
    <w:p w14:paraId="5501B9CF" w14:textId="226AFDB2" w:rsidR="003A12C3" w:rsidRDefault="003A12C3" w:rsidP="000344B1">
      <w:pPr>
        <w:pStyle w:val="Caption"/>
        <w:rPr>
          <w:lang w:val="en-US"/>
        </w:rPr>
      </w:pPr>
    </w:p>
    <w:p w14:paraId="6275724C" w14:textId="77777777" w:rsidR="003A12C3" w:rsidRPr="003A12C3" w:rsidRDefault="003A12C3" w:rsidP="003A12C3">
      <w:pPr>
        <w:rPr>
          <w:lang w:val="en-US"/>
        </w:rPr>
      </w:pPr>
    </w:p>
    <w:p w14:paraId="4E626435" w14:textId="2F9665CF" w:rsidR="00D83908" w:rsidRDefault="00336953" w:rsidP="00336953">
      <w:pPr>
        <w:keepNext/>
      </w:pPr>
      <w:r>
        <w:rPr>
          <w:noProof/>
        </w:rPr>
        <w:lastRenderedPageBreak/>
        <w:drawing>
          <wp:inline distT="0" distB="0" distL="0" distR="0" wp14:anchorId="37CC95CF" wp14:editId="6BE5FB68">
            <wp:extent cx="5731510" cy="7815580"/>
            <wp:effectExtent l="0" t="0" r="0" b="0"/>
            <wp:docPr id="218880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0790" name="Picture 2188807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815580"/>
                    </a:xfrm>
                    <a:prstGeom prst="rect">
                      <a:avLst/>
                    </a:prstGeom>
                  </pic:spPr>
                </pic:pic>
              </a:graphicData>
            </a:graphic>
          </wp:inline>
        </w:drawing>
      </w:r>
    </w:p>
    <w:p w14:paraId="2FAB1906" w14:textId="20CAAB45" w:rsidR="00D83908" w:rsidRDefault="00D83908" w:rsidP="000344B1">
      <w:pPr>
        <w:pStyle w:val="Caption"/>
      </w:pPr>
      <w:r>
        <w:t>Figure S</w:t>
      </w:r>
      <w:r>
        <w:fldChar w:fldCharType="begin"/>
      </w:r>
      <w:r>
        <w:instrText xml:space="preserve"> SEQ Figure_S \* ARABIC </w:instrText>
      </w:r>
      <w:r>
        <w:fldChar w:fldCharType="separate"/>
      </w:r>
      <w:r w:rsidR="00546FF0">
        <w:rPr>
          <w:noProof/>
        </w:rPr>
        <w:t>8</w:t>
      </w:r>
      <w:r>
        <w:rPr>
          <w:noProof/>
        </w:rPr>
        <w:fldChar w:fldCharType="end"/>
      </w:r>
      <w:r>
        <w:t>.</w:t>
      </w:r>
      <w:r w:rsidRPr="00760EBE">
        <w:rPr>
          <w:lang w:val="en-US"/>
        </w:rPr>
        <w:t xml:space="preserve"> </w:t>
      </w:r>
      <w:r w:rsidRPr="00C63521">
        <w:rPr>
          <w:lang w:val="en-US"/>
        </w:rPr>
        <w:t>Carbapenem resistance levels</w:t>
      </w:r>
      <w:r w:rsidRPr="00E113A2">
        <w:rPr>
          <w:lang w:val="en-US"/>
        </w:rPr>
        <w:t xml:space="preserve"> for </w:t>
      </w:r>
      <w:r w:rsidRPr="00E113A2">
        <w:rPr>
          <w:i/>
          <w:lang w:val="en-US"/>
        </w:rPr>
        <w:t xml:space="preserve">K. pneumoniae, Enterobacter cloacae, Serratia marcescens, Pseudomonas aeruginosa, </w:t>
      </w:r>
      <w:r w:rsidRPr="003A12C3">
        <w:rPr>
          <w:lang w:val="en-US"/>
        </w:rPr>
        <w:t xml:space="preserve">and </w:t>
      </w:r>
      <w:r w:rsidRPr="00E113A2">
        <w:rPr>
          <w:i/>
          <w:lang w:val="en-US"/>
        </w:rPr>
        <w:t>Acinetobacter Sp.</w:t>
      </w:r>
      <w:r w:rsidRPr="00E113A2">
        <w:rPr>
          <w:lang w:val="en-US"/>
        </w:rPr>
        <w:t xml:space="preserve"> stratified by </w:t>
      </w:r>
      <w:r>
        <w:rPr>
          <w:lang w:val="en-US"/>
        </w:rPr>
        <w:t>location of infection onset</w:t>
      </w:r>
      <w:r w:rsidRPr="00E113A2">
        <w:rPr>
          <w:lang w:val="en-US"/>
        </w:rPr>
        <w:t xml:space="preserve">. </w:t>
      </w:r>
      <w:r w:rsidRPr="00C82CCF">
        <w:rPr>
          <w:b w:val="0"/>
          <w:bCs/>
          <w:lang w:val="en-US"/>
        </w:rPr>
        <w:t>Points represent the incidence in infections with susceptible (turquoise), resistant (red), and missing (grey) susceptibility test results. Lines and grey bands are smoothing curves using the</w:t>
      </w:r>
      <w:r w:rsidR="00B45392" w:rsidRPr="00C82CCF">
        <w:rPr>
          <w:b w:val="0"/>
          <w:bCs/>
          <w:i/>
          <w:lang w:val="en-US"/>
        </w:rPr>
        <w:t xml:space="preserve"> locally estimated scatterplot smoothing (loess)</w:t>
      </w:r>
      <w:r w:rsidRPr="00C82CCF">
        <w:rPr>
          <w:b w:val="0"/>
          <w:bCs/>
          <w:lang w:val="en-US"/>
        </w:rPr>
        <w:t xml:space="preserve"> method and corresponding 95% confidence intervals. Bar plots (orange) show respective resistance proportions. Dashed vertical lines denote the start of the COVID-19 pandemic era.  </w:t>
      </w:r>
    </w:p>
    <w:p w14:paraId="51EBD7DD" w14:textId="73CB3C94" w:rsidR="00D83908" w:rsidRPr="00760EBE" w:rsidRDefault="00D83908" w:rsidP="00D83908">
      <w:pPr>
        <w:keepNext/>
        <w:jc w:val="center"/>
      </w:pPr>
      <w:r w:rsidRPr="00E113A2">
        <w:rPr>
          <w:b/>
          <w:bCs/>
          <w:lang w:val="en-US"/>
        </w:rPr>
        <w:br w:type="page"/>
      </w:r>
    </w:p>
    <w:p w14:paraId="5FC52D92" w14:textId="49207A54" w:rsidR="00D83908" w:rsidRPr="00E113A2" w:rsidRDefault="00D83908" w:rsidP="00D83908">
      <w:pPr>
        <w:pStyle w:val="Heading2"/>
        <w:rPr>
          <w:lang w:val="en-US"/>
        </w:rPr>
      </w:pPr>
      <w:bookmarkStart w:id="39" w:name="_Toc169512180"/>
      <w:r w:rsidRPr="00E113A2">
        <w:rPr>
          <w:lang w:val="en-US"/>
        </w:rPr>
        <w:lastRenderedPageBreak/>
        <w:t>S</w:t>
      </w:r>
      <w:r w:rsidR="00650F3D">
        <w:rPr>
          <w:lang w:val="en-US"/>
        </w:rPr>
        <w:t>5</w:t>
      </w:r>
      <w:r w:rsidRPr="00E113A2">
        <w:rPr>
          <w:lang w:val="en-US"/>
        </w:rPr>
        <w:t>.3 Infection incidence stratified by US census region</w:t>
      </w:r>
      <w:bookmarkEnd w:id="39"/>
    </w:p>
    <w:p w14:paraId="2A7236A5" w14:textId="77777777" w:rsidR="00D83908" w:rsidRPr="00C63521" w:rsidRDefault="00D83908" w:rsidP="00D83908">
      <w:pPr>
        <w:jc w:val="both"/>
        <w:rPr>
          <w:lang w:val="en-US"/>
        </w:rPr>
      </w:pPr>
      <w:r w:rsidRPr="00C63521">
        <w:rPr>
          <w:lang w:val="en-US"/>
        </w:rPr>
        <w:t xml:space="preserve">For most pathogens, infection incidence trends were similar across the four major US census regions (Midwest, northeast, south, west). </w:t>
      </w:r>
    </w:p>
    <w:p w14:paraId="7AA73466" w14:textId="77777777" w:rsidR="00D83908" w:rsidRPr="00C63521" w:rsidRDefault="00D83908" w:rsidP="00D83908">
      <w:pPr>
        <w:jc w:val="both"/>
        <w:rPr>
          <w:lang w:val="en-US"/>
        </w:rPr>
      </w:pPr>
    </w:p>
    <w:p w14:paraId="7B9232CC" w14:textId="77777777" w:rsidR="00D83908" w:rsidRDefault="00D83908" w:rsidP="00D83908">
      <w:pPr>
        <w:keepNext/>
        <w:jc w:val="both"/>
      </w:pPr>
      <w:r w:rsidRPr="00C63521">
        <w:rPr>
          <w:noProof/>
          <w:lang w:val="en-US"/>
        </w:rPr>
        <w:drawing>
          <wp:inline distT="0" distB="0" distL="0" distR="0" wp14:anchorId="2E8C645C" wp14:editId="5AF2E4AD">
            <wp:extent cx="5731510" cy="2865755"/>
            <wp:effectExtent l="0" t="0" r="0" b="4445"/>
            <wp:docPr id="8561248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4853" name="Picture 8561248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2B3C528" w14:textId="582FF397" w:rsidR="00D83908" w:rsidRDefault="00D83908" w:rsidP="000344B1">
      <w:pPr>
        <w:pStyle w:val="Caption"/>
        <w:rPr>
          <w:lang w:val="en-US"/>
        </w:rPr>
      </w:pPr>
      <w:r>
        <w:t>Figure S</w:t>
      </w:r>
      <w:r>
        <w:fldChar w:fldCharType="begin"/>
      </w:r>
      <w:r>
        <w:instrText xml:space="preserve"> SEQ Figure_S \* ARABIC </w:instrText>
      </w:r>
      <w:r>
        <w:fldChar w:fldCharType="separate"/>
      </w:r>
      <w:r w:rsidR="00546FF0">
        <w:rPr>
          <w:noProof/>
        </w:rPr>
        <w:t>9</w:t>
      </w:r>
      <w:r>
        <w:rPr>
          <w:noProof/>
        </w:rPr>
        <w:fldChar w:fldCharType="end"/>
      </w:r>
      <w:r>
        <w:t>.</w:t>
      </w:r>
      <w:r w:rsidRPr="00C63521">
        <w:rPr>
          <w:lang w:val="en-US"/>
        </w:rPr>
        <w:t xml:space="preserve"> Infection incidence for nine species stratified by four major US census region from February 2007 to March 2020. </w:t>
      </w:r>
      <w:r w:rsidRPr="00ED0785">
        <w:rPr>
          <w:b w:val="0"/>
          <w:lang w:val="en-US"/>
        </w:rPr>
        <w:t xml:space="preserve">Points represent the number of 30-day incident isolates per quarter. Lines and grey bands are smoothing curves using the </w:t>
      </w:r>
      <w:r w:rsidR="00FB7EDA" w:rsidRPr="00ED0785">
        <w:rPr>
          <w:b w:val="0"/>
          <w:i/>
          <w:lang w:val="en-US"/>
        </w:rPr>
        <w:t>locally estimated scatterplot smoothing (loess)</w:t>
      </w:r>
      <w:r w:rsidR="00FB7EDA" w:rsidRPr="00ED0785">
        <w:rPr>
          <w:b w:val="0"/>
          <w:lang w:val="en-US"/>
        </w:rPr>
        <w:t xml:space="preserve"> </w:t>
      </w:r>
      <w:r w:rsidRPr="00ED0785">
        <w:rPr>
          <w:b w:val="0"/>
          <w:lang w:val="en-US"/>
        </w:rPr>
        <w:t>method and corresponding 95% confidence intervals. Dashed vertical lines indicate the start of the COVID-19 pandemic. Colors represent different US census regions (Midwest, Northeast, South, West).</w:t>
      </w:r>
      <w:r w:rsidRPr="00C63521">
        <w:rPr>
          <w:lang w:val="en-US"/>
        </w:rPr>
        <w:t xml:space="preserve"> </w:t>
      </w:r>
    </w:p>
    <w:p w14:paraId="50DAB006" w14:textId="7E757E1A" w:rsidR="00D83908" w:rsidRPr="00D83908" w:rsidRDefault="00D83908" w:rsidP="00D83908">
      <w:pPr>
        <w:rPr>
          <w:b/>
          <w:iCs/>
          <w:sz w:val="18"/>
          <w:szCs w:val="13"/>
          <w:lang w:val="en-US"/>
        </w:rPr>
      </w:pPr>
      <w:r>
        <w:rPr>
          <w:lang w:val="en-US"/>
        </w:rPr>
        <w:br w:type="page"/>
      </w:r>
    </w:p>
    <w:p w14:paraId="5BFBC9A0" w14:textId="5DCD3660" w:rsidR="00562AC8" w:rsidRPr="00155847" w:rsidRDefault="00632A7A" w:rsidP="00DC5D72">
      <w:pPr>
        <w:pStyle w:val="Heading1"/>
        <w:rPr>
          <w:lang w:val="en-US"/>
        </w:rPr>
      </w:pPr>
      <w:bookmarkStart w:id="40" w:name="_Toc169512181"/>
      <w:r w:rsidRPr="00155847">
        <w:rPr>
          <w:lang w:val="en-US"/>
        </w:rPr>
        <w:lastRenderedPageBreak/>
        <w:t>S</w:t>
      </w:r>
      <w:r w:rsidR="00650F3D">
        <w:rPr>
          <w:lang w:val="en-US"/>
        </w:rPr>
        <w:t>6</w:t>
      </w:r>
      <w:r w:rsidRPr="00155847">
        <w:rPr>
          <w:lang w:val="en-US"/>
        </w:rPr>
        <w:t xml:space="preserve"> Sensitivity </w:t>
      </w:r>
      <w:r w:rsidR="00400A62" w:rsidRPr="00155847">
        <w:rPr>
          <w:lang w:val="en-US"/>
        </w:rPr>
        <w:t>analyses</w:t>
      </w:r>
      <w:bookmarkEnd w:id="40"/>
      <w:r w:rsidR="00400A62" w:rsidRPr="00155847">
        <w:rPr>
          <w:lang w:val="en-US"/>
        </w:rPr>
        <w:t xml:space="preserve"> </w:t>
      </w:r>
    </w:p>
    <w:p w14:paraId="194F6051" w14:textId="6FF26E88" w:rsidR="00632A7A" w:rsidRPr="00155847" w:rsidRDefault="00632A7A" w:rsidP="00DC5D72">
      <w:pPr>
        <w:pStyle w:val="Heading2"/>
        <w:rPr>
          <w:lang w:val="en-US"/>
        </w:rPr>
      </w:pPr>
      <w:bookmarkStart w:id="41" w:name="_Toc169512182"/>
      <w:r w:rsidRPr="00155847">
        <w:rPr>
          <w:lang w:val="en-US"/>
        </w:rPr>
        <w:t>S</w:t>
      </w:r>
      <w:r w:rsidR="00650F3D">
        <w:rPr>
          <w:lang w:val="en-US"/>
        </w:rPr>
        <w:t>6</w:t>
      </w:r>
      <w:r w:rsidRPr="00155847">
        <w:rPr>
          <w:lang w:val="en-US"/>
        </w:rPr>
        <w:t>.1 Changes in incidence during COVID-19 pandemic</w:t>
      </w:r>
      <w:bookmarkEnd w:id="41"/>
    </w:p>
    <w:p w14:paraId="1FC4E296" w14:textId="5F8296C6" w:rsidR="00632A7A" w:rsidRPr="00155847" w:rsidRDefault="00F6008E" w:rsidP="00783B4C">
      <w:pPr>
        <w:jc w:val="both"/>
        <w:rPr>
          <w:lang w:val="en-US"/>
        </w:rPr>
      </w:pPr>
      <w:r w:rsidRPr="00155847">
        <w:rPr>
          <w:lang w:val="en-US"/>
        </w:rPr>
        <w:t>During the COVID-19 pandemic, significant reductions in hospital admissions were observed.</w:t>
      </w:r>
      <w:sdt>
        <w:sdtPr>
          <w:rPr>
            <w:color w:val="000000"/>
            <w:vertAlign w:val="superscript"/>
            <w:lang w:val="en-US"/>
          </w:rPr>
          <w:tag w:val="MENDELEY_CITATION_v3_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"/>
          <w:id w:val="-505440892"/>
          <w:placeholder>
            <w:docPart w:val="DefaultPlaceholder_-1854013440"/>
          </w:placeholder>
        </w:sdtPr>
        <w:sdtContent>
          <w:r w:rsidR="00D83908" w:rsidRPr="00D83908">
            <w:rPr>
              <w:color w:val="000000"/>
              <w:vertAlign w:val="superscript"/>
              <w:lang w:val="en-US"/>
            </w:rPr>
            <w:t>12</w:t>
          </w:r>
        </w:sdtContent>
      </w:sdt>
      <w:r w:rsidRPr="00155847">
        <w:rPr>
          <w:lang w:val="en-US"/>
        </w:rPr>
        <w:t xml:space="preserve"> </w:t>
      </w:r>
      <w:r w:rsidRPr="00E113A2">
        <w:rPr>
          <w:lang w:val="en-US"/>
        </w:rPr>
        <w:t>There are multiple reasons for such a change, including a reduced access to healthcare</w:t>
      </w:r>
      <w:r w:rsidR="00155847">
        <w:rPr>
          <w:lang w:val="en-US"/>
        </w:rPr>
        <w:t>,</w:t>
      </w:r>
      <w:r w:rsidR="006476A5">
        <w:rPr>
          <w:lang w:val="en-US"/>
        </w:rPr>
        <w:t xml:space="preserve"> </w:t>
      </w:r>
      <w:proofErr w:type="gramStart"/>
      <w:r w:rsidRPr="00E113A2">
        <w:rPr>
          <w:lang w:val="en-US"/>
        </w:rPr>
        <w:t>in particular at</w:t>
      </w:r>
      <w:proofErr w:type="gramEnd"/>
      <w:r w:rsidRPr="00E113A2">
        <w:rPr>
          <w:lang w:val="en-US"/>
        </w:rPr>
        <w:t xml:space="preserve"> the beginning of the pandemic. Outpatient clinics were closed or offered only limited appointments</w:t>
      </w:r>
      <w:r w:rsidR="00A91E88">
        <w:rPr>
          <w:lang w:val="en-US"/>
        </w:rPr>
        <w:t>,</w:t>
      </w:r>
      <w:r w:rsidRPr="00155847">
        <w:rPr>
          <w:lang w:val="en-US"/>
        </w:rPr>
        <w:t xml:space="preserve"> many hospitals cancelled </w:t>
      </w:r>
      <w:r w:rsidRPr="00E113A2">
        <w:rPr>
          <w:lang w:val="en-US"/>
        </w:rPr>
        <w:t>elective surgeries</w:t>
      </w:r>
      <w:r w:rsidR="00A91E88">
        <w:rPr>
          <w:lang w:val="en-US"/>
        </w:rPr>
        <w:t>,</w:t>
      </w:r>
      <w:r w:rsidRPr="00E113A2">
        <w:rPr>
          <w:lang w:val="en-US"/>
        </w:rPr>
        <w:t xml:space="preserve"> </w:t>
      </w:r>
      <w:r w:rsidR="00A91E88">
        <w:rPr>
          <w:lang w:val="en-US"/>
        </w:rPr>
        <w:t xml:space="preserve">and </w:t>
      </w:r>
      <w:r w:rsidRPr="00E113A2">
        <w:rPr>
          <w:lang w:val="en-US"/>
        </w:rPr>
        <w:t xml:space="preserve">healthcare seeking behavior changed during this period. These factors (among others) have likely contributed to a change in patient case-mix in hospitals with a higher proportion of patients with more severe diseases and comorbidities. </w:t>
      </w:r>
      <w:r w:rsidR="00632A7A" w:rsidRPr="00155847">
        <w:rPr>
          <w:lang w:val="en-US"/>
        </w:rPr>
        <w:t xml:space="preserve">As a sensitivity analysis, we estimated trends in the absolute number of incident isolates, without dividing by number of admissions, to assess whether changes in the pandemic era might be caused by changing admission patterns. </w:t>
      </w:r>
      <w:r w:rsidR="00632A7A" w:rsidRPr="00E113A2">
        <w:rPr>
          <w:lang w:val="en-US"/>
        </w:rPr>
        <w:t>Trends in hospital-associated incidence largely persist under this alternative approach. However, for community-onset infection, we observed an increase in the infection incidence rate per hospital admission but not in the absolute number of infections when comparing infections in 2019 and during the pandemic years (</w:t>
      </w:r>
      <w:r w:rsidR="00125419">
        <w:rPr>
          <w:lang w:val="en-US"/>
        </w:rPr>
        <w:fldChar w:fldCharType="begin"/>
      </w:r>
      <w:r w:rsidR="00125419">
        <w:rPr>
          <w:lang w:val="en-US"/>
        </w:rPr>
        <w:instrText xml:space="preserve"> REF _Ref156394637 \h </w:instrText>
      </w:r>
      <w:r w:rsidR="00125419">
        <w:rPr>
          <w:lang w:val="en-US"/>
        </w:rPr>
      </w:r>
      <w:r w:rsidR="00125419">
        <w:rPr>
          <w:lang w:val="en-US"/>
        </w:rPr>
        <w:fldChar w:fldCharType="separate"/>
      </w:r>
      <w:r w:rsidR="001F36C9">
        <w:t>Figure S</w:t>
      </w:r>
      <w:r w:rsidR="001F36C9">
        <w:rPr>
          <w:noProof/>
        </w:rPr>
        <w:t>10</w:t>
      </w:r>
      <w:r w:rsidR="00125419">
        <w:rPr>
          <w:lang w:val="en-US"/>
        </w:rPr>
        <w:fldChar w:fldCharType="end"/>
      </w:r>
      <w:r w:rsidR="00632A7A" w:rsidRPr="00E113A2">
        <w:rPr>
          <w:lang w:val="en-US"/>
        </w:rPr>
        <w:t>), suggesting that the increased incidence rate may be attributable to a drop in admissions for non-infectious causes. Consistent with this explanation, the absolute number of hospital admissions dropped drastically in March 2020 (</w:t>
      </w:r>
      <w:r w:rsidR="00125419">
        <w:rPr>
          <w:lang w:val="en-US"/>
        </w:rPr>
        <w:fldChar w:fldCharType="begin"/>
      </w:r>
      <w:r w:rsidR="00125419">
        <w:rPr>
          <w:lang w:val="en-US"/>
        </w:rPr>
        <w:instrText xml:space="preserve"> REF _Ref156394647 \h </w:instrText>
      </w:r>
      <w:r w:rsidR="00125419">
        <w:rPr>
          <w:lang w:val="en-US"/>
        </w:rPr>
      </w:r>
      <w:r w:rsidR="00125419">
        <w:rPr>
          <w:lang w:val="en-US"/>
        </w:rPr>
        <w:fldChar w:fldCharType="separate"/>
      </w:r>
      <w:r w:rsidR="001F36C9">
        <w:t>Figure S</w:t>
      </w:r>
      <w:r w:rsidR="001F36C9">
        <w:rPr>
          <w:noProof/>
        </w:rPr>
        <w:t>11</w:t>
      </w:r>
      <w:r w:rsidR="00125419">
        <w:rPr>
          <w:lang w:val="en-US"/>
        </w:rPr>
        <w:fldChar w:fldCharType="end"/>
      </w:r>
      <w:r w:rsidR="00632A7A" w:rsidRPr="00E113A2">
        <w:rPr>
          <w:lang w:val="en-US"/>
        </w:rPr>
        <w:t>), suggesting a change in the patient case mix during the pandemic years</w:t>
      </w:r>
      <w:r w:rsidRPr="00E113A2">
        <w:rPr>
          <w:lang w:val="en-US"/>
        </w:rPr>
        <w:t xml:space="preserve">. </w:t>
      </w:r>
    </w:p>
    <w:p w14:paraId="1C20AF82" w14:textId="77777777" w:rsidR="00155847" w:rsidRDefault="005F2931" w:rsidP="00155847">
      <w:pPr>
        <w:keepNext/>
      </w:pPr>
      <w:r w:rsidRPr="00E113A2">
        <w:rPr>
          <w:noProof/>
          <w:sz w:val="16"/>
          <w:szCs w:val="16"/>
          <w:lang w:val="en-US"/>
        </w:rPr>
        <w:drawing>
          <wp:inline distT="0" distB="0" distL="0" distR="0" wp14:anchorId="679BE1CA" wp14:editId="6F92BCF3">
            <wp:extent cx="5731510" cy="3223895"/>
            <wp:effectExtent l="0" t="0" r="0" b="1905"/>
            <wp:docPr id="105991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12133" name="Picture 10599121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2B03C7" w14:textId="3CBB9B6F" w:rsidR="00FB7EDA" w:rsidRDefault="00155847" w:rsidP="000344B1">
      <w:pPr>
        <w:pStyle w:val="Caption"/>
        <w:rPr>
          <w:lang w:val="en-US"/>
        </w:rPr>
      </w:pPr>
      <w:bookmarkStart w:id="42" w:name="_Ref156394637"/>
      <w:r>
        <w:t>Figure S</w:t>
      </w:r>
      <w:r>
        <w:fldChar w:fldCharType="begin"/>
      </w:r>
      <w:r>
        <w:instrText xml:space="preserve"> SEQ Figure_S \* ARABIC </w:instrText>
      </w:r>
      <w:r>
        <w:fldChar w:fldCharType="separate"/>
      </w:r>
      <w:r w:rsidR="00546FF0">
        <w:rPr>
          <w:noProof/>
        </w:rPr>
        <w:t>10</w:t>
      </w:r>
      <w:r>
        <w:rPr>
          <w:noProof/>
        </w:rPr>
        <w:fldChar w:fldCharType="end"/>
      </w:r>
      <w:bookmarkEnd w:id="42"/>
      <w:r>
        <w:t xml:space="preserve">. </w:t>
      </w:r>
      <w:r w:rsidRPr="00E113A2">
        <w:rPr>
          <w:lang w:val="en-US"/>
        </w:rPr>
        <w:t xml:space="preserve">Number of incident isolates for nine organisms stratified by infection category from January 2015 till December 2021. </w:t>
      </w:r>
      <w:r w:rsidR="00FB7EDA" w:rsidRPr="00DC6BA3">
        <w:rPr>
          <w:lang w:val="en-US"/>
        </w:rPr>
        <w:t xml:space="preserve">Points represent the number of 30-day incident isolates per quarter. Lines and grey bands are smoothing curves </w:t>
      </w:r>
      <w:r w:rsidR="00FB7EDA" w:rsidRPr="00DC6BA3">
        <w:rPr>
          <w:lang w:val="en-US"/>
        </w:rPr>
        <w:lastRenderedPageBreak/>
        <w:t xml:space="preserve">using the </w:t>
      </w:r>
      <w:r w:rsidR="00FB7EDA" w:rsidRPr="00DC6BA3">
        <w:rPr>
          <w:i/>
          <w:lang w:val="en-US"/>
        </w:rPr>
        <w:t>locally estimated scatterplot smoothing (loess)</w:t>
      </w:r>
      <w:r w:rsidR="00FB7EDA" w:rsidRPr="00DC6BA3">
        <w:rPr>
          <w:lang w:val="en-US"/>
        </w:rPr>
        <w:t xml:space="preserve"> method and corresponding 95% confidence intervals. Dashed vertical lines indicate the start of the COVID-19 pandemic. Colors represent different sources of infection.</w:t>
      </w:r>
      <w:r w:rsidR="00FB7EDA" w:rsidRPr="00E113A2">
        <w:rPr>
          <w:lang w:val="en-US"/>
        </w:rPr>
        <w:t xml:space="preserve"> </w:t>
      </w:r>
    </w:p>
    <w:p w14:paraId="69451FA8" w14:textId="3C3CEDFE" w:rsidR="005F2931" w:rsidRPr="00155847" w:rsidRDefault="005F2931" w:rsidP="000344B1">
      <w:pPr>
        <w:pStyle w:val="Caption"/>
        <w:rPr>
          <w:lang w:val="en-US"/>
        </w:rPr>
      </w:pPr>
    </w:p>
    <w:p w14:paraId="0891D000" w14:textId="77777777" w:rsidR="00125419" w:rsidRDefault="005F2931" w:rsidP="00125419">
      <w:pPr>
        <w:keepNext/>
      </w:pPr>
      <w:r w:rsidRPr="00155847">
        <w:rPr>
          <w:noProof/>
          <w:sz w:val="16"/>
          <w:szCs w:val="16"/>
          <w:lang w:val="en-US"/>
        </w:rPr>
        <w:drawing>
          <wp:inline distT="0" distB="0" distL="0" distR="0" wp14:anchorId="2FC01286" wp14:editId="392B089F">
            <wp:extent cx="5163670" cy="2581835"/>
            <wp:effectExtent l="0" t="0" r="5715" b="0"/>
            <wp:docPr id="9" name="Content Placeholder 8">
              <a:extLst xmlns:a="http://schemas.openxmlformats.org/drawingml/2006/main">
                <a:ext uri="{FF2B5EF4-FFF2-40B4-BE49-F238E27FC236}">
                  <a16:creationId xmlns:a16="http://schemas.microsoft.com/office/drawing/2014/main" id="{78837E78-2525-5746-AD2C-0451322929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78837E78-2525-5746-AD2C-045132292991}"/>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2380" cy="2591190"/>
                    </a:xfrm>
                    <a:prstGeom prst="rect">
                      <a:avLst/>
                    </a:prstGeom>
                  </pic:spPr>
                </pic:pic>
              </a:graphicData>
            </a:graphic>
          </wp:inline>
        </w:drawing>
      </w:r>
    </w:p>
    <w:p w14:paraId="122CC65B" w14:textId="56E9B737" w:rsidR="0020431A" w:rsidRPr="00125419" w:rsidRDefault="00125419" w:rsidP="000344B1">
      <w:pPr>
        <w:pStyle w:val="Caption"/>
        <w:rPr>
          <w:lang w:val="en-US"/>
        </w:rPr>
      </w:pPr>
      <w:bookmarkStart w:id="43" w:name="_Ref156394647"/>
      <w:r>
        <w:t>Figure S</w:t>
      </w:r>
      <w:r>
        <w:fldChar w:fldCharType="begin"/>
      </w:r>
      <w:r>
        <w:instrText xml:space="preserve"> SEQ Figure_S \* ARABIC </w:instrText>
      </w:r>
      <w:r>
        <w:fldChar w:fldCharType="separate"/>
      </w:r>
      <w:r w:rsidR="00546FF0">
        <w:rPr>
          <w:noProof/>
        </w:rPr>
        <w:t>11</w:t>
      </w:r>
      <w:r>
        <w:rPr>
          <w:noProof/>
        </w:rPr>
        <w:fldChar w:fldCharType="end"/>
      </w:r>
      <w:bookmarkEnd w:id="43"/>
      <w:r>
        <w:t>.</w:t>
      </w:r>
      <w:r w:rsidRPr="00125419">
        <w:rPr>
          <w:lang w:val="en-US"/>
        </w:rPr>
        <w:t xml:space="preserve"> </w:t>
      </w:r>
      <w:r w:rsidRPr="00E113A2">
        <w:rPr>
          <w:lang w:val="en-US"/>
        </w:rPr>
        <w:t xml:space="preserve">Number of hospital admission from February 2007 till March 2022 across 138 Veteran Affairs Medical Centers. </w:t>
      </w:r>
      <w:r w:rsidRPr="001750E7">
        <w:rPr>
          <w:lang w:val="en-US"/>
        </w:rPr>
        <w:t>Points represent the number of admissions and dashed lines are linear interpolations between the points.</w:t>
      </w:r>
      <w:r w:rsidRPr="00E113A2">
        <w:rPr>
          <w:lang w:val="en-US"/>
        </w:rPr>
        <w:t xml:space="preserve">  </w:t>
      </w:r>
    </w:p>
    <w:p w14:paraId="2827AD87" w14:textId="77777777" w:rsidR="007C37F2" w:rsidRDefault="007C37F2">
      <w:pPr>
        <w:rPr>
          <w:b/>
          <w:bCs/>
          <w:lang w:val="en-US"/>
        </w:rPr>
      </w:pPr>
    </w:p>
    <w:p w14:paraId="78E728E3" w14:textId="485EE308" w:rsidR="00B65496" w:rsidRPr="00DD39CF" w:rsidRDefault="007C37F2" w:rsidP="009E5E42">
      <w:pPr>
        <w:pStyle w:val="Heading2"/>
      </w:pPr>
      <w:bookmarkStart w:id="44" w:name="_Toc169512183"/>
      <w:r w:rsidRPr="00DD39CF">
        <w:t>S</w:t>
      </w:r>
      <w:r w:rsidR="00650F3D">
        <w:t>6</w:t>
      </w:r>
      <w:r w:rsidRPr="00DD39CF">
        <w:t>.2 Different denominator for incidence rate calculati</w:t>
      </w:r>
      <w:r w:rsidR="00B65496" w:rsidRPr="00DD39CF">
        <w:t>on</w:t>
      </w:r>
      <w:bookmarkEnd w:id="44"/>
    </w:p>
    <w:p w14:paraId="63BC61BC" w14:textId="52107F51" w:rsidR="00E93486" w:rsidRPr="00650F3D" w:rsidRDefault="00CC7621" w:rsidP="00E93486">
      <w:pPr>
        <w:jc w:val="both"/>
        <w:rPr>
          <w:rFonts w:ascii="Times New Roman" w:eastAsia="Times New Roman" w:hAnsi="Times New Roman" w:cs="Times New Roman"/>
          <w:lang w:eastAsia="en-GB"/>
        </w:rPr>
      </w:pPr>
      <w:r w:rsidRPr="00650F3D">
        <w:rPr>
          <w:lang w:val="en-US"/>
        </w:rPr>
        <w:t xml:space="preserve">There are different possibilities for denominators when calculating incidence rates. In our main analysis, we used the number of hospital admissions both </w:t>
      </w:r>
      <w:r w:rsidR="00E93486" w:rsidRPr="00650F3D">
        <w:rPr>
          <w:lang w:val="en-US"/>
        </w:rPr>
        <w:t>calculating the incidence of infections</w:t>
      </w:r>
      <w:r w:rsidRPr="00650F3D">
        <w:rPr>
          <w:lang w:val="en-US"/>
        </w:rPr>
        <w:t xml:space="preserve"> as the denominator</w:t>
      </w:r>
      <w:r w:rsidR="00E93486" w:rsidRPr="00650F3D">
        <w:rPr>
          <w:lang w:val="en-US"/>
        </w:rPr>
        <w:t xml:space="preserve">. The rationale behind that choice is that all clinical cultures used in our analyses were obtained from inpatients and are therefore hospital-based. However, community-onset infections may serve as proxy for community-acquired infections and thus, ideally, the size of the VA community population would be used as the denominator. </w:t>
      </w:r>
      <w:r w:rsidR="00E93486" w:rsidRPr="00650F3D">
        <w:rPr>
          <w:color w:val="000000" w:themeColor="text1"/>
          <w:lang w:val="en-US"/>
        </w:rPr>
        <w:t xml:space="preserve">In absence of these numbers, we obtained </w:t>
      </w:r>
      <w:r w:rsidR="00E93486" w:rsidRPr="00650F3D">
        <w:rPr>
          <w:rFonts w:ascii="Calibri" w:eastAsia="Times New Roman" w:hAnsi="Calibri" w:cs="Calibri"/>
          <w:color w:val="000000" w:themeColor="text1"/>
          <w:shd w:val="clear" w:color="auto" w:fill="FFFFFF"/>
          <w:lang w:eastAsia="en-GB"/>
        </w:rPr>
        <w:t>obtained information on the number of patients hat have received either outpatient or inpatient care at a given facility defined as the number of patients who had at least one outpatient or inpatient visit during that year (</w:t>
      </w:r>
      <w:r w:rsidR="00E93486" w:rsidRPr="00650F3D">
        <w:rPr>
          <w:rFonts w:ascii="Calibri" w:eastAsia="Times New Roman" w:hAnsi="Calibri" w:cs="Calibri"/>
          <w:color w:val="000000" w:themeColor="text1"/>
          <w:shd w:val="clear" w:color="auto" w:fill="FFFFFF"/>
          <w:lang w:eastAsia="en-GB"/>
        </w:rPr>
        <w:fldChar w:fldCharType="begin"/>
      </w:r>
      <w:r w:rsidR="00E93486" w:rsidRPr="00650F3D">
        <w:rPr>
          <w:rFonts w:ascii="Calibri" w:eastAsia="Times New Roman" w:hAnsi="Calibri" w:cs="Calibri"/>
          <w:color w:val="000000" w:themeColor="text1"/>
          <w:shd w:val="clear" w:color="auto" w:fill="FFFFFF"/>
          <w:lang w:eastAsia="en-GB"/>
        </w:rPr>
        <w:instrText xml:space="preserve"> REF _Ref166835582 \h </w:instrText>
      </w:r>
      <w:r w:rsidR="00650F3D">
        <w:rPr>
          <w:rFonts w:ascii="Calibri" w:eastAsia="Times New Roman" w:hAnsi="Calibri" w:cs="Calibri"/>
          <w:color w:val="000000" w:themeColor="text1"/>
          <w:shd w:val="clear" w:color="auto" w:fill="FFFFFF"/>
          <w:lang w:eastAsia="en-GB"/>
        </w:rPr>
        <w:instrText xml:space="preserve"> \* MERGEFORMAT </w:instrText>
      </w:r>
      <w:r w:rsidR="00E93486" w:rsidRPr="00650F3D">
        <w:rPr>
          <w:rFonts w:ascii="Calibri" w:eastAsia="Times New Roman" w:hAnsi="Calibri" w:cs="Calibri"/>
          <w:color w:val="000000" w:themeColor="text1"/>
          <w:shd w:val="clear" w:color="auto" w:fill="FFFFFF"/>
          <w:lang w:eastAsia="en-GB"/>
        </w:rPr>
      </w:r>
      <w:r w:rsidR="00E93486" w:rsidRPr="00650F3D">
        <w:rPr>
          <w:rFonts w:ascii="Calibri" w:eastAsia="Times New Roman" w:hAnsi="Calibri" w:cs="Calibri"/>
          <w:color w:val="000000" w:themeColor="text1"/>
          <w:shd w:val="clear" w:color="auto" w:fill="FFFFFF"/>
          <w:lang w:eastAsia="en-GB"/>
        </w:rPr>
        <w:fldChar w:fldCharType="separate"/>
      </w:r>
      <w:r w:rsidR="00E93486" w:rsidRPr="00650F3D">
        <w:rPr>
          <w:color w:val="000000" w:themeColor="text1"/>
        </w:rPr>
        <w:t>Figure S</w:t>
      </w:r>
      <w:r w:rsidR="00E93486" w:rsidRPr="00650F3D">
        <w:rPr>
          <w:noProof/>
          <w:color w:val="000000" w:themeColor="text1"/>
        </w:rPr>
        <w:t>12</w:t>
      </w:r>
      <w:r w:rsidR="00E93486" w:rsidRPr="00650F3D">
        <w:rPr>
          <w:rFonts w:ascii="Calibri" w:eastAsia="Times New Roman" w:hAnsi="Calibri" w:cs="Calibri"/>
          <w:color w:val="000000" w:themeColor="text1"/>
          <w:shd w:val="clear" w:color="auto" w:fill="FFFFFF"/>
          <w:lang w:eastAsia="en-GB"/>
        </w:rPr>
        <w:fldChar w:fldCharType="end"/>
      </w:r>
      <w:r w:rsidR="00E93486" w:rsidRPr="00650F3D">
        <w:rPr>
          <w:rFonts w:ascii="Calibri" w:eastAsia="Times New Roman" w:hAnsi="Calibri" w:cs="Calibri"/>
          <w:color w:val="000000" w:themeColor="text1"/>
          <w:shd w:val="clear" w:color="auto" w:fill="FFFFFF"/>
          <w:lang w:eastAsia="en-GB"/>
        </w:rPr>
        <w:t xml:space="preserve">). As such it includes more patients than covered by the number of inpatient hospital admissions and may be a better approximation of the community VA population. However, it is still a reflection of the population utilizing Veterans health care services and may be impacted by changes in these (as it can be seen in the drop in numbers in 2020, </w:t>
      </w:r>
      <w:r w:rsidR="00E93486" w:rsidRPr="00650F3D">
        <w:rPr>
          <w:rFonts w:ascii="Calibri" w:eastAsia="Times New Roman" w:hAnsi="Calibri" w:cs="Calibri"/>
          <w:color w:val="000000" w:themeColor="text1"/>
          <w:shd w:val="clear" w:color="auto" w:fill="FFFFFF"/>
          <w:lang w:eastAsia="en-GB"/>
        </w:rPr>
        <w:fldChar w:fldCharType="begin"/>
      </w:r>
      <w:r w:rsidR="00E93486" w:rsidRPr="00650F3D">
        <w:rPr>
          <w:rFonts w:ascii="Calibri" w:eastAsia="Times New Roman" w:hAnsi="Calibri" w:cs="Calibri"/>
          <w:color w:val="000000" w:themeColor="text1"/>
          <w:shd w:val="clear" w:color="auto" w:fill="FFFFFF"/>
          <w:lang w:eastAsia="en-GB"/>
        </w:rPr>
        <w:instrText xml:space="preserve"> REF _Ref166835582 \h </w:instrText>
      </w:r>
      <w:r w:rsidR="00650F3D">
        <w:rPr>
          <w:rFonts w:ascii="Calibri" w:eastAsia="Times New Roman" w:hAnsi="Calibri" w:cs="Calibri"/>
          <w:color w:val="000000" w:themeColor="text1"/>
          <w:shd w:val="clear" w:color="auto" w:fill="FFFFFF"/>
          <w:lang w:eastAsia="en-GB"/>
        </w:rPr>
        <w:instrText xml:space="preserve"> \* MERGEFORMAT </w:instrText>
      </w:r>
      <w:r w:rsidR="00E93486" w:rsidRPr="00650F3D">
        <w:rPr>
          <w:rFonts w:ascii="Calibri" w:eastAsia="Times New Roman" w:hAnsi="Calibri" w:cs="Calibri"/>
          <w:color w:val="000000" w:themeColor="text1"/>
          <w:shd w:val="clear" w:color="auto" w:fill="FFFFFF"/>
          <w:lang w:eastAsia="en-GB"/>
        </w:rPr>
      </w:r>
      <w:r w:rsidR="00E93486" w:rsidRPr="00650F3D">
        <w:rPr>
          <w:rFonts w:ascii="Calibri" w:eastAsia="Times New Roman" w:hAnsi="Calibri" w:cs="Calibri"/>
          <w:color w:val="000000" w:themeColor="text1"/>
          <w:shd w:val="clear" w:color="auto" w:fill="FFFFFF"/>
          <w:lang w:eastAsia="en-GB"/>
        </w:rPr>
        <w:fldChar w:fldCharType="separate"/>
      </w:r>
      <w:r w:rsidR="00E93486" w:rsidRPr="00650F3D">
        <w:rPr>
          <w:color w:val="000000" w:themeColor="text1"/>
        </w:rPr>
        <w:t>Figure S</w:t>
      </w:r>
      <w:r w:rsidR="00E93486" w:rsidRPr="00650F3D">
        <w:rPr>
          <w:noProof/>
          <w:color w:val="000000" w:themeColor="text1"/>
        </w:rPr>
        <w:t>12</w:t>
      </w:r>
      <w:r w:rsidR="00E93486" w:rsidRPr="00650F3D">
        <w:rPr>
          <w:rFonts w:ascii="Calibri" w:eastAsia="Times New Roman" w:hAnsi="Calibri" w:cs="Calibri"/>
          <w:color w:val="000000" w:themeColor="text1"/>
          <w:shd w:val="clear" w:color="auto" w:fill="FFFFFF"/>
          <w:lang w:eastAsia="en-GB"/>
        </w:rPr>
        <w:fldChar w:fldCharType="end"/>
      </w:r>
      <w:r w:rsidR="00E93486" w:rsidRPr="00650F3D">
        <w:rPr>
          <w:rFonts w:ascii="Calibri" w:eastAsia="Times New Roman" w:hAnsi="Calibri" w:cs="Calibri"/>
          <w:color w:val="000000" w:themeColor="text1"/>
          <w:shd w:val="clear" w:color="auto" w:fill="FFFFFF"/>
          <w:lang w:eastAsia="en-GB"/>
        </w:rPr>
        <w:t>). We performed the GEE analysis for the incidence of community-onset infections using these numbers as a sensitivity analysis and compared to our results in the main analysis (</w:t>
      </w:r>
      <w:r w:rsidR="00E93486" w:rsidRPr="00650F3D">
        <w:rPr>
          <w:rFonts w:ascii="Calibri" w:eastAsia="Times New Roman" w:hAnsi="Calibri" w:cs="Calibri"/>
          <w:color w:val="000000" w:themeColor="text1"/>
          <w:shd w:val="clear" w:color="auto" w:fill="FFFFFF"/>
          <w:lang w:eastAsia="en-GB"/>
        </w:rPr>
        <w:fldChar w:fldCharType="begin"/>
      </w:r>
      <w:r w:rsidR="00E93486" w:rsidRPr="00650F3D">
        <w:rPr>
          <w:rFonts w:ascii="Calibri" w:eastAsia="Times New Roman" w:hAnsi="Calibri" w:cs="Calibri"/>
          <w:color w:val="000000" w:themeColor="text1"/>
          <w:shd w:val="clear" w:color="auto" w:fill="FFFFFF"/>
          <w:lang w:eastAsia="en-GB"/>
        </w:rPr>
        <w:instrText xml:space="preserve"> REF _Ref166835875 \h </w:instrText>
      </w:r>
      <w:r w:rsidR="00650F3D">
        <w:rPr>
          <w:rFonts w:ascii="Calibri" w:eastAsia="Times New Roman" w:hAnsi="Calibri" w:cs="Calibri"/>
          <w:color w:val="000000" w:themeColor="text1"/>
          <w:shd w:val="clear" w:color="auto" w:fill="FFFFFF"/>
          <w:lang w:eastAsia="en-GB"/>
        </w:rPr>
        <w:instrText xml:space="preserve"> \* MERGEFORMAT </w:instrText>
      </w:r>
      <w:r w:rsidR="00E93486" w:rsidRPr="00650F3D">
        <w:rPr>
          <w:rFonts w:ascii="Calibri" w:eastAsia="Times New Roman" w:hAnsi="Calibri" w:cs="Calibri"/>
          <w:color w:val="000000" w:themeColor="text1"/>
          <w:shd w:val="clear" w:color="auto" w:fill="FFFFFF"/>
          <w:lang w:eastAsia="en-GB"/>
        </w:rPr>
      </w:r>
      <w:r w:rsidR="00E93486" w:rsidRPr="00650F3D">
        <w:rPr>
          <w:rFonts w:ascii="Calibri" w:eastAsia="Times New Roman" w:hAnsi="Calibri" w:cs="Calibri"/>
          <w:color w:val="000000" w:themeColor="text1"/>
          <w:shd w:val="clear" w:color="auto" w:fill="FFFFFF"/>
          <w:lang w:eastAsia="en-GB"/>
        </w:rPr>
        <w:fldChar w:fldCharType="separate"/>
      </w:r>
      <w:r w:rsidR="00E93486" w:rsidRPr="00650F3D">
        <w:rPr>
          <w:color w:val="000000" w:themeColor="text1"/>
        </w:rPr>
        <w:t>Figure S</w:t>
      </w:r>
      <w:r w:rsidR="00E93486" w:rsidRPr="00650F3D">
        <w:rPr>
          <w:noProof/>
          <w:color w:val="000000" w:themeColor="text1"/>
        </w:rPr>
        <w:t>13</w:t>
      </w:r>
      <w:r w:rsidR="00E93486" w:rsidRPr="00650F3D">
        <w:rPr>
          <w:rFonts w:ascii="Calibri" w:eastAsia="Times New Roman" w:hAnsi="Calibri" w:cs="Calibri"/>
          <w:color w:val="000000" w:themeColor="text1"/>
          <w:shd w:val="clear" w:color="auto" w:fill="FFFFFF"/>
          <w:lang w:eastAsia="en-GB"/>
        </w:rPr>
        <w:fldChar w:fldCharType="end"/>
      </w:r>
      <w:r w:rsidR="00E93486" w:rsidRPr="00650F3D">
        <w:rPr>
          <w:rFonts w:ascii="Calibri" w:eastAsia="Times New Roman" w:hAnsi="Calibri" w:cs="Calibri"/>
          <w:color w:val="000000" w:themeColor="text1"/>
          <w:shd w:val="clear" w:color="auto" w:fill="FFFFFF"/>
          <w:lang w:eastAsia="en-GB"/>
        </w:rPr>
        <w:t xml:space="preserve">). Generally, </w:t>
      </w:r>
      <w:r w:rsidR="000344B1" w:rsidRPr="00650F3D">
        <w:rPr>
          <w:rFonts w:ascii="Calibri" w:eastAsia="Times New Roman" w:hAnsi="Calibri" w:cs="Calibri"/>
          <w:color w:val="000000" w:themeColor="text1"/>
          <w:shd w:val="clear" w:color="auto" w:fill="FFFFFF"/>
          <w:lang w:eastAsia="en-GB"/>
        </w:rPr>
        <w:t xml:space="preserve">estimates for the time trend of community-onset infections remained similar. </w:t>
      </w:r>
    </w:p>
    <w:p w14:paraId="6438B382" w14:textId="4CFE5D23" w:rsidR="004E19F3" w:rsidRDefault="004E19F3" w:rsidP="00E93486">
      <w:pPr>
        <w:jc w:val="both"/>
        <w:rPr>
          <w:lang w:val="en-US"/>
        </w:rPr>
      </w:pPr>
    </w:p>
    <w:p w14:paraId="18797124" w14:textId="77777777" w:rsidR="004E19F3" w:rsidRDefault="004E19F3" w:rsidP="00DD39CF">
      <w:pPr>
        <w:rPr>
          <w:lang w:val="en-US"/>
        </w:rPr>
      </w:pPr>
    </w:p>
    <w:p w14:paraId="6681C5E9" w14:textId="77777777" w:rsidR="00546FF0" w:rsidRDefault="00546FF0" w:rsidP="00DD39CF">
      <w:r>
        <w:rPr>
          <w:noProof/>
          <w:lang w:val="en-US"/>
        </w:rPr>
        <w:lastRenderedPageBreak/>
        <w:drawing>
          <wp:inline distT="0" distB="0" distL="0" distR="0" wp14:anchorId="77587A4B" wp14:editId="5003F983">
            <wp:extent cx="5731510" cy="2865755"/>
            <wp:effectExtent l="0" t="0" r="0" b="4445"/>
            <wp:docPr id="4249631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63164" name="Picture 424963164"/>
                    <pic:cNvPicPr/>
                  </pic:nvPicPr>
                  <pic:blipFill>
                    <a:blip r:embed="rId2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772A9D9" w14:textId="15EDC20A" w:rsidR="00995DB6" w:rsidRPr="00E93486" w:rsidRDefault="00546FF0" w:rsidP="000344B1">
      <w:pPr>
        <w:pStyle w:val="Caption"/>
        <w:rPr>
          <w:bCs/>
          <w:lang w:val="en-US"/>
        </w:rPr>
      </w:pPr>
      <w:bookmarkStart w:id="45" w:name="_Ref166835582"/>
      <w:r>
        <w:t>Figure S</w:t>
      </w:r>
      <w:r>
        <w:fldChar w:fldCharType="begin"/>
      </w:r>
      <w:r>
        <w:instrText xml:space="preserve"> SEQ Figure_S \* ARABIC </w:instrText>
      </w:r>
      <w:r>
        <w:fldChar w:fldCharType="separate"/>
      </w:r>
      <w:r>
        <w:rPr>
          <w:noProof/>
        </w:rPr>
        <w:t>12</w:t>
      </w:r>
      <w:r>
        <w:fldChar w:fldCharType="end"/>
      </w:r>
      <w:bookmarkEnd w:id="45"/>
      <w:r>
        <w:t xml:space="preserve">. </w:t>
      </w:r>
      <w:r w:rsidR="00CC7621">
        <w:t xml:space="preserve">Temporal trends of </w:t>
      </w:r>
      <w:r w:rsidR="00E93486">
        <w:t xml:space="preserve">the number of outpatient or inpatients that received care by Veterans Healthcare Services. </w:t>
      </w:r>
      <w:r w:rsidR="00E93486" w:rsidRPr="00F54EF9">
        <w:rPr>
          <w:b w:val="0"/>
          <w:bCs/>
        </w:rPr>
        <w:t xml:space="preserve">Patients who received care were defined by patients who had at least one outpatient or inpatient visit </w:t>
      </w:r>
      <w:proofErr w:type="gramStart"/>
      <w:r w:rsidR="00E93486" w:rsidRPr="00F54EF9">
        <w:rPr>
          <w:b w:val="0"/>
          <w:bCs/>
        </w:rPr>
        <w:t>in a given year</w:t>
      </w:r>
      <w:proofErr w:type="gramEnd"/>
      <w:r w:rsidR="00E93486" w:rsidRPr="00F54EF9">
        <w:rPr>
          <w:b w:val="0"/>
          <w:bCs/>
        </w:rPr>
        <w:t>.</w:t>
      </w:r>
      <w:r w:rsidR="00E93486" w:rsidRPr="00E93486">
        <w:t xml:space="preserve"> </w:t>
      </w:r>
    </w:p>
    <w:p w14:paraId="381D7A9E" w14:textId="77777777" w:rsidR="00995DB6" w:rsidRPr="00995DB6" w:rsidRDefault="00995DB6" w:rsidP="00E93486">
      <w:pPr>
        <w:rPr>
          <w:lang w:val="en-US"/>
        </w:rPr>
      </w:pPr>
    </w:p>
    <w:p w14:paraId="75C375C0" w14:textId="77777777" w:rsidR="004E19F3" w:rsidRDefault="00995DB6" w:rsidP="00DD39CF">
      <w:r>
        <w:rPr>
          <w:noProof/>
          <w:lang w:val="en-US"/>
        </w:rPr>
        <w:drawing>
          <wp:inline distT="0" distB="0" distL="0" distR="0" wp14:anchorId="1345BBC9" wp14:editId="11B505AA">
            <wp:extent cx="5731510" cy="3183890"/>
            <wp:effectExtent l="0" t="0" r="0" b="3810"/>
            <wp:docPr id="153687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77492" name="Picture 1536877492"/>
                    <pic:cNvPicPr/>
                  </pic:nvPicPr>
                  <pic:blipFill>
                    <a:blip r:embed="rId22">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66894A66" w14:textId="0EC92B70" w:rsidR="004E19F3" w:rsidRPr="00546FF0" w:rsidRDefault="004E19F3" w:rsidP="000344B1">
      <w:pPr>
        <w:pStyle w:val="Caption"/>
        <w:rPr>
          <w:bCs/>
        </w:rPr>
      </w:pPr>
      <w:bookmarkStart w:id="46" w:name="_Ref166835875"/>
      <w:r>
        <w:t>Figure S</w:t>
      </w:r>
      <w:r>
        <w:fldChar w:fldCharType="begin"/>
      </w:r>
      <w:r>
        <w:instrText xml:space="preserve"> SEQ Figure_S \* ARABIC </w:instrText>
      </w:r>
      <w:r>
        <w:fldChar w:fldCharType="separate"/>
      </w:r>
      <w:r w:rsidR="00546FF0">
        <w:rPr>
          <w:noProof/>
        </w:rPr>
        <w:t>13</w:t>
      </w:r>
      <w:r>
        <w:fldChar w:fldCharType="end"/>
      </w:r>
      <w:bookmarkEnd w:id="46"/>
      <w:r>
        <w:t xml:space="preserve">. Time trend analyses </w:t>
      </w:r>
      <w:r w:rsidR="00546FF0">
        <w:t xml:space="preserve">for the incidence of community-onset infections for the main analysis and sensitivity analysis. </w:t>
      </w:r>
      <w:r w:rsidR="00546FF0" w:rsidRPr="000344B1">
        <w:rPr>
          <w:b w:val="0"/>
          <w:bCs/>
        </w:rPr>
        <w:t xml:space="preserve">In the Covered lives analysis, the number of patients that had at least one outpatient or inpatient visit </w:t>
      </w:r>
      <w:proofErr w:type="gramStart"/>
      <w:r w:rsidR="00CC7621" w:rsidRPr="000344B1">
        <w:rPr>
          <w:b w:val="0"/>
          <w:bCs/>
        </w:rPr>
        <w:t>in a given year</w:t>
      </w:r>
      <w:proofErr w:type="gramEnd"/>
      <w:r w:rsidR="00CC7621" w:rsidRPr="000344B1">
        <w:rPr>
          <w:b w:val="0"/>
          <w:bCs/>
        </w:rPr>
        <w:t xml:space="preserve"> was used as the offset (instead of the number of hospital admissions).</w:t>
      </w:r>
      <w:r w:rsidR="00546FF0" w:rsidRPr="000344B1">
        <w:rPr>
          <w:b w:val="0"/>
          <w:bCs/>
        </w:rPr>
        <w:t xml:space="preserve"> </w:t>
      </w:r>
      <w:r w:rsidRPr="000344B1">
        <w:rPr>
          <w:b w:val="0"/>
          <w:bCs/>
          <w:lang w:val="en-US"/>
        </w:rPr>
        <w:t>Average annual percentage change</w:t>
      </w:r>
      <w:r w:rsidR="00E93486" w:rsidRPr="000344B1">
        <w:rPr>
          <w:b w:val="0"/>
          <w:bCs/>
          <w:lang w:val="en-US"/>
        </w:rPr>
        <w:t>s</w:t>
      </w:r>
      <w:r w:rsidRPr="000344B1">
        <w:rPr>
          <w:b w:val="0"/>
          <w:bCs/>
          <w:lang w:val="en-US"/>
        </w:rPr>
        <w:t xml:space="preserve"> (AAPC</w:t>
      </w:r>
      <w:r w:rsidR="00546FF0" w:rsidRPr="000344B1">
        <w:rPr>
          <w:b w:val="0"/>
          <w:bCs/>
          <w:lang w:val="en-US"/>
        </w:rPr>
        <w:t>) were obtained from</w:t>
      </w:r>
      <w:r w:rsidRPr="000344B1">
        <w:rPr>
          <w:b w:val="0"/>
          <w:bCs/>
          <w:lang w:val="en-US"/>
        </w:rPr>
        <w:t xml:space="preserve"> generalized estimating equations</w:t>
      </w:r>
      <w:r w:rsidR="00546FF0" w:rsidRPr="000344B1">
        <w:rPr>
          <w:b w:val="0"/>
          <w:bCs/>
          <w:lang w:val="en-US"/>
        </w:rPr>
        <w:t xml:space="preserve"> analysis</w:t>
      </w:r>
      <w:r w:rsidRPr="000344B1">
        <w:rPr>
          <w:b w:val="0"/>
          <w:bCs/>
          <w:lang w:val="en-US"/>
        </w:rPr>
        <w:t xml:space="preserve"> for each pathogen and for pre-pandemic (2007-2019) and pandemic period (2020-2022). AAPC larger than zero indicate an increasing trend, </w:t>
      </w:r>
      <w:r w:rsidR="00CC7621" w:rsidRPr="000344B1">
        <w:rPr>
          <w:b w:val="0"/>
          <w:bCs/>
          <w:lang w:val="en-US"/>
        </w:rPr>
        <w:t>AAPC</w:t>
      </w:r>
      <w:r w:rsidRPr="000344B1">
        <w:rPr>
          <w:b w:val="0"/>
          <w:bCs/>
          <w:lang w:val="en-US"/>
        </w:rPr>
        <w:t xml:space="preserve"> smaller than zero a declining trend in infection incidence.</w:t>
      </w:r>
    </w:p>
    <w:p w14:paraId="4861FEF0" w14:textId="266B19A4" w:rsidR="007B0BBC" w:rsidRPr="00155847" w:rsidRDefault="007B0BBC" w:rsidP="00DD39CF">
      <w:pPr>
        <w:pStyle w:val="Heading2"/>
        <w:rPr>
          <w:lang w:val="en-US"/>
        </w:rPr>
      </w:pPr>
      <w:r w:rsidRPr="00155847">
        <w:rPr>
          <w:lang w:val="en-US"/>
        </w:rPr>
        <w:br w:type="page"/>
      </w:r>
    </w:p>
    <w:p w14:paraId="690B6F3D" w14:textId="3EB5B42D" w:rsidR="00400A62" w:rsidRDefault="00AB1844" w:rsidP="00DC5D72">
      <w:pPr>
        <w:pStyle w:val="Heading2"/>
        <w:rPr>
          <w:lang w:val="en-US"/>
        </w:rPr>
      </w:pPr>
      <w:bookmarkStart w:id="47" w:name="_Toc169512184"/>
      <w:r w:rsidRPr="00155847">
        <w:rPr>
          <w:lang w:val="en-US"/>
        </w:rPr>
        <w:lastRenderedPageBreak/>
        <w:t>S</w:t>
      </w:r>
      <w:r w:rsidR="00650F3D">
        <w:rPr>
          <w:lang w:val="en-US"/>
        </w:rPr>
        <w:t>6</w:t>
      </w:r>
      <w:r w:rsidRPr="00155847">
        <w:rPr>
          <w:lang w:val="en-US"/>
        </w:rPr>
        <w:t>.</w:t>
      </w:r>
      <w:r w:rsidR="007C37F2">
        <w:rPr>
          <w:lang w:val="en-US"/>
        </w:rPr>
        <w:t>3</w:t>
      </w:r>
      <w:r w:rsidRPr="00155847">
        <w:rPr>
          <w:lang w:val="en-US"/>
        </w:rPr>
        <w:t xml:space="preserve"> Approaches to handle missing values in antibiotic susceptibility data</w:t>
      </w:r>
      <w:bookmarkEnd w:id="47"/>
    </w:p>
    <w:p w14:paraId="060F335B" w14:textId="7549AEC7" w:rsidR="007B6A99" w:rsidRDefault="00DD06EB" w:rsidP="003E6BCC">
      <w:pPr>
        <w:jc w:val="both"/>
        <w:rPr>
          <w:sz w:val="22"/>
          <w:szCs w:val="22"/>
          <w:lang w:val="en-US"/>
        </w:rPr>
      </w:pPr>
      <w:r>
        <w:rPr>
          <w:sz w:val="22"/>
          <w:szCs w:val="22"/>
          <w:lang w:val="en-US"/>
        </w:rPr>
        <w:t>The interpretation of resistance data with missing susceptibility test results is a complex problem.</w:t>
      </w:r>
      <w:r w:rsidR="0059072C">
        <w:rPr>
          <w:sz w:val="22"/>
          <w:szCs w:val="22"/>
          <w:lang w:val="en-US"/>
        </w:rPr>
        <w:t xml:space="preserve"> It remains crucial to assess whether missing test results may have biased the main conclusions of our time trend analyses as presented in the main text. </w:t>
      </w:r>
      <w:r w:rsidR="002C1065">
        <w:rPr>
          <w:sz w:val="22"/>
          <w:szCs w:val="22"/>
          <w:lang w:val="en-US"/>
        </w:rPr>
        <w:t xml:space="preserve">We performed several sensitivity analyses to investigate this. </w:t>
      </w:r>
    </w:p>
    <w:p w14:paraId="742EA877" w14:textId="77777777" w:rsidR="00DD06EB" w:rsidRPr="00DD39CF" w:rsidRDefault="00DD06EB" w:rsidP="00DD39CF">
      <w:pPr>
        <w:rPr>
          <w:sz w:val="22"/>
          <w:szCs w:val="22"/>
          <w:lang w:val="en-US"/>
        </w:rPr>
      </w:pPr>
    </w:p>
    <w:p w14:paraId="3FAE2B10" w14:textId="6C4EDCF7" w:rsidR="007B6A99" w:rsidRDefault="007B6A99" w:rsidP="00DD39CF">
      <w:pPr>
        <w:pStyle w:val="Heading3"/>
        <w:rPr>
          <w:lang w:val="en-US"/>
        </w:rPr>
      </w:pPr>
      <w:bookmarkStart w:id="48" w:name="_Toc169512185"/>
      <w:r w:rsidRPr="00155847">
        <w:rPr>
          <w:lang w:val="en-US"/>
        </w:rPr>
        <w:t>S</w:t>
      </w:r>
      <w:r w:rsidR="00650F3D">
        <w:rPr>
          <w:lang w:val="en-US"/>
        </w:rPr>
        <w:t>6</w:t>
      </w:r>
      <w:r w:rsidRPr="00155847">
        <w:rPr>
          <w:lang w:val="en-US"/>
        </w:rPr>
        <w:t>.</w:t>
      </w:r>
      <w:r w:rsidR="00E93486">
        <w:rPr>
          <w:lang w:val="en-US"/>
        </w:rPr>
        <w:t>3</w:t>
      </w:r>
      <w:r>
        <w:rPr>
          <w:lang w:val="en-US"/>
        </w:rPr>
        <w:t>.1</w:t>
      </w:r>
      <w:r w:rsidRPr="00155847">
        <w:rPr>
          <w:lang w:val="en-US"/>
        </w:rPr>
        <w:t xml:space="preserve"> </w:t>
      </w:r>
      <w:r>
        <w:rPr>
          <w:lang w:val="en-US"/>
        </w:rPr>
        <w:t>Resistance proportion under various assumptions</w:t>
      </w:r>
      <w:bookmarkEnd w:id="48"/>
    </w:p>
    <w:p w14:paraId="1B86637F" w14:textId="2E103AD8" w:rsidR="00AB1844" w:rsidRPr="00155847" w:rsidRDefault="00AB1844" w:rsidP="00783B4C">
      <w:pPr>
        <w:jc w:val="both"/>
        <w:rPr>
          <w:lang w:val="en-US"/>
        </w:rPr>
      </w:pPr>
      <w:r w:rsidRPr="00155847">
        <w:rPr>
          <w:lang w:val="en-US"/>
        </w:rPr>
        <w:t xml:space="preserve">In the main analysis, we calculated the resistance proportion as the number of 30-day incident isolates divided by the total number of 30-day incident isolates, including the isolates without reported susceptibility test results. This implicitly assumes that all missing test results are susceptible results. For sensitivity analyses, we considered two scenarios based an average weighted approach to calculate resistance proportions. We use the following formula: </w:t>
      </w:r>
    </w:p>
    <w:p w14:paraId="1F4915F1" w14:textId="638D9DD4" w:rsidR="00AB1844" w:rsidRPr="00155847" w:rsidRDefault="00AB1844" w:rsidP="00783B4C">
      <w:pPr>
        <w:jc w:val="both"/>
        <w:rPr>
          <w:lang w:val="en-US"/>
        </w:rPr>
      </w:pPr>
      <m:oMathPara>
        <m:oMath>
          <m:r>
            <w:rPr>
              <w:rFonts w:ascii="Cambria Math" w:hAnsi="Cambria Math"/>
              <w:lang w:val="en-US"/>
            </w:rPr>
            <m:t xml:space="preserve">R=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known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known</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Total</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missing</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missing</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Total</m:t>
                  </m:r>
                </m:sub>
              </m:sSub>
            </m:den>
          </m:f>
        </m:oMath>
      </m:oMathPara>
    </w:p>
    <w:p w14:paraId="53AAFB8C" w14:textId="3FBCDF0C" w:rsidR="00AB1844" w:rsidRPr="00155847" w:rsidRDefault="00A538B1" w:rsidP="00783B4C">
      <w:pPr>
        <w:jc w:val="both"/>
        <w:rPr>
          <w:rFonts w:eastAsiaTheme="minorEastAsia"/>
          <w:lang w:val="en-US"/>
        </w:rPr>
      </w:pPr>
      <w:r>
        <w:rPr>
          <w:lang w:val="en-US"/>
        </w:rPr>
        <w:t>w</w:t>
      </w:r>
      <w:r w:rsidR="00AB1844" w:rsidRPr="00155847">
        <w:rPr>
          <w:lang w:val="en-US"/>
        </w:rPr>
        <w:t xml:space="preserve">here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known</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known</m:t>
                </m:r>
              </m:sub>
            </m:sSub>
          </m:den>
        </m:f>
      </m:oMath>
      <w:r w:rsidR="00AB1844" w:rsidRPr="00155847">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known</m:t>
            </m:r>
          </m:sub>
        </m:sSub>
        <m:r>
          <w:rPr>
            <w:rFonts w:ascii="Cambria Math" w:eastAsiaTheme="minorEastAsia" w:hAnsi="Cambria Math"/>
            <w:lang w:val="en-US"/>
          </w:rPr>
          <m:t xml:space="preserve"> </m:t>
        </m:r>
      </m:oMath>
      <w:r w:rsidR="00AB1844" w:rsidRPr="00155847">
        <w:rPr>
          <w:rFonts w:eastAsiaTheme="minorEastAsia"/>
          <w:lang w:val="en-US"/>
        </w:rPr>
        <w:t xml:space="preserve">are the resistance proportion and number of the isolates with known susceptibility test results,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NA</m:t>
            </m:r>
          </m:sub>
        </m:sSub>
      </m:oMath>
      <w:r w:rsidR="00AB1844" w:rsidRPr="00155847">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na</m:t>
            </m:r>
          </m:sub>
        </m:sSub>
      </m:oMath>
      <w:r w:rsidR="00AB1844" w:rsidRPr="00155847">
        <w:rPr>
          <w:rFonts w:eastAsiaTheme="minorEastAsia"/>
          <w:lang w:val="en-US"/>
        </w:rPr>
        <w:t xml:space="preserve"> are the resistance proportion and number of the isolates with unknown susceptibility test results, and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Total</m:t>
            </m:r>
          </m:sub>
        </m:sSub>
      </m:oMath>
      <w:r w:rsidR="00AB1844" w:rsidRPr="00155847">
        <w:rPr>
          <w:rFonts w:eastAsiaTheme="minorEastAsia"/>
          <w:lang w:val="en-US"/>
        </w:rPr>
        <w:t xml:space="preserve"> is the total number of isolates. </w:t>
      </w:r>
    </w:p>
    <w:p w14:paraId="01757E96" w14:textId="77777777" w:rsidR="00AB1844" w:rsidRPr="00155847" w:rsidRDefault="00AB1844" w:rsidP="00783B4C">
      <w:pPr>
        <w:jc w:val="both"/>
        <w:rPr>
          <w:rFonts w:eastAsiaTheme="minorEastAsia"/>
          <w:lang w:val="en-US"/>
        </w:rPr>
      </w:pPr>
    </w:p>
    <w:p w14:paraId="0CF03998" w14:textId="77777777" w:rsidR="006667BB" w:rsidRDefault="00AB1844" w:rsidP="006667BB">
      <w:pPr>
        <w:jc w:val="both"/>
        <w:rPr>
          <w:rFonts w:eastAsiaTheme="minorEastAsia"/>
          <w:lang w:val="en-US"/>
        </w:rPr>
      </w:pPr>
      <w:r w:rsidRPr="00155847">
        <w:rPr>
          <w:rFonts w:eastAsiaTheme="minorEastAsia"/>
          <w:lang w:val="en-US"/>
        </w:rPr>
        <w:t xml:space="preserve">In the main text, we implicitly assumed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missing</m:t>
            </m:r>
          </m:sub>
        </m:sSub>
        <m:r>
          <w:rPr>
            <w:rFonts w:ascii="Cambria Math" w:eastAsiaTheme="minorEastAsia" w:hAnsi="Cambria Math"/>
            <w:lang w:val="en-US"/>
          </w:rPr>
          <m:t>=0</m:t>
        </m:r>
      </m:oMath>
      <w:r w:rsidRPr="00155847">
        <w:rPr>
          <w:rFonts w:eastAsiaTheme="minorEastAsia"/>
          <w:lang w:val="en-US"/>
        </w:rPr>
        <w:t xml:space="preserve">, i.e., no resistance among isolates with unknown susceptibility test results. In a first sensitivity analysis, we assumed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missing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known</m:t>
            </m:r>
          </m:sub>
        </m:sSub>
      </m:oMath>
      <w:r w:rsidRPr="00155847">
        <w:rPr>
          <w:rFonts w:eastAsiaTheme="minorEastAsia"/>
          <w:lang w:val="en-US"/>
        </w:rPr>
        <w:t xml:space="preserve">, i.e., the resistance proportion among isolates with known is equal to the one with unknown test results. The overall resistance proportion was then weighted by their sample size, resulting in </w:t>
      </w:r>
      <m:oMath>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known</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R</m:t>
                </m:r>
              </m:sub>
            </m:sSub>
          </m:num>
          <m:den>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known</m:t>
                </m:r>
              </m:sub>
            </m:sSub>
          </m:den>
        </m:f>
      </m:oMath>
      <w:r w:rsidRPr="00155847">
        <w:rPr>
          <w:rFonts w:eastAsiaTheme="minorEastAsia"/>
          <w:lang w:val="en-US"/>
        </w:rPr>
        <w:t xml:space="preserve">. This is equivalent with excluding the missing test results in the denominator of the resistance proportion. </w:t>
      </w:r>
    </w:p>
    <w:p w14:paraId="5E94BDD2" w14:textId="77777777" w:rsidR="00A91E88" w:rsidRPr="00155847" w:rsidRDefault="00A91E88" w:rsidP="006667BB">
      <w:pPr>
        <w:jc w:val="both"/>
        <w:rPr>
          <w:rFonts w:eastAsiaTheme="minorEastAsia"/>
          <w:lang w:val="en-US"/>
        </w:rPr>
      </w:pPr>
    </w:p>
    <w:p w14:paraId="1893B3B3" w14:textId="2076E9B3" w:rsidR="00AB1844" w:rsidRPr="00155847" w:rsidRDefault="00AB1844" w:rsidP="006667BB">
      <w:pPr>
        <w:jc w:val="both"/>
        <w:rPr>
          <w:rFonts w:eastAsiaTheme="minorEastAsia"/>
          <w:lang w:val="en-US"/>
        </w:rPr>
      </w:pPr>
      <w:r w:rsidRPr="00155847">
        <w:rPr>
          <w:rFonts w:eastAsiaTheme="minorEastAsia"/>
          <w:lang w:val="en-US"/>
        </w:rPr>
        <w:t xml:space="preserve">In a second sensitivity analysis, we assumed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missing</m:t>
            </m:r>
          </m:sub>
        </m:sSub>
        <m:r>
          <w:rPr>
            <w:rFonts w:ascii="Cambria Math" w:eastAsiaTheme="minorEastAsia" w:hAnsi="Cambria Math"/>
            <w:lang w:val="en-US"/>
          </w:rPr>
          <m:t>=</m:t>
        </m:r>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R</m:t>
            </m:r>
          </m:e>
          <m:sub>
            <m:r>
              <w:rPr>
                <w:rFonts w:ascii="Cambria Math" w:eastAsiaTheme="minorEastAsia" w:hAnsi="Cambria Math"/>
                <w:lang w:val="en-US"/>
              </w:rPr>
              <m:t>known</m:t>
            </m:r>
          </m:sub>
        </m:sSub>
      </m:oMath>
      <w:r w:rsidRPr="00155847">
        <w:rPr>
          <w:rFonts w:eastAsiaTheme="minorEastAsia"/>
          <w:lang w:val="en-US"/>
        </w:rPr>
        <w:t xml:space="preserve">. This scenario has no biological explanation but only serves as a hypothetical scenario between the </w:t>
      </w:r>
      <w:r w:rsidR="005F2931" w:rsidRPr="00155847">
        <w:rPr>
          <w:rFonts w:eastAsiaTheme="minorEastAsia"/>
          <w:lang w:val="en-US"/>
        </w:rPr>
        <w:t>other two scenarios</w:t>
      </w:r>
      <w:r w:rsidRPr="00155847">
        <w:rPr>
          <w:rFonts w:eastAsiaTheme="minorEastAsia"/>
          <w:lang w:val="en-US"/>
        </w:rPr>
        <w:t xml:space="preserve"> that we considere</w:t>
      </w:r>
      <w:r w:rsidR="005F2931" w:rsidRPr="00155847">
        <w:rPr>
          <w:rFonts w:eastAsiaTheme="minorEastAsia"/>
          <w:lang w:val="en-US"/>
        </w:rPr>
        <w:t>d</w:t>
      </w:r>
      <w:r w:rsidRPr="00155847">
        <w:rPr>
          <w:rFonts w:eastAsiaTheme="minorEastAsia"/>
          <w:lang w:val="en-US"/>
        </w:rPr>
        <w:t>.</w:t>
      </w:r>
      <w:r w:rsidR="005F2931" w:rsidRPr="00155847">
        <w:rPr>
          <w:rFonts w:eastAsiaTheme="minorEastAsia"/>
          <w:lang w:val="en-US"/>
        </w:rPr>
        <w:t xml:space="preserve"> </w:t>
      </w:r>
      <w:r w:rsidRPr="00155847">
        <w:rPr>
          <w:rFonts w:eastAsiaTheme="minorEastAsia"/>
          <w:lang w:val="en-US"/>
        </w:rPr>
        <w:t xml:space="preserve"> </w:t>
      </w:r>
    </w:p>
    <w:p w14:paraId="39870CE3" w14:textId="77777777" w:rsidR="00AB1844" w:rsidRPr="00125419" w:rsidRDefault="00AB1844" w:rsidP="00AB1844">
      <w:pPr>
        <w:keepNext/>
        <w:jc w:val="both"/>
        <w:rPr>
          <w:rFonts w:eastAsiaTheme="minorEastAsia"/>
          <w:noProof/>
          <w:lang w:val="en-US"/>
        </w:rPr>
      </w:pPr>
    </w:p>
    <w:p w14:paraId="71BE40AD" w14:textId="77777777" w:rsidR="00125419" w:rsidRDefault="00AB1844" w:rsidP="00125419">
      <w:pPr>
        <w:keepNext/>
        <w:jc w:val="both"/>
      </w:pPr>
      <w:r w:rsidRPr="00125419">
        <w:rPr>
          <w:noProof/>
          <w:lang w:val="en-US"/>
        </w:rPr>
        <w:drawing>
          <wp:inline distT="0" distB="0" distL="0" distR="0" wp14:anchorId="10B8A94C" wp14:editId="3BD912D2">
            <wp:extent cx="4896255" cy="7344383"/>
            <wp:effectExtent l="0" t="0" r="0" b="0"/>
            <wp:docPr id="1830497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97239" name="Picture 183049723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99831" cy="7349746"/>
                    </a:xfrm>
                    <a:prstGeom prst="rect">
                      <a:avLst/>
                    </a:prstGeom>
                  </pic:spPr>
                </pic:pic>
              </a:graphicData>
            </a:graphic>
          </wp:inline>
        </w:drawing>
      </w:r>
    </w:p>
    <w:p w14:paraId="09D4EAF4" w14:textId="19EC70C1" w:rsidR="007B6A99" w:rsidRDefault="00125419" w:rsidP="000344B1">
      <w:pPr>
        <w:pStyle w:val="Caption"/>
        <w:rPr>
          <w:lang w:val="en-US"/>
        </w:rPr>
      </w:pPr>
      <w:r>
        <w:t>Figure S</w:t>
      </w:r>
      <w:r>
        <w:fldChar w:fldCharType="begin"/>
      </w:r>
      <w:r>
        <w:instrText xml:space="preserve"> SEQ Figure_S \* ARABIC </w:instrText>
      </w:r>
      <w:r>
        <w:fldChar w:fldCharType="separate"/>
      </w:r>
      <w:r w:rsidR="00546FF0">
        <w:rPr>
          <w:noProof/>
        </w:rPr>
        <w:t>14</w:t>
      </w:r>
      <w:r>
        <w:rPr>
          <w:noProof/>
        </w:rPr>
        <w:fldChar w:fldCharType="end"/>
      </w:r>
      <w:r>
        <w:t>.</w:t>
      </w:r>
      <w:r w:rsidRPr="00125419">
        <w:rPr>
          <w:lang w:val="en-US"/>
        </w:rPr>
        <w:t xml:space="preserve"> Proportion of incident isolates resistant to Carbapenems for </w:t>
      </w:r>
      <w:r w:rsidRPr="00125419">
        <w:rPr>
          <w:i/>
          <w:lang w:val="en-US"/>
        </w:rPr>
        <w:t>K. pneumoniae, E., cloacae, P. aeruginosa</w:t>
      </w:r>
      <w:r w:rsidRPr="00125419">
        <w:rPr>
          <w:lang w:val="en-US"/>
        </w:rPr>
        <w:t xml:space="preserve">, and </w:t>
      </w:r>
      <w:r w:rsidRPr="00125419">
        <w:rPr>
          <w:i/>
          <w:lang w:val="en-US"/>
        </w:rPr>
        <w:t>Acinetobacter Sp.</w:t>
      </w:r>
      <w:r w:rsidRPr="00125419">
        <w:rPr>
          <w:lang w:val="en-US"/>
        </w:rPr>
        <w:t xml:space="preserve"> under three different scenarios.</w:t>
      </w:r>
      <w:r w:rsidR="00DD06EB">
        <w:rPr>
          <w:lang w:val="en-US"/>
        </w:rPr>
        <w:t xml:space="preserve"> </w:t>
      </w:r>
      <w:r w:rsidR="00DD06EB" w:rsidRPr="00546FF0">
        <w:rPr>
          <w:bCs/>
          <w:lang w:val="en-US"/>
        </w:rPr>
        <w:t>The first scenario (left) represents the assumptions in the main text where missing test results are assumed to be susceptible (</w:t>
      </w:r>
      <m:oMath>
        <m:sSub>
          <m:sSubPr>
            <m:ctrlPr>
              <w:rPr>
                <w:rFonts w:ascii="Cambria Math" w:hAnsi="Cambria Math"/>
                <w:bCs/>
                <w:i/>
                <w:lang w:val="en-US"/>
              </w:rPr>
            </m:ctrlPr>
          </m:sSubPr>
          <m:e>
            <m:r>
              <m:rPr>
                <m:sty m:val="bi"/>
              </m:rPr>
              <w:rPr>
                <w:rFonts w:ascii="Cambria Math" w:hAnsi="Cambria Math"/>
                <w:lang w:val="en-US"/>
              </w:rPr>
              <m:t>R</m:t>
            </m:r>
          </m:e>
          <m:sub>
            <m:r>
              <m:rPr>
                <m:sty m:val="bi"/>
              </m:rPr>
              <w:rPr>
                <w:rFonts w:ascii="Cambria Math" w:hAnsi="Cambria Math"/>
                <w:lang w:val="en-US"/>
              </w:rPr>
              <m:t>missing</m:t>
            </m:r>
          </m:sub>
        </m:sSub>
        <m:r>
          <m:rPr>
            <m:sty m:val="bi"/>
          </m:rPr>
          <w:rPr>
            <w:rFonts w:ascii="Cambria Math" w:hAnsi="Cambria Math"/>
            <w:lang w:val="en-US"/>
          </w:rPr>
          <m:t>=0</m:t>
        </m:r>
      </m:oMath>
      <w:r w:rsidR="00DD06EB" w:rsidRPr="00546FF0">
        <w:rPr>
          <w:rFonts w:eastAsiaTheme="minorEastAsia"/>
          <w:bCs/>
          <w:lang w:val="en-US"/>
        </w:rPr>
        <w:t xml:space="preserve">). The second scenario (middle) represents </w:t>
      </w:r>
      <w:r w:rsidR="002C1065" w:rsidRPr="00546FF0">
        <w:rPr>
          <w:rFonts w:eastAsiaTheme="minorEastAsia"/>
          <w:bCs/>
          <w:lang w:val="en-US"/>
        </w:rPr>
        <w:t>the assumption that the resistance proportion among isolates with known is equal to the one with unknown test results (</w:t>
      </w:r>
      <m:oMath>
        <m:sSub>
          <m:sSubPr>
            <m:ctrlPr>
              <w:rPr>
                <w:rFonts w:ascii="Cambria Math" w:eastAsiaTheme="minorEastAsia" w:hAnsi="Cambria Math"/>
                <w:bCs/>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missing</m:t>
            </m:r>
          </m:sub>
        </m:sSub>
        <m:r>
          <m:rPr>
            <m:sty m:val="bi"/>
          </m:rPr>
          <w:rPr>
            <w:rFonts w:ascii="Cambria Math" w:eastAsiaTheme="minorEastAsia" w:hAnsi="Cambria Math"/>
            <w:lang w:val="en-US"/>
          </w:rPr>
          <m:t>=</m:t>
        </m:r>
        <m:sSub>
          <m:sSubPr>
            <m:ctrlPr>
              <w:rPr>
                <w:rFonts w:ascii="Cambria Math" w:eastAsiaTheme="minorEastAsia" w:hAnsi="Cambria Math"/>
                <w:bCs/>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known</m:t>
            </m:r>
          </m:sub>
        </m:sSub>
      </m:oMath>
      <w:r w:rsidR="002C1065" w:rsidRPr="00546FF0">
        <w:rPr>
          <w:rFonts w:eastAsiaTheme="minorEastAsia"/>
          <w:bCs/>
          <w:lang w:val="en-US"/>
        </w:rPr>
        <w:t xml:space="preserve">). The third scenario (right) represents the assumption that the resistance proportion among isolates with unknown test results are half of the resistance proportion among isolates with known test results </w:t>
      </w:r>
      <m:oMath>
        <m:r>
          <m:rPr>
            <m:sty m:val="bi"/>
          </m:rPr>
          <w:rPr>
            <w:rFonts w:ascii="Cambria Math" w:eastAsiaTheme="minorEastAsia" w:hAnsi="Cambria Math"/>
            <w:lang w:val="en-US"/>
          </w:rPr>
          <m:t>(</m:t>
        </m:r>
        <m:sSub>
          <m:sSubPr>
            <m:ctrlPr>
              <w:rPr>
                <w:rFonts w:ascii="Cambria Math" w:eastAsiaTheme="minorEastAsia" w:hAnsi="Cambria Math"/>
                <w:bCs/>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missing</m:t>
            </m:r>
          </m:sub>
        </m:sSub>
        <m:r>
          <m:rPr>
            <m:sty m:val="bi"/>
          </m:rPr>
          <w:rPr>
            <w:rFonts w:ascii="Cambria Math" w:eastAsiaTheme="minorEastAsia" w:hAnsi="Cambria Math"/>
            <w:lang w:val="en-US"/>
          </w:rPr>
          <m:t>=</m:t>
        </m:r>
        <m:f>
          <m:fPr>
            <m:ctrlPr>
              <w:rPr>
                <w:rFonts w:ascii="Cambria Math" w:eastAsiaTheme="minorEastAsia" w:hAnsi="Cambria Math"/>
                <w:bCs/>
                <w:i/>
                <w:lang w:val="en-US"/>
              </w:rPr>
            </m:ctrlPr>
          </m:fPr>
          <m:num>
            <m:sSub>
              <m:sSubPr>
                <m:ctrlPr>
                  <w:rPr>
                    <w:rFonts w:ascii="Cambria Math" w:eastAsiaTheme="minorEastAsia" w:hAnsi="Cambria Math"/>
                    <w:bCs/>
                    <w:i/>
                    <w:lang w:val="en-US"/>
                  </w:rPr>
                </m:ctrlPr>
              </m:sSubPr>
              <m:e>
                <m:r>
                  <m:rPr>
                    <m:sty m:val="bi"/>
                  </m:rPr>
                  <w:rPr>
                    <w:rFonts w:ascii="Cambria Math" w:eastAsiaTheme="minorEastAsia" w:hAnsi="Cambria Math"/>
                    <w:lang w:val="en-US"/>
                  </w:rPr>
                  <m:t>R</m:t>
                </m:r>
              </m:e>
              <m:sub>
                <m:r>
                  <m:rPr>
                    <m:sty m:val="bi"/>
                  </m:rPr>
                  <w:rPr>
                    <w:rFonts w:ascii="Cambria Math" w:eastAsiaTheme="minorEastAsia" w:hAnsi="Cambria Math"/>
                    <w:lang w:val="en-US"/>
                  </w:rPr>
                  <m:t>known</m:t>
                </m:r>
              </m:sub>
            </m:sSub>
          </m:num>
          <m:den>
            <m:r>
              <m:rPr>
                <m:sty m:val="bi"/>
              </m:rPr>
              <w:rPr>
                <w:rFonts w:ascii="Cambria Math" w:eastAsiaTheme="minorEastAsia" w:hAnsi="Cambria Math"/>
                <w:lang w:val="en-US"/>
              </w:rPr>
              <m:t>2</m:t>
            </m:r>
          </m:den>
        </m:f>
        <m:r>
          <m:rPr>
            <m:sty m:val="bi"/>
          </m:rPr>
          <w:rPr>
            <w:rFonts w:ascii="Cambria Math" w:eastAsiaTheme="minorEastAsia" w:hAnsi="Cambria Math"/>
            <w:lang w:val="en-US"/>
          </w:rPr>
          <m:t>)</m:t>
        </m:r>
      </m:oMath>
      <w:r w:rsidR="002C1065" w:rsidRPr="00546FF0">
        <w:rPr>
          <w:rFonts w:eastAsiaTheme="minorEastAsia"/>
          <w:bCs/>
          <w:lang w:val="en-US"/>
        </w:rPr>
        <w:t>. This scenario serves as a hypothetical scenario between the other two scenarios that we considered.</w:t>
      </w:r>
      <w:r w:rsidR="002C1065" w:rsidRPr="002C1065">
        <w:rPr>
          <w:rFonts w:eastAsiaTheme="minorEastAsia"/>
          <w:lang w:val="en-US"/>
        </w:rPr>
        <w:t xml:space="preserve">  </w:t>
      </w:r>
    </w:p>
    <w:p w14:paraId="7F57577F" w14:textId="77777777" w:rsidR="007B6A99" w:rsidRDefault="007B6A99">
      <w:pPr>
        <w:rPr>
          <w:b/>
          <w:iCs/>
          <w:sz w:val="18"/>
          <w:szCs w:val="13"/>
          <w:lang w:val="en-US"/>
        </w:rPr>
      </w:pPr>
      <w:r>
        <w:rPr>
          <w:lang w:val="en-US"/>
        </w:rPr>
        <w:br w:type="page"/>
      </w:r>
    </w:p>
    <w:p w14:paraId="3323F9E6" w14:textId="77E3A0B1" w:rsidR="00AB1844" w:rsidRDefault="007B6A99">
      <w:pPr>
        <w:pStyle w:val="Heading3"/>
        <w:rPr>
          <w:lang w:val="en-US"/>
        </w:rPr>
      </w:pPr>
      <w:bookmarkStart w:id="49" w:name="_Toc169512186"/>
      <w:r w:rsidRPr="00155847">
        <w:rPr>
          <w:lang w:val="en-US"/>
        </w:rPr>
        <w:lastRenderedPageBreak/>
        <w:t>S</w:t>
      </w:r>
      <w:r w:rsidR="00650F3D">
        <w:rPr>
          <w:lang w:val="en-US"/>
        </w:rPr>
        <w:t>6</w:t>
      </w:r>
      <w:r w:rsidRPr="00155847">
        <w:rPr>
          <w:lang w:val="en-US"/>
        </w:rPr>
        <w:t>.</w:t>
      </w:r>
      <w:r w:rsidR="009E5E42">
        <w:rPr>
          <w:lang w:val="en-US"/>
        </w:rPr>
        <w:t>3</w:t>
      </w:r>
      <w:r>
        <w:rPr>
          <w:lang w:val="en-US"/>
        </w:rPr>
        <w:t>.2</w:t>
      </w:r>
      <w:r w:rsidRPr="00155847">
        <w:rPr>
          <w:lang w:val="en-US"/>
        </w:rPr>
        <w:t xml:space="preserve"> </w:t>
      </w:r>
      <w:r>
        <w:rPr>
          <w:lang w:val="en-US"/>
        </w:rPr>
        <w:t>Sensitivity analyses for time trend estimates</w:t>
      </w:r>
      <w:bookmarkEnd w:id="49"/>
      <w:r>
        <w:rPr>
          <w:lang w:val="en-US"/>
        </w:rPr>
        <w:t xml:space="preserve"> </w:t>
      </w:r>
    </w:p>
    <w:p w14:paraId="27090733" w14:textId="24D880DB" w:rsidR="00CA3AB1" w:rsidRDefault="00CA3AB1" w:rsidP="00532601">
      <w:pPr>
        <w:jc w:val="both"/>
        <w:rPr>
          <w:sz w:val="22"/>
          <w:szCs w:val="22"/>
          <w:lang w:val="en-US"/>
        </w:rPr>
      </w:pPr>
      <w:r w:rsidRPr="00AE74BA">
        <w:rPr>
          <w:sz w:val="22"/>
          <w:szCs w:val="22"/>
          <w:lang w:val="en-US"/>
        </w:rPr>
        <w:t>We performed various sensitivity analyses to explore the impact of different assumptions on missing test results on our main conclusions</w:t>
      </w:r>
      <w:r w:rsidR="0059072C">
        <w:rPr>
          <w:sz w:val="22"/>
          <w:szCs w:val="22"/>
          <w:lang w:val="en-US"/>
        </w:rPr>
        <w:t xml:space="preserve"> of our time trend analyses</w:t>
      </w:r>
      <w:r w:rsidRPr="00AE74BA">
        <w:rPr>
          <w:sz w:val="22"/>
          <w:szCs w:val="22"/>
          <w:lang w:val="en-US"/>
        </w:rPr>
        <w:t xml:space="preserve">. For each of the assumptions, we performed our time trend analysis using generalized estimating equations (GEE) as described in the Methods section and in the supplement and calculated the average annual percentage change for the pre-pandemic and pandemic time trend for the resistance proportion, the incidence of resistant as well as the incidence of susceptible infections. </w:t>
      </w:r>
      <w:r w:rsidR="00F70AD7">
        <w:rPr>
          <w:sz w:val="22"/>
          <w:szCs w:val="22"/>
          <w:lang w:val="en-US"/>
        </w:rPr>
        <w:t>Here, we describe two pathogen-drug combinations with</w:t>
      </w:r>
      <w:r w:rsidR="00AC4EC7">
        <w:rPr>
          <w:sz w:val="22"/>
          <w:szCs w:val="22"/>
          <w:lang w:val="en-US"/>
        </w:rPr>
        <w:t xml:space="preserve"> a</w:t>
      </w:r>
      <w:r w:rsidR="00F70AD7">
        <w:rPr>
          <w:sz w:val="22"/>
          <w:szCs w:val="22"/>
          <w:lang w:val="en-US"/>
        </w:rPr>
        <w:t xml:space="preserve"> high incidence of infections with missing susceptibility test results</w:t>
      </w:r>
      <w:r w:rsidR="00AC4EC7">
        <w:rPr>
          <w:sz w:val="22"/>
          <w:szCs w:val="22"/>
          <w:lang w:val="en-US"/>
        </w:rPr>
        <w:t xml:space="preserve"> and large temporal variability. </w:t>
      </w:r>
    </w:p>
    <w:p w14:paraId="6BB3E8A9" w14:textId="77777777" w:rsidR="00532601" w:rsidRPr="00DD39CF" w:rsidRDefault="00532601" w:rsidP="00532601">
      <w:pPr>
        <w:jc w:val="both"/>
        <w:rPr>
          <w:sz w:val="13"/>
          <w:szCs w:val="13"/>
          <w:lang w:val="en-US"/>
        </w:rPr>
      </w:pPr>
    </w:p>
    <w:p w14:paraId="75EB19D4" w14:textId="7BFDE508" w:rsidR="007B6A99" w:rsidRPr="00532601" w:rsidRDefault="00CA3AB1" w:rsidP="00532601">
      <w:pPr>
        <w:rPr>
          <w:b/>
          <w:bCs/>
          <w:u w:val="single"/>
          <w:lang w:val="en-US"/>
        </w:rPr>
      </w:pPr>
      <w:r w:rsidRPr="00532601">
        <w:rPr>
          <w:b/>
          <w:bCs/>
          <w:i/>
          <w:iCs/>
          <w:u w:val="single"/>
          <w:lang w:val="en-US"/>
        </w:rPr>
        <w:t>Staphylococcus aureus</w:t>
      </w:r>
      <w:r w:rsidRPr="00532601">
        <w:rPr>
          <w:b/>
          <w:bCs/>
          <w:u w:val="single"/>
          <w:lang w:val="en-US"/>
        </w:rPr>
        <w:t xml:space="preserve"> and fluoroquinolone resistance</w:t>
      </w:r>
    </w:p>
    <w:p w14:paraId="574ACEFA" w14:textId="77777777" w:rsidR="007B6A99" w:rsidRPr="00AE74BA" w:rsidRDefault="007B6A99" w:rsidP="007B6A99">
      <w:pPr>
        <w:jc w:val="both"/>
        <w:rPr>
          <w:sz w:val="22"/>
          <w:szCs w:val="22"/>
          <w:lang w:val="en-US"/>
        </w:rPr>
      </w:pPr>
      <w:r>
        <w:rPr>
          <w:sz w:val="22"/>
          <w:szCs w:val="22"/>
          <w:lang w:val="en-US"/>
        </w:rPr>
        <w:t>We used the following scenarios for our sensitivity analyses:</w:t>
      </w:r>
    </w:p>
    <w:p w14:paraId="09473443" w14:textId="77777777" w:rsidR="007B6A99" w:rsidRDefault="007B6A99" w:rsidP="007B6A99">
      <w:pPr>
        <w:pStyle w:val="ListParagraph"/>
        <w:numPr>
          <w:ilvl w:val="0"/>
          <w:numId w:val="5"/>
        </w:numPr>
        <w:ind w:left="426" w:hanging="349"/>
        <w:jc w:val="both"/>
        <w:rPr>
          <w:sz w:val="22"/>
          <w:szCs w:val="22"/>
          <w:lang w:val="en-US"/>
        </w:rPr>
      </w:pPr>
      <w:r w:rsidRPr="007B6A99">
        <w:rPr>
          <w:sz w:val="22"/>
          <w:szCs w:val="22"/>
          <w:u w:val="single"/>
          <w:lang w:val="en-US"/>
        </w:rPr>
        <w:t>Methicillin resistance as a proxy for fluoroquinolone resistance:</w:t>
      </w:r>
      <w:r>
        <w:rPr>
          <w:sz w:val="22"/>
          <w:szCs w:val="22"/>
          <w:lang w:val="en-US"/>
        </w:rPr>
        <w:t xml:space="preserve"> </w:t>
      </w:r>
      <w:r w:rsidRPr="007B6A99">
        <w:rPr>
          <w:sz w:val="22"/>
          <w:szCs w:val="22"/>
          <w:lang w:val="en-US"/>
        </w:rPr>
        <w:t xml:space="preserve">We imputed the missing test results according to known methicillin susceptibility test results, </w:t>
      </w:r>
      <w:proofErr w:type="gramStart"/>
      <w:r w:rsidRPr="007B6A99">
        <w:rPr>
          <w:sz w:val="22"/>
          <w:szCs w:val="22"/>
          <w:lang w:val="en-US"/>
        </w:rPr>
        <w:t>assuming that</w:t>
      </w:r>
      <w:proofErr w:type="gramEnd"/>
      <w:r w:rsidRPr="007B6A99">
        <w:rPr>
          <w:sz w:val="22"/>
          <w:szCs w:val="22"/>
          <w:lang w:val="en-US"/>
        </w:rPr>
        <w:t xml:space="preserve"> there's a perfect correlation between methicillin and fluoroquinolone resistance.</w:t>
      </w:r>
    </w:p>
    <w:p w14:paraId="71F9FA9C" w14:textId="60581076" w:rsidR="007B6A99" w:rsidRPr="00532601" w:rsidRDefault="007B6A99" w:rsidP="00532601">
      <w:pPr>
        <w:pStyle w:val="ListParagraph"/>
        <w:numPr>
          <w:ilvl w:val="0"/>
          <w:numId w:val="5"/>
        </w:numPr>
        <w:ind w:left="426" w:hanging="349"/>
        <w:jc w:val="both"/>
        <w:rPr>
          <w:sz w:val="22"/>
          <w:szCs w:val="22"/>
          <w:lang w:val="en-US"/>
        </w:rPr>
      </w:pPr>
      <w:r w:rsidRPr="007B6A99">
        <w:rPr>
          <w:sz w:val="22"/>
          <w:szCs w:val="22"/>
          <w:u w:val="single"/>
          <w:lang w:val="en-US"/>
        </w:rPr>
        <w:t>All missing test results are susceptible test results:</w:t>
      </w:r>
      <w:r w:rsidRPr="007B6A99">
        <w:rPr>
          <w:sz w:val="22"/>
          <w:szCs w:val="22"/>
          <w:lang w:val="en-US"/>
        </w:rPr>
        <w:t xml:space="preserve"> We assumed that all missing test results are susceptible. This scenario represents our suspicion that generally missing test results are more likely to be susceptible. </w:t>
      </w:r>
    </w:p>
    <w:p w14:paraId="551C9D20" w14:textId="70513DD4" w:rsidR="00532601" w:rsidRDefault="00532601" w:rsidP="007B6A99">
      <w:pPr>
        <w:jc w:val="both"/>
        <w:rPr>
          <w:sz w:val="22"/>
          <w:szCs w:val="22"/>
          <w:lang w:val="en-US"/>
        </w:rPr>
      </w:pPr>
      <w:r w:rsidRPr="00126CB0">
        <w:rPr>
          <w:sz w:val="22"/>
          <w:szCs w:val="22"/>
          <w:lang w:val="en-US"/>
        </w:rPr>
        <w:t xml:space="preserve">For both sensitivity analyses, the downward trend of the overall incidence of susceptible infections slows down from 2016. </w:t>
      </w:r>
      <w:proofErr w:type="gramStart"/>
      <w:r w:rsidRPr="00126CB0">
        <w:rPr>
          <w:sz w:val="22"/>
          <w:szCs w:val="22"/>
          <w:lang w:val="en-US"/>
        </w:rPr>
        <w:t>In particular, for</w:t>
      </w:r>
      <w:proofErr w:type="gramEnd"/>
      <w:r w:rsidRPr="00126CB0">
        <w:rPr>
          <w:sz w:val="22"/>
          <w:szCs w:val="22"/>
          <w:lang w:val="en-US"/>
        </w:rPr>
        <w:t xml:space="preserve"> the second sensitivity analysis, where we assumed that all missing test results are susceptible, we observed an increase in the incidence of susceptible infections from 2016</w:t>
      </w:r>
      <w:r>
        <w:rPr>
          <w:sz w:val="22"/>
          <w:szCs w:val="22"/>
          <w:lang w:val="en-US"/>
        </w:rPr>
        <w:t xml:space="preserve"> </w:t>
      </w:r>
      <w:r w:rsidRPr="00FC5603">
        <w:rPr>
          <w:sz w:val="22"/>
          <w:szCs w:val="22"/>
          <w:lang w:val="en-US"/>
        </w:rPr>
        <w:t>(</w:t>
      </w:r>
      <w:r w:rsidRPr="00FC5603">
        <w:rPr>
          <w:sz w:val="22"/>
          <w:szCs w:val="22"/>
          <w:lang w:val="en-US"/>
        </w:rPr>
        <w:fldChar w:fldCharType="begin"/>
      </w:r>
      <w:r w:rsidRPr="00FC5603">
        <w:rPr>
          <w:sz w:val="22"/>
          <w:szCs w:val="22"/>
          <w:lang w:val="en-US"/>
        </w:rPr>
        <w:instrText xml:space="preserve"> REF _Ref166249019 \h </w:instrText>
      </w:r>
      <w:r>
        <w:rPr>
          <w:sz w:val="22"/>
          <w:szCs w:val="22"/>
          <w:lang w:val="en-US"/>
        </w:rPr>
        <w:instrText xml:space="preserve"> \* MERGEFORMAT </w:instrText>
      </w:r>
      <w:r w:rsidRPr="00FC5603">
        <w:rPr>
          <w:sz w:val="22"/>
          <w:szCs w:val="22"/>
          <w:lang w:val="en-US"/>
        </w:rPr>
      </w:r>
      <w:r w:rsidRPr="00FC5603">
        <w:rPr>
          <w:sz w:val="22"/>
          <w:szCs w:val="22"/>
          <w:lang w:val="en-US"/>
        </w:rPr>
        <w:fldChar w:fldCharType="separate"/>
      </w:r>
      <w:r w:rsidRPr="00532601">
        <w:rPr>
          <w:sz w:val="22"/>
          <w:szCs w:val="22"/>
        </w:rPr>
        <w:t>Figure S</w:t>
      </w:r>
      <w:r w:rsidRPr="00532601">
        <w:rPr>
          <w:noProof/>
          <w:sz w:val="22"/>
          <w:szCs w:val="22"/>
        </w:rPr>
        <w:t>13</w:t>
      </w:r>
      <w:r w:rsidRPr="00FC5603">
        <w:rPr>
          <w:sz w:val="22"/>
          <w:szCs w:val="22"/>
          <w:lang w:val="en-US"/>
        </w:rPr>
        <w:fldChar w:fldCharType="end"/>
      </w:r>
      <w:r>
        <w:rPr>
          <w:sz w:val="22"/>
          <w:szCs w:val="22"/>
          <w:lang w:val="en-US"/>
        </w:rPr>
        <w:t>B-C</w:t>
      </w:r>
      <w:r w:rsidRPr="00FC5603">
        <w:rPr>
          <w:sz w:val="22"/>
          <w:szCs w:val="22"/>
          <w:lang w:val="en-US"/>
        </w:rPr>
        <w:t>)</w:t>
      </w:r>
      <w:r w:rsidRPr="00126CB0">
        <w:rPr>
          <w:sz w:val="22"/>
          <w:szCs w:val="22"/>
          <w:lang w:val="en-US"/>
        </w:rPr>
        <w:t>. However, these changes are not reflected in the GEE time trend estimates</w:t>
      </w:r>
      <w:r>
        <w:rPr>
          <w:sz w:val="22"/>
          <w:szCs w:val="22"/>
          <w:lang w:val="en-US"/>
        </w:rPr>
        <w:t xml:space="preserve"> (</w:t>
      </w:r>
      <w:r w:rsidRPr="00FC5603">
        <w:rPr>
          <w:sz w:val="22"/>
          <w:szCs w:val="22"/>
          <w:lang w:val="en-US"/>
        </w:rPr>
        <w:fldChar w:fldCharType="begin"/>
      </w:r>
      <w:r w:rsidRPr="00FC5603">
        <w:rPr>
          <w:sz w:val="22"/>
          <w:szCs w:val="22"/>
          <w:lang w:val="en-US"/>
        </w:rPr>
        <w:instrText xml:space="preserve"> REF _Ref166249019 \h </w:instrText>
      </w:r>
      <w:r>
        <w:rPr>
          <w:sz w:val="22"/>
          <w:szCs w:val="22"/>
          <w:lang w:val="en-US"/>
        </w:rPr>
        <w:instrText xml:space="preserve"> \* MERGEFORMAT </w:instrText>
      </w:r>
      <w:r w:rsidRPr="00FC5603">
        <w:rPr>
          <w:sz w:val="22"/>
          <w:szCs w:val="22"/>
          <w:lang w:val="en-US"/>
        </w:rPr>
      </w:r>
      <w:r w:rsidRPr="00FC5603">
        <w:rPr>
          <w:sz w:val="22"/>
          <w:szCs w:val="22"/>
          <w:lang w:val="en-US"/>
        </w:rPr>
        <w:fldChar w:fldCharType="separate"/>
      </w:r>
      <w:r w:rsidRPr="00FA153D">
        <w:rPr>
          <w:sz w:val="22"/>
          <w:szCs w:val="22"/>
        </w:rPr>
        <w:t>Figure S</w:t>
      </w:r>
      <w:r w:rsidRPr="00FA153D">
        <w:rPr>
          <w:noProof/>
          <w:sz w:val="22"/>
          <w:szCs w:val="22"/>
        </w:rPr>
        <w:t>13</w:t>
      </w:r>
      <w:r w:rsidRPr="00FC5603">
        <w:rPr>
          <w:sz w:val="22"/>
          <w:szCs w:val="22"/>
          <w:lang w:val="en-US"/>
        </w:rPr>
        <w:fldChar w:fldCharType="end"/>
      </w:r>
      <w:r>
        <w:rPr>
          <w:sz w:val="22"/>
          <w:szCs w:val="22"/>
          <w:lang w:val="en-US"/>
        </w:rPr>
        <w:t>D)</w:t>
      </w:r>
      <w:r w:rsidRPr="00126CB0">
        <w:rPr>
          <w:sz w:val="22"/>
          <w:szCs w:val="22"/>
          <w:lang w:val="en-US"/>
        </w:rPr>
        <w:t>. Given the change in trend in 2016, the GEE analysis could be by extended by introducing</w:t>
      </w:r>
    </w:p>
    <w:p w14:paraId="470170FC" w14:textId="6DD3E177" w:rsidR="00532601" w:rsidRDefault="001647DC" w:rsidP="007B6A99">
      <w:pPr>
        <w:jc w:val="both"/>
        <w:rPr>
          <w:sz w:val="22"/>
          <w:szCs w:val="22"/>
          <w:lang w:val="en-US"/>
        </w:rPr>
      </w:pPr>
      <w:r>
        <w:rPr>
          <w:noProof/>
          <w:lang w:val="en-US"/>
        </w:rPr>
        <w:drawing>
          <wp:anchor distT="0" distB="0" distL="114300" distR="114300" simplePos="0" relativeHeight="251658240" behindDoc="0" locked="0" layoutInCell="1" allowOverlap="1" wp14:anchorId="48F76CCA" wp14:editId="3D3C714E">
            <wp:simplePos x="0" y="0"/>
            <wp:positionH relativeFrom="column">
              <wp:posOffset>-21199</wp:posOffset>
            </wp:positionH>
            <wp:positionV relativeFrom="page">
              <wp:posOffset>6309360</wp:posOffset>
            </wp:positionV>
            <wp:extent cx="5715000" cy="2857500"/>
            <wp:effectExtent l="0" t="0" r="0" b="0"/>
            <wp:wrapTopAndBottom/>
            <wp:docPr id="1906090536"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0536" name="Picture 1" descr="A graph of different types of graphs&#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14:sizeRelH relativeFrom="margin">
              <wp14:pctWidth>0</wp14:pctWidth>
            </wp14:sizeRelH>
            <wp14:sizeRelV relativeFrom="margin">
              <wp14:pctHeight>0</wp14:pctHeight>
            </wp14:sizeRelV>
          </wp:anchor>
        </w:drawing>
      </w:r>
      <w:r w:rsidR="00532601" w:rsidRPr="00126CB0">
        <w:rPr>
          <w:sz w:val="22"/>
          <w:szCs w:val="22"/>
          <w:lang w:val="en-US"/>
        </w:rPr>
        <w:t xml:space="preserve"> a third time variable and performing a segmented time trend analysis. </w:t>
      </w:r>
      <w:proofErr w:type="gramStart"/>
      <w:r w:rsidR="00532601" w:rsidRPr="00126CB0">
        <w:rPr>
          <w:sz w:val="22"/>
          <w:szCs w:val="22"/>
          <w:lang w:val="en-US"/>
        </w:rPr>
        <w:t>Similar to</w:t>
      </w:r>
      <w:proofErr w:type="gramEnd"/>
      <w:r w:rsidR="00532601" w:rsidRPr="00126CB0">
        <w:rPr>
          <w:sz w:val="22"/>
          <w:szCs w:val="22"/>
          <w:lang w:val="en-US"/>
        </w:rPr>
        <w:t xml:space="preserve"> the pandemic time</w:t>
      </w:r>
      <w:r w:rsidR="00532601">
        <w:rPr>
          <w:sz w:val="22"/>
          <w:szCs w:val="22"/>
          <w:lang w:val="en-US"/>
        </w:rPr>
        <w:t xml:space="preserve"> </w:t>
      </w:r>
      <w:r w:rsidR="00532601" w:rsidRPr="00126CB0">
        <w:rPr>
          <w:sz w:val="22"/>
          <w:szCs w:val="22"/>
          <w:lang w:val="en-US"/>
        </w:rPr>
        <w:t>period, this may result in high uncertainty of estimates due to a low number of time points.</w:t>
      </w:r>
      <w:r>
        <w:rPr>
          <w:sz w:val="22"/>
          <w:szCs w:val="22"/>
          <w:lang w:val="en-US"/>
        </w:rPr>
        <w:t xml:space="preserve"> </w:t>
      </w:r>
      <w:r w:rsidRPr="001647DC">
        <w:rPr>
          <w:sz w:val="22"/>
          <w:szCs w:val="22"/>
          <w:lang w:val="en-US"/>
        </w:rPr>
        <w:t xml:space="preserve">When assuming that all MRSA are fluoroquinolone resistant, the resistance proportion and incidence in resistant infections increase but it does not affect its pre-pandemic trend analysis. When all missing test results are assumed to be susceptible, the trends in resistance proportion and incidence remain unaltered. </w:t>
      </w:r>
      <w:r w:rsidR="007B6A99" w:rsidRPr="007B6A99">
        <w:rPr>
          <w:sz w:val="22"/>
          <w:szCs w:val="22"/>
          <w:lang w:val="en-US"/>
        </w:rPr>
        <w:t>Thus, our main conclusions regarding the declining trend in fluoroquinolone resistance (both in proportion and incidence) remain the unchanged and are thus robust with respect to the</w:t>
      </w:r>
      <w:r w:rsidR="00FC5603">
        <w:rPr>
          <w:sz w:val="22"/>
          <w:szCs w:val="22"/>
          <w:lang w:val="en-US"/>
        </w:rPr>
        <w:t>se</w:t>
      </w:r>
      <w:r w:rsidR="007B6A99" w:rsidRPr="007B6A99">
        <w:rPr>
          <w:sz w:val="22"/>
          <w:szCs w:val="22"/>
          <w:lang w:val="en-US"/>
        </w:rPr>
        <w:t xml:space="preserve"> sensitivity analys</w:t>
      </w:r>
      <w:r w:rsidR="00F70AD7">
        <w:rPr>
          <w:sz w:val="22"/>
          <w:szCs w:val="22"/>
          <w:lang w:val="en-US"/>
        </w:rPr>
        <w:t>e</w:t>
      </w:r>
      <w:r w:rsidR="007B6A99" w:rsidRPr="007B6A99">
        <w:rPr>
          <w:sz w:val="22"/>
          <w:szCs w:val="22"/>
          <w:lang w:val="en-US"/>
        </w:rPr>
        <w:t>s.</w:t>
      </w:r>
    </w:p>
    <w:p w14:paraId="51A4F2E1" w14:textId="47A05B1A" w:rsidR="00532601" w:rsidRDefault="00532601">
      <w:pPr>
        <w:rPr>
          <w:b/>
          <w:bCs/>
          <w:i/>
          <w:iCs/>
          <w:u w:val="single"/>
          <w:lang w:val="en-US"/>
        </w:rPr>
      </w:pPr>
    </w:p>
    <w:p w14:paraId="6393DA01" w14:textId="7A039F0C" w:rsidR="00532601" w:rsidRDefault="00532601" w:rsidP="00532601">
      <w:pPr>
        <w:pStyle w:val="Caption"/>
      </w:pPr>
      <w:bookmarkStart w:id="50" w:name="_Ref166249019"/>
      <w:r>
        <w:t>Figure S</w:t>
      </w:r>
      <w:r>
        <w:fldChar w:fldCharType="begin"/>
      </w:r>
      <w:r>
        <w:instrText xml:space="preserve"> SEQ Figure_S \* ARABIC </w:instrText>
      </w:r>
      <w:r>
        <w:fldChar w:fldCharType="separate"/>
      </w:r>
      <w:r>
        <w:rPr>
          <w:noProof/>
        </w:rPr>
        <w:t>15</w:t>
      </w:r>
      <w:r>
        <w:fldChar w:fldCharType="end"/>
      </w:r>
      <w:bookmarkEnd w:id="50"/>
      <w:r>
        <w:t xml:space="preserve">. Sensitivity analyses for temporal trends of fluoroquinolone resistance for S. aureus infections. </w:t>
      </w:r>
      <w:r w:rsidRPr="00BB4FA3">
        <w:rPr>
          <w:b w:val="0"/>
        </w:rPr>
        <w:t xml:space="preserve">(A-C) Temporal trends in resistance proportion and phenotypic incidence from 2007-2022 for the main and sensitivity analyses.  Two sensitivity analyses were considered: (1) Methicillin resistance as a proxy for fluoroquinolone resistance where missing test results are imputed according to known methicillin susceptibility test results, assuming that there is a perfect correlation between methicillin and fluoroquinolone resistance, (2) All missing test results are susceptible test results where all missing </w:t>
      </w:r>
      <w:r w:rsidRPr="00BB4FA3">
        <w:rPr>
          <w:b w:val="0"/>
        </w:rPr>
        <w:lastRenderedPageBreak/>
        <w:t xml:space="preserve">test results are imputed with susceptible test results. </w:t>
      </w:r>
      <w:r w:rsidRPr="00BB4FA3">
        <w:rPr>
          <w:b w:val="0"/>
          <w:lang w:val="en-US"/>
        </w:rPr>
        <w:t>Bar plots (orange) show respective resistance proportions. Points represent the incidence in infections with susceptible (turquoise), resistant (red), and missing (grey) susceptibility test results. Lines and grey bands are smoothing curves using the</w:t>
      </w:r>
      <w:r w:rsidRPr="00BB4FA3">
        <w:rPr>
          <w:b w:val="0"/>
          <w:i/>
          <w:lang w:val="en-US"/>
        </w:rPr>
        <w:t xml:space="preserve"> locally estimated scatterplot smoothing (loess)</w:t>
      </w:r>
      <w:r w:rsidRPr="00BB4FA3">
        <w:rPr>
          <w:b w:val="0"/>
          <w:lang w:val="en-US"/>
        </w:rPr>
        <w:t xml:space="preserve"> method and corresponding 95% confidence intervals. Dashed vertical lines denote the start of the COVID-19 pandemic era. (D) Average annual percentage change (AAPC) obtained from generalized estimating equations analysis for resistance proportion, and the phenotypic incidence of resistant and susceptible infections and for the main and sensitivity analyses. Points represent point estimates, lines the 95% confidence intervals of the GEE estimates. AAPC larger than zero indicate an increasing trend, coefficients smaller than zero a declining trend in infection incidence.</w:t>
      </w:r>
    </w:p>
    <w:p w14:paraId="5E405E44" w14:textId="2FDE20E8" w:rsidR="00CA3AB1" w:rsidRDefault="00532601" w:rsidP="00CA3AB1">
      <w:pPr>
        <w:rPr>
          <w:b/>
          <w:bCs/>
          <w:u w:val="single"/>
          <w:lang w:val="en-US"/>
        </w:rPr>
      </w:pPr>
      <w:r>
        <w:rPr>
          <w:b/>
          <w:bCs/>
          <w:i/>
          <w:iCs/>
          <w:u w:val="single"/>
          <w:lang w:val="en-US"/>
        </w:rPr>
        <w:br w:type="page"/>
      </w:r>
      <w:r w:rsidR="00CA3AB1" w:rsidRPr="004E2078">
        <w:rPr>
          <w:b/>
          <w:bCs/>
          <w:i/>
          <w:iCs/>
          <w:u w:val="single"/>
          <w:lang w:val="en-US"/>
        </w:rPr>
        <w:lastRenderedPageBreak/>
        <w:t>Pseudomonas aeruginosa</w:t>
      </w:r>
      <w:r w:rsidR="00CA3AB1" w:rsidRPr="004E2078">
        <w:rPr>
          <w:b/>
          <w:bCs/>
          <w:u w:val="single"/>
          <w:lang w:val="en-US"/>
        </w:rPr>
        <w:t xml:space="preserve"> and 3</w:t>
      </w:r>
      <w:r w:rsidR="00CA3AB1" w:rsidRPr="004E2078">
        <w:rPr>
          <w:b/>
          <w:bCs/>
          <w:u w:val="single"/>
          <w:vertAlign w:val="superscript"/>
          <w:lang w:val="en-US"/>
        </w:rPr>
        <w:t>rd</w:t>
      </w:r>
      <w:r w:rsidR="00CA3AB1" w:rsidRPr="004E2078">
        <w:rPr>
          <w:b/>
          <w:bCs/>
          <w:u w:val="single"/>
          <w:lang w:val="en-US"/>
        </w:rPr>
        <w:t xml:space="preserve"> generation cephalosporin resistance</w:t>
      </w:r>
    </w:p>
    <w:p w14:paraId="61DE5F2F" w14:textId="2CFCAEB3" w:rsidR="00532601" w:rsidRPr="004E2078" w:rsidRDefault="00532601" w:rsidP="00532601">
      <w:pPr>
        <w:jc w:val="both"/>
        <w:rPr>
          <w:sz w:val="22"/>
          <w:szCs w:val="22"/>
          <w:lang w:val="en-US"/>
        </w:rPr>
      </w:pPr>
      <w:r>
        <w:rPr>
          <w:sz w:val="22"/>
          <w:szCs w:val="22"/>
          <w:lang w:val="en-US"/>
        </w:rPr>
        <w:t xml:space="preserve">For this example, we performed the sensitivity analysis where </w:t>
      </w:r>
      <w:proofErr w:type="gramStart"/>
      <w:r w:rsidRPr="004E2078">
        <w:rPr>
          <w:i/>
          <w:iCs/>
          <w:sz w:val="22"/>
          <w:szCs w:val="22"/>
          <w:lang w:val="en-US"/>
        </w:rPr>
        <w:t>All</w:t>
      </w:r>
      <w:proofErr w:type="gramEnd"/>
      <w:r w:rsidRPr="004E2078">
        <w:rPr>
          <w:i/>
          <w:iCs/>
          <w:sz w:val="22"/>
          <w:szCs w:val="22"/>
          <w:lang w:val="en-US"/>
        </w:rPr>
        <w:t xml:space="preserve"> missing test results are susceptible test results</w:t>
      </w:r>
      <w:r w:rsidRPr="004E2078">
        <w:rPr>
          <w:sz w:val="22"/>
          <w:szCs w:val="22"/>
          <w:lang w:val="en-US"/>
        </w:rPr>
        <w:t xml:space="preserve"> (see description above)</w:t>
      </w:r>
      <w:r>
        <w:rPr>
          <w:sz w:val="22"/>
          <w:szCs w:val="22"/>
          <w:lang w:val="en-US"/>
        </w:rPr>
        <w:t xml:space="preserve">. </w:t>
      </w:r>
      <w:proofErr w:type="gramStart"/>
      <w:r>
        <w:rPr>
          <w:sz w:val="22"/>
          <w:szCs w:val="22"/>
          <w:lang w:val="en-US"/>
        </w:rPr>
        <w:t>Similar to</w:t>
      </w:r>
      <w:proofErr w:type="gramEnd"/>
      <w:r>
        <w:rPr>
          <w:sz w:val="22"/>
          <w:szCs w:val="22"/>
          <w:lang w:val="en-US"/>
        </w:rPr>
        <w:t xml:space="preserve"> the previous example, </w:t>
      </w:r>
      <w:r w:rsidR="004E2078">
        <w:rPr>
          <w:sz w:val="22"/>
          <w:szCs w:val="22"/>
          <w:lang w:val="en-US"/>
        </w:rPr>
        <w:t xml:space="preserve">we observe an increase in the overall incidence susceptible infections from 2016 </w:t>
      </w:r>
      <w:r>
        <w:rPr>
          <w:sz w:val="22"/>
          <w:szCs w:val="22"/>
          <w:lang w:val="en-US"/>
        </w:rPr>
        <w:t>but</w:t>
      </w:r>
      <w:r w:rsidRPr="00FC5603">
        <w:rPr>
          <w:sz w:val="22"/>
          <w:szCs w:val="22"/>
          <w:lang w:val="en-US"/>
        </w:rPr>
        <w:t xml:space="preserve"> the overall trends remain the same (</w:t>
      </w:r>
      <w:r w:rsidRPr="00FC5603">
        <w:rPr>
          <w:sz w:val="22"/>
          <w:szCs w:val="22"/>
          <w:lang w:val="en-US"/>
        </w:rPr>
        <w:fldChar w:fldCharType="begin"/>
      </w:r>
      <w:r w:rsidRPr="00FC5603">
        <w:rPr>
          <w:sz w:val="22"/>
          <w:szCs w:val="22"/>
          <w:lang w:val="en-US"/>
        </w:rPr>
        <w:instrText xml:space="preserve"> REF _Ref166249075 \h </w:instrText>
      </w:r>
      <w:r>
        <w:rPr>
          <w:sz w:val="22"/>
          <w:szCs w:val="22"/>
          <w:lang w:val="en-US"/>
        </w:rPr>
        <w:instrText xml:space="preserve"> \* MERGEFORMAT </w:instrText>
      </w:r>
      <w:r w:rsidRPr="00FC5603">
        <w:rPr>
          <w:sz w:val="22"/>
          <w:szCs w:val="22"/>
          <w:lang w:val="en-US"/>
        </w:rPr>
      </w:r>
      <w:r w:rsidRPr="00FC5603">
        <w:rPr>
          <w:sz w:val="22"/>
          <w:szCs w:val="22"/>
          <w:lang w:val="en-US"/>
        </w:rPr>
        <w:fldChar w:fldCharType="separate"/>
      </w:r>
      <w:r w:rsidRPr="004E2078">
        <w:rPr>
          <w:sz w:val="22"/>
          <w:szCs w:val="22"/>
        </w:rPr>
        <w:t>Figure S</w:t>
      </w:r>
      <w:r w:rsidRPr="004E2078">
        <w:rPr>
          <w:noProof/>
          <w:sz w:val="22"/>
          <w:szCs w:val="22"/>
        </w:rPr>
        <w:t>14</w:t>
      </w:r>
      <w:r w:rsidRPr="00FC5603">
        <w:rPr>
          <w:sz w:val="22"/>
          <w:szCs w:val="22"/>
          <w:lang w:val="en-US"/>
        </w:rPr>
        <w:fldChar w:fldCharType="end"/>
      </w:r>
      <w:r w:rsidRPr="00FC5603">
        <w:rPr>
          <w:sz w:val="22"/>
          <w:szCs w:val="22"/>
          <w:lang w:val="en-US"/>
        </w:rPr>
        <w:t>). Thus, our</w:t>
      </w:r>
      <w:r w:rsidRPr="007B6A99">
        <w:rPr>
          <w:sz w:val="22"/>
          <w:szCs w:val="22"/>
          <w:lang w:val="en-US"/>
        </w:rPr>
        <w:t xml:space="preserve"> main conclusions regarding the declining trend in </w:t>
      </w:r>
      <w:r>
        <w:rPr>
          <w:sz w:val="22"/>
          <w:szCs w:val="22"/>
          <w:lang w:val="en-US"/>
        </w:rPr>
        <w:t>3</w:t>
      </w:r>
      <w:r w:rsidRPr="004E2078">
        <w:rPr>
          <w:sz w:val="22"/>
          <w:szCs w:val="22"/>
          <w:vertAlign w:val="superscript"/>
          <w:lang w:val="en-US"/>
        </w:rPr>
        <w:t>rd</w:t>
      </w:r>
      <w:r>
        <w:rPr>
          <w:sz w:val="22"/>
          <w:szCs w:val="22"/>
          <w:lang w:val="en-US"/>
        </w:rPr>
        <w:t xml:space="preserve"> generation cephalosporin</w:t>
      </w:r>
      <w:r w:rsidRPr="007B6A99">
        <w:rPr>
          <w:sz w:val="22"/>
          <w:szCs w:val="22"/>
          <w:lang w:val="en-US"/>
        </w:rPr>
        <w:t xml:space="preserve"> resistance (both in proportion and incidence) </w:t>
      </w:r>
      <w:r>
        <w:rPr>
          <w:sz w:val="22"/>
          <w:szCs w:val="22"/>
          <w:lang w:val="en-US"/>
        </w:rPr>
        <w:t xml:space="preserve">for </w:t>
      </w:r>
      <w:r w:rsidRPr="004E2078">
        <w:rPr>
          <w:i/>
          <w:iCs/>
          <w:sz w:val="22"/>
          <w:szCs w:val="22"/>
          <w:lang w:val="en-US"/>
        </w:rPr>
        <w:t>P. aeruginosa</w:t>
      </w:r>
      <w:r>
        <w:rPr>
          <w:sz w:val="22"/>
          <w:szCs w:val="22"/>
          <w:lang w:val="en-US"/>
        </w:rPr>
        <w:t xml:space="preserve"> </w:t>
      </w:r>
      <w:r w:rsidRPr="007B6A99">
        <w:rPr>
          <w:sz w:val="22"/>
          <w:szCs w:val="22"/>
          <w:lang w:val="en-US"/>
        </w:rPr>
        <w:t>remain the unchanged and are thus robust with respect to th</w:t>
      </w:r>
      <w:r>
        <w:rPr>
          <w:sz w:val="22"/>
          <w:szCs w:val="22"/>
          <w:lang w:val="en-US"/>
        </w:rPr>
        <w:t>is</w:t>
      </w:r>
      <w:r w:rsidRPr="007B6A99">
        <w:rPr>
          <w:sz w:val="22"/>
          <w:szCs w:val="22"/>
          <w:lang w:val="en-US"/>
        </w:rPr>
        <w:t xml:space="preserve"> sensitivity analysis.</w:t>
      </w:r>
    </w:p>
    <w:p w14:paraId="30FA2A00" w14:textId="77777777" w:rsidR="00532601" w:rsidRDefault="00532601" w:rsidP="00CA3AB1">
      <w:pPr>
        <w:rPr>
          <w:b/>
          <w:bCs/>
          <w:u w:val="single"/>
          <w:lang w:val="en-US"/>
        </w:rPr>
      </w:pPr>
    </w:p>
    <w:p w14:paraId="5F3E2B38" w14:textId="2612E40E" w:rsidR="00532601" w:rsidRDefault="00532601" w:rsidP="00CA3AB1">
      <w:pPr>
        <w:rPr>
          <w:b/>
          <w:bCs/>
          <w:u w:val="single"/>
          <w:lang w:val="en-US"/>
        </w:rPr>
      </w:pPr>
      <w:r>
        <w:rPr>
          <w:noProof/>
          <w:sz w:val="22"/>
          <w:szCs w:val="22"/>
          <w:lang w:val="en-US"/>
        </w:rPr>
        <w:drawing>
          <wp:inline distT="0" distB="0" distL="0" distR="0" wp14:anchorId="69F05323" wp14:editId="6F48463F">
            <wp:extent cx="5715000" cy="2857500"/>
            <wp:effectExtent l="0" t="0" r="0" b="0"/>
            <wp:docPr id="628614848"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54902" name="Picture 1" descr="A graph of different types of graph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1569F2F4" w14:textId="6F82B04C" w:rsidR="00532601" w:rsidRPr="00C17801" w:rsidRDefault="00532601" w:rsidP="00532601">
      <w:pPr>
        <w:pStyle w:val="Caption"/>
        <w:rPr>
          <w:b w:val="0"/>
          <w:bCs/>
        </w:rPr>
      </w:pPr>
      <w:bookmarkStart w:id="51" w:name="_Ref166249075"/>
      <w:r>
        <w:t>Figure S</w:t>
      </w:r>
      <w:r>
        <w:fldChar w:fldCharType="begin"/>
      </w:r>
      <w:r>
        <w:instrText xml:space="preserve"> SEQ Figure_S \* ARABIC </w:instrText>
      </w:r>
      <w:r>
        <w:fldChar w:fldCharType="separate"/>
      </w:r>
      <w:r>
        <w:rPr>
          <w:noProof/>
        </w:rPr>
        <w:t>16</w:t>
      </w:r>
      <w:r>
        <w:fldChar w:fldCharType="end"/>
      </w:r>
      <w:bookmarkEnd w:id="51"/>
      <w:r>
        <w:t>. Sensitivity analyses for temporal trends of 3</w:t>
      </w:r>
      <w:r w:rsidRPr="00222327">
        <w:rPr>
          <w:vertAlign w:val="superscript"/>
        </w:rPr>
        <w:t>rd</w:t>
      </w:r>
      <w:r>
        <w:t xml:space="preserve"> generation cephalosporin resistance for </w:t>
      </w:r>
      <w:r w:rsidRPr="00222327">
        <w:rPr>
          <w:i/>
        </w:rPr>
        <w:t>P. aeruginosa</w:t>
      </w:r>
      <w:r>
        <w:t xml:space="preserve"> infections. </w:t>
      </w:r>
      <w:r w:rsidRPr="00C17801">
        <w:rPr>
          <w:b w:val="0"/>
          <w:bCs/>
        </w:rPr>
        <w:t xml:space="preserve">(A-B) Temporal trends in resistance proportion and phenotypic incidence from 2007-2022 for the main and sensitivity analysis. In the sensitivity analysis all missing test results are susceptible test results (all missing test results are imputed with susceptible test results). </w:t>
      </w:r>
      <w:r w:rsidRPr="00C17801">
        <w:rPr>
          <w:b w:val="0"/>
          <w:bCs/>
          <w:lang w:val="en-US"/>
        </w:rPr>
        <w:t>Bar plots (orange) show respective resistance proportions. Points represent the incidence in infections with susceptible (turquoise), resistant (red), and missing (grey) susceptibility test results. Lines and grey bands are smoothing curves using the</w:t>
      </w:r>
      <w:r w:rsidRPr="00C17801">
        <w:rPr>
          <w:b w:val="0"/>
          <w:bCs/>
          <w:i/>
          <w:lang w:val="en-US"/>
        </w:rPr>
        <w:t xml:space="preserve"> locally estimated scatterplot smoothing (loess)</w:t>
      </w:r>
      <w:r w:rsidRPr="00C17801">
        <w:rPr>
          <w:b w:val="0"/>
          <w:bCs/>
          <w:lang w:val="en-US"/>
        </w:rPr>
        <w:t xml:space="preserve"> method and corresponding 95% confidence intervals. Dashed vertical lines denote the start of the COVID-19 pandemic era. (C) Average annual percentage change (AAPC) obtained from generalized estimating equations analysis for resistance proportion, and the phenotypic incidence of resistant and susceptible infections and for the main and sensitivity analyses. Points represent point estimates, lines the 95% confidence intervals of the GEE estimates. AAPC larger than zero indicate an increasing trend, coefficients smaller than zero a declining trend in infection incidence.</w:t>
      </w:r>
    </w:p>
    <w:p w14:paraId="7BAB2306" w14:textId="77777777" w:rsidR="00532601" w:rsidRPr="00532601" w:rsidRDefault="00532601" w:rsidP="00CA3AB1">
      <w:pPr>
        <w:rPr>
          <w:b/>
          <w:bCs/>
          <w:u w:val="single"/>
          <w:lang w:val="en-US"/>
        </w:rPr>
      </w:pPr>
    </w:p>
    <w:p w14:paraId="241F2DC9" w14:textId="21D794FD" w:rsidR="002A087E" w:rsidRPr="00532601" w:rsidRDefault="002A087E" w:rsidP="0065657A">
      <w:pPr>
        <w:pStyle w:val="Heading3"/>
        <w:rPr>
          <w:lang w:val="en-US"/>
        </w:rPr>
      </w:pPr>
      <w:bookmarkStart w:id="52" w:name="_Toc169512187"/>
      <w:r>
        <w:rPr>
          <w:lang w:val="en-US"/>
        </w:rPr>
        <w:t>S</w:t>
      </w:r>
      <w:r w:rsidR="00650F3D">
        <w:rPr>
          <w:lang w:val="en-US"/>
        </w:rPr>
        <w:t>6</w:t>
      </w:r>
      <w:r>
        <w:rPr>
          <w:lang w:val="en-US"/>
        </w:rPr>
        <w:t>.</w:t>
      </w:r>
      <w:r w:rsidR="009E5E42">
        <w:rPr>
          <w:lang w:val="en-US"/>
        </w:rPr>
        <w:t>3.3</w:t>
      </w:r>
      <w:r>
        <w:rPr>
          <w:lang w:val="en-US"/>
        </w:rPr>
        <w:t xml:space="preserve"> Distribution of missing susceptibility test results across different complexity levels</w:t>
      </w:r>
      <w:bookmarkEnd w:id="52"/>
      <w:r>
        <w:rPr>
          <w:lang w:val="en-US"/>
        </w:rPr>
        <w:t xml:space="preserve"> </w:t>
      </w:r>
    </w:p>
    <w:p w14:paraId="0BA08D1A" w14:textId="77777777" w:rsidR="007F7415" w:rsidRDefault="007F7415">
      <w:pPr>
        <w:rPr>
          <w:lang w:val="en-US"/>
        </w:rPr>
      </w:pPr>
    </w:p>
    <w:p w14:paraId="1948663C" w14:textId="77777777" w:rsidR="00DF1F5C" w:rsidRDefault="007F7415" w:rsidP="00DF1F5C">
      <w:pPr>
        <w:keepNext/>
        <w:jc w:val="both"/>
        <w:rPr>
          <w:sz w:val="22"/>
          <w:szCs w:val="22"/>
          <w:lang w:val="en-US"/>
        </w:rPr>
      </w:pPr>
      <w:r w:rsidRPr="00532601">
        <w:rPr>
          <w:sz w:val="22"/>
          <w:szCs w:val="22"/>
          <w:lang w:val="en-US"/>
        </w:rPr>
        <w:t>Individual VA Medical Centers are allowed to develop and implement their own policies for reporting antimicrobial susceptibility results. However, the Veterans Health Administration Pathology and Laboratory Medicine Service provides overall guidance to VA facilities and supports adherence to the interpretive criteria established by the Clinical and Laboratory Standards Institute (CLSI). Hence, we expect that practices are more similar among VA hospitals compared to a random sample of US hospitals. We do not have information on the exact policies and reasons for missing susceptibility test results for each facility</w:t>
      </w:r>
      <w:r w:rsidR="009B0EF7">
        <w:rPr>
          <w:sz w:val="22"/>
          <w:szCs w:val="22"/>
          <w:lang w:val="en-US"/>
        </w:rPr>
        <w:t xml:space="preserve"> and expect that these may vary by the complexity level of the facility</w:t>
      </w:r>
      <w:r w:rsidRPr="00DF1F5C">
        <w:rPr>
          <w:sz w:val="22"/>
          <w:szCs w:val="22"/>
          <w:lang w:val="en-US"/>
        </w:rPr>
        <w:t>.</w:t>
      </w:r>
      <w:r w:rsidR="00095C12">
        <w:rPr>
          <w:sz w:val="22"/>
          <w:szCs w:val="22"/>
          <w:lang w:val="en-US"/>
        </w:rPr>
        <w:t xml:space="preserve"> We explored the</w:t>
      </w:r>
      <w:r w:rsidR="00325BD7">
        <w:rPr>
          <w:sz w:val="22"/>
          <w:szCs w:val="22"/>
          <w:lang w:val="en-US"/>
        </w:rPr>
        <w:t xml:space="preserve"> </w:t>
      </w:r>
      <w:r w:rsidR="009B0EF7" w:rsidRPr="009B0EF7">
        <w:rPr>
          <w:sz w:val="22"/>
          <w:szCs w:val="22"/>
          <w:lang w:val="en-US"/>
        </w:rPr>
        <w:t xml:space="preserve">proportion of missing susceptibility test results for fluoroquinolones, 3rd generation cephalosporins, and carbapenems stratified by facility complexity level (Figures S15-17). Generally, the missingness proportion and its distribution across facility complexity levels varies across different pathogens. </w:t>
      </w:r>
      <w:r w:rsidR="009B0EF7">
        <w:rPr>
          <w:sz w:val="22"/>
          <w:szCs w:val="22"/>
          <w:lang w:val="en-US"/>
        </w:rPr>
        <w:t xml:space="preserve">For gram-negative organisms, the missingness proportion for these three drug classes tends to be higher in facilities with low complexities compared to with high complexities. In contrast, </w:t>
      </w:r>
      <w:r w:rsidR="00DF1F5C">
        <w:rPr>
          <w:sz w:val="22"/>
          <w:szCs w:val="22"/>
          <w:lang w:val="en-US"/>
        </w:rPr>
        <w:t xml:space="preserve">the proportion of </w:t>
      </w:r>
      <w:r w:rsidR="009B0EF7">
        <w:rPr>
          <w:sz w:val="22"/>
          <w:szCs w:val="22"/>
          <w:lang w:val="en-US"/>
        </w:rPr>
        <w:t xml:space="preserve">missing fluoroquinolone susceptibility test results are lower in facilities with lower complexities than for those with higher </w:t>
      </w:r>
      <w:r w:rsidR="00DF1F5C">
        <w:rPr>
          <w:sz w:val="22"/>
          <w:szCs w:val="22"/>
          <w:lang w:val="en-US"/>
        </w:rPr>
        <w:t>complexities</w:t>
      </w:r>
      <w:r w:rsidR="009B0EF7">
        <w:rPr>
          <w:sz w:val="22"/>
          <w:szCs w:val="22"/>
          <w:lang w:val="en-US"/>
        </w:rPr>
        <w:t xml:space="preserve"> for </w:t>
      </w:r>
      <w:r w:rsidR="009B0EF7" w:rsidRPr="00DF1F5C">
        <w:rPr>
          <w:i/>
          <w:iCs/>
          <w:sz w:val="22"/>
          <w:szCs w:val="22"/>
          <w:lang w:val="en-US"/>
        </w:rPr>
        <w:t>S. aureus</w:t>
      </w:r>
      <w:r w:rsidR="009B0EF7">
        <w:rPr>
          <w:sz w:val="22"/>
          <w:szCs w:val="22"/>
          <w:lang w:val="en-US"/>
        </w:rPr>
        <w:t xml:space="preserve"> and </w:t>
      </w:r>
      <w:r w:rsidR="009B0EF7" w:rsidRPr="00DF1F5C">
        <w:rPr>
          <w:i/>
          <w:iCs/>
          <w:sz w:val="22"/>
          <w:szCs w:val="22"/>
          <w:lang w:val="en-US"/>
        </w:rPr>
        <w:t>E. faecium</w:t>
      </w:r>
      <w:r w:rsidR="009B0EF7">
        <w:rPr>
          <w:sz w:val="22"/>
          <w:szCs w:val="22"/>
          <w:lang w:val="en-US"/>
        </w:rPr>
        <w:t xml:space="preserve">. Thus, there are </w:t>
      </w:r>
      <w:r w:rsidR="009B0EF7">
        <w:rPr>
          <w:sz w:val="22"/>
          <w:szCs w:val="22"/>
          <w:lang w:val="en-US"/>
        </w:rPr>
        <w:lastRenderedPageBreak/>
        <w:t xml:space="preserve">differences in reporting practices </w:t>
      </w:r>
      <w:r w:rsidR="00DF1F5C">
        <w:rPr>
          <w:sz w:val="22"/>
          <w:szCs w:val="22"/>
          <w:lang w:val="en-US"/>
        </w:rPr>
        <w:t>among facilities with different complexity levels. In our time trend analyses, we included facility complexity level as a covariate to adjust for these differences.</w:t>
      </w:r>
    </w:p>
    <w:p w14:paraId="4EAE6E55" w14:textId="294D6F72" w:rsidR="00095C12" w:rsidRDefault="00DF1F5C" w:rsidP="00DF1F5C">
      <w:pPr>
        <w:keepNext/>
        <w:jc w:val="both"/>
        <w:rPr>
          <w:b/>
          <w:bCs/>
        </w:rPr>
      </w:pPr>
      <w:r>
        <w:rPr>
          <w:sz w:val="22"/>
          <w:szCs w:val="22"/>
          <w:lang w:val="en-US"/>
        </w:rPr>
        <w:t xml:space="preserve">   </w:t>
      </w:r>
      <w:r w:rsidR="00786DE5">
        <w:rPr>
          <w:noProof/>
        </w:rPr>
        <w:drawing>
          <wp:inline distT="0" distB="0" distL="0" distR="0" wp14:anchorId="51E16AA7" wp14:editId="506F0E13">
            <wp:extent cx="5731510" cy="2865755"/>
            <wp:effectExtent l="0" t="0" r="0" b="4445"/>
            <wp:docPr id="124608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82652" name="Picture 1246082652"/>
                    <pic:cNvPicPr/>
                  </pic:nvPicPr>
                  <pic:blipFill>
                    <a:blip r:embed="rId2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r w:rsidR="00E42F75" w:rsidRPr="00DF1F5C">
        <w:rPr>
          <w:b/>
          <w:bCs/>
          <w:sz w:val="18"/>
          <w:szCs w:val="18"/>
        </w:rPr>
        <w:t>Figure S</w:t>
      </w:r>
      <w:r w:rsidR="00E42F75" w:rsidRPr="00DF1F5C">
        <w:rPr>
          <w:b/>
          <w:bCs/>
          <w:sz w:val="18"/>
          <w:szCs w:val="18"/>
        </w:rPr>
        <w:fldChar w:fldCharType="begin"/>
      </w:r>
      <w:r w:rsidR="00E42F75" w:rsidRPr="00DF1F5C">
        <w:rPr>
          <w:b/>
          <w:bCs/>
          <w:sz w:val="18"/>
          <w:szCs w:val="18"/>
        </w:rPr>
        <w:instrText xml:space="preserve"> SEQ Figure_S \* ARABIC </w:instrText>
      </w:r>
      <w:r w:rsidR="00E42F75" w:rsidRPr="00DF1F5C">
        <w:rPr>
          <w:b/>
          <w:bCs/>
          <w:sz w:val="18"/>
          <w:szCs w:val="18"/>
        </w:rPr>
        <w:fldChar w:fldCharType="separate"/>
      </w:r>
      <w:r w:rsidR="00546FF0">
        <w:rPr>
          <w:b/>
          <w:bCs/>
          <w:noProof/>
          <w:sz w:val="18"/>
          <w:szCs w:val="18"/>
        </w:rPr>
        <w:t>17</w:t>
      </w:r>
      <w:r w:rsidR="00E42F75" w:rsidRPr="00DF1F5C">
        <w:rPr>
          <w:b/>
          <w:bCs/>
          <w:sz w:val="18"/>
          <w:szCs w:val="18"/>
        </w:rPr>
        <w:fldChar w:fldCharType="end"/>
      </w:r>
      <w:r w:rsidR="00E42F75" w:rsidRPr="00DF1F5C">
        <w:rPr>
          <w:b/>
          <w:bCs/>
          <w:sz w:val="18"/>
          <w:szCs w:val="18"/>
        </w:rPr>
        <w:t xml:space="preserve">. </w:t>
      </w:r>
      <w:r w:rsidR="00786DE5" w:rsidRPr="00DF1F5C">
        <w:rPr>
          <w:b/>
          <w:bCs/>
          <w:sz w:val="18"/>
          <w:szCs w:val="18"/>
        </w:rPr>
        <w:t>Missing fluoroquinolone</w:t>
      </w:r>
      <w:r w:rsidR="00E42F75" w:rsidRPr="00DF1F5C">
        <w:rPr>
          <w:b/>
          <w:bCs/>
          <w:sz w:val="18"/>
          <w:szCs w:val="18"/>
        </w:rPr>
        <w:t xml:space="preserve"> susceptibility test results for all nine target organisms</w:t>
      </w:r>
      <w:r w:rsidR="00786DE5" w:rsidRPr="00DF1F5C">
        <w:rPr>
          <w:b/>
          <w:bCs/>
          <w:sz w:val="18"/>
          <w:szCs w:val="18"/>
        </w:rPr>
        <w:t xml:space="preserve"> stratified by facility complexity level</w:t>
      </w:r>
      <w:r w:rsidR="00E42F75" w:rsidRPr="00DF1F5C">
        <w:rPr>
          <w:b/>
          <w:bCs/>
          <w:sz w:val="18"/>
          <w:szCs w:val="18"/>
        </w:rPr>
        <w:t>.</w:t>
      </w:r>
      <w:r w:rsidR="00E42F75" w:rsidRPr="00DF1F5C">
        <w:rPr>
          <w:sz w:val="18"/>
          <w:szCs w:val="18"/>
        </w:rPr>
        <w:t xml:space="preserve"> </w:t>
      </w:r>
      <w:r w:rsidR="00E42F75" w:rsidRPr="00DF1F5C">
        <w:rPr>
          <w:bCs/>
          <w:sz w:val="18"/>
          <w:szCs w:val="18"/>
        </w:rPr>
        <w:t>The missingness proportion was calculated as the percentage of 30-day incidence isolates with missing susceptibility test results per year</w:t>
      </w:r>
      <w:r w:rsidR="00786DE5" w:rsidRPr="00DF1F5C">
        <w:rPr>
          <w:bCs/>
          <w:sz w:val="18"/>
          <w:szCs w:val="18"/>
        </w:rPr>
        <w:t xml:space="preserve"> and is depicted as a bar plot. 95% confidence intervals were calculated using the normal approximation of binomial proportion confidence intervals.</w:t>
      </w:r>
      <w:r w:rsidR="00786DE5" w:rsidRPr="00DF1F5C">
        <w:rPr>
          <w:bCs/>
          <w:sz w:val="16"/>
          <w:szCs w:val="16"/>
        </w:rPr>
        <w:t xml:space="preserve"> </w:t>
      </w:r>
    </w:p>
    <w:p w14:paraId="1E679556" w14:textId="77777777" w:rsidR="00E42F75" w:rsidRDefault="00E42F75" w:rsidP="00E42F75"/>
    <w:p w14:paraId="362C6C70" w14:textId="77777777" w:rsidR="00E42F75" w:rsidRPr="00E42F75" w:rsidRDefault="00E42F75" w:rsidP="00E42F75"/>
    <w:p w14:paraId="6A24E3EC" w14:textId="6A80470A" w:rsidR="00E42F75" w:rsidRDefault="00786DE5" w:rsidP="00E42F75">
      <w:pPr>
        <w:keepNext/>
        <w:jc w:val="both"/>
      </w:pPr>
      <w:r>
        <w:rPr>
          <w:noProof/>
        </w:rPr>
        <w:drawing>
          <wp:inline distT="0" distB="0" distL="0" distR="0" wp14:anchorId="56323D6C" wp14:editId="6EC8EA5B">
            <wp:extent cx="5731510" cy="2865755"/>
            <wp:effectExtent l="0" t="0" r="0" b="4445"/>
            <wp:docPr id="405564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4719" name="Picture 405564719"/>
                    <pic:cNvPicPr/>
                  </pic:nvPicPr>
                  <pic:blipFill>
                    <a:blip r:embed="rId2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C7575C" w14:textId="1AB92EA0" w:rsidR="00E42F75" w:rsidRDefault="00E42F75" w:rsidP="000344B1">
      <w:pPr>
        <w:pStyle w:val="Caption"/>
        <w:rPr>
          <w:bCs/>
        </w:rPr>
      </w:pPr>
      <w:r>
        <w:t>Figure S</w:t>
      </w:r>
      <w:r>
        <w:fldChar w:fldCharType="begin"/>
      </w:r>
      <w:r>
        <w:instrText xml:space="preserve"> SEQ Figure_S \* ARABIC </w:instrText>
      </w:r>
      <w:r>
        <w:fldChar w:fldCharType="separate"/>
      </w:r>
      <w:r w:rsidR="00546FF0">
        <w:rPr>
          <w:noProof/>
        </w:rPr>
        <w:t>18</w:t>
      </w:r>
      <w:r>
        <w:fldChar w:fldCharType="end"/>
      </w:r>
      <w:r>
        <w:t xml:space="preserve">. </w:t>
      </w:r>
      <w:r w:rsidR="00786DE5">
        <w:t>Missing</w:t>
      </w:r>
      <w:r>
        <w:t xml:space="preserve"> 3</w:t>
      </w:r>
      <w:r w:rsidRPr="00E42F75">
        <w:rPr>
          <w:vertAlign w:val="superscript"/>
        </w:rPr>
        <w:t>rd</w:t>
      </w:r>
      <w:r>
        <w:t xml:space="preserve"> generation cephalosporin susceptibility test results for </w:t>
      </w:r>
      <w:r w:rsidRPr="00786DE5">
        <w:rPr>
          <w:i/>
        </w:rPr>
        <w:t>E. coli, K. pneumoniae, E. cloacae, Serratia marcescens, P. aeruginosa</w:t>
      </w:r>
      <w:r>
        <w:t xml:space="preserve">, and </w:t>
      </w:r>
      <w:r w:rsidRPr="00786DE5">
        <w:rPr>
          <w:i/>
        </w:rPr>
        <w:t>Acinetobacter s</w:t>
      </w:r>
      <w:r>
        <w:t>p</w:t>
      </w:r>
      <w:r w:rsidR="00786DE5">
        <w:t>. stratified by facility complexity level</w:t>
      </w:r>
      <w:r>
        <w:t xml:space="preserve">. </w:t>
      </w:r>
      <w:r>
        <w:rPr>
          <w:bCs/>
        </w:rPr>
        <w:t>The missingness proportion was calculated as the percentage of 30-day incidence isolates with missing susceptibility test results per yea</w:t>
      </w:r>
      <w:r w:rsidR="00786DE5">
        <w:rPr>
          <w:bCs/>
        </w:rPr>
        <w:t>r and is depicted as a bar plot. 95% confidence intervals were calculated using the normal approximation of binomial proportion confidence intervals.</w:t>
      </w:r>
    </w:p>
    <w:p w14:paraId="4AE09F39" w14:textId="77777777" w:rsidR="00E42F75" w:rsidRPr="00E42F75" w:rsidRDefault="00E42F75" w:rsidP="00E42F75"/>
    <w:p w14:paraId="0E1240D7" w14:textId="24440F21" w:rsidR="00E42F75" w:rsidRDefault="00786DE5" w:rsidP="00E42F75">
      <w:pPr>
        <w:keepNext/>
        <w:jc w:val="both"/>
      </w:pPr>
      <w:r>
        <w:rPr>
          <w:noProof/>
        </w:rPr>
        <w:lastRenderedPageBreak/>
        <w:drawing>
          <wp:inline distT="0" distB="0" distL="0" distR="0" wp14:anchorId="6205275F" wp14:editId="4CBC9348">
            <wp:extent cx="5731510" cy="2865755"/>
            <wp:effectExtent l="0" t="0" r="0" b="4445"/>
            <wp:docPr id="1853326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6458" name="Picture 1853326458"/>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625C371" w14:textId="4D3E6B2B" w:rsidR="00E42F75" w:rsidRPr="00BE5A0D" w:rsidRDefault="00E42F75" w:rsidP="00BE5A0D">
      <w:pPr>
        <w:pStyle w:val="Caption"/>
        <w:rPr>
          <w:bCs/>
        </w:rPr>
      </w:pPr>
      <w:r>
        <w:t>Figure S</w:t>
      </w:r>
      <w:r>
        <w:fldChar w:fldCharType="begin"/>
      </w:r>
      <w:r>
        <w:instrText xml:space="preserve"> SEQ Figure_S \* ARABIC </w:instrText>
      </w:r>
      <w:r>
        <w:fldChar w:fldCharType="separate"/>
      </w:r>
      <w:r w:rsidR="00546FF0">
        <w:rPr>
          <w:noProof/>
        </w:rPr>
        <w:t>19</w:t>
      </w:r>
      <w:r>
        <w:fldChar w:fldCharType="end"/>
      </w:r>
      <w:r>
        <w:t xml:space="preserve">. </w:t>
      </w:r>
      <w:r w:rsidR="00786DE5">
        <w:t>M</w:t>
      </w:r>
      <w:r>
        <w:t xml:space="preserve">issing carbapenem susceptibility test results for </w:t>
      </w:r>
      <w:r w:rsidRPr="00786DE5">
        <w:rPr>
          <w:i/>
        </w:rPr>
        <w:t>E. coli, K. pneumoniae, E. cloacae, Serratia marcescens, P. aeruginosa</w:t>
      </w:r>
      <w:r>
        <w:t xml:space="preserve">, and </w:t>
      </w:r>
      <w:r w:rsidRPr="00786DE5">
        <w:rPr>
          <w:i/>
        </w:rPr>
        <w:t>Acinetobacter sp.</w:t>
      </w:r>
      <w:r>
        <w:t xml:space="preserve"> </w:t>
      </w:r>
      <w:r w:rsidR="00786DE5">
        <w:t xml:space="preserve">stratified by facility complexity level. </w:t>
      </w:r>
      <w:r>
        <w:rPr>
          <w:bCs/>
        </w:rPr>
        <w:t>The missingness proportion was calculated as the percentage of 30-day incidence isolates with missing susceptibility test results per year</w:t>
      </w:r>
      <w:r w:rsidR="00786DE5">
        <w:rPr>
          <w:bCs/>
        </w:rPr>
        <w:t xml:space="preserve"> and is depicted as a bar plot. 95% confidence intervals were calculated using the normal approximation of binomial proportion confidence intervals.</w:t>
      </w:r>
      <w:r>
        <w:rPr>
          <w:lang w:val="en-US"/>
        </w:rPr>
        <w:br w:type="page"/>
      </w:r>
    </w:p>
    <w:p w14:paraId="798B3B11" w14:textId="53A4B649" w:rsidR="00AB1844" w:rsidRPr="00125419" w:rsidRDefault="00A538B1" w:rsidP="00783B4C">
      <w:pPr>
        <w:jc w:val="both"/>
        <w:rPr>
          <w:lang w:val="en-US"/>
        </w:rPr>
      </w:pPr>
      <w:r>
        <w:rPr>
          <w:lang w:val="en-US"/>
        </w:rPr>
        <w:lastRenderedPageBreak/>
        <w:t>References</w:t>
      </w:r>
    </w:p>
    <w:p w14:paraId="7CC2A60C" w14:textId="77777777" w:rsidR="00AB1844" w:rsidRPr="00125419" w:rsidRDefault="00AB1844" w:rsidP="00783B4C">
      <w:pPr>
        <w:jc w:val="both"/>
        <w:rPr>
          <w:lang w:val="en-US"/>
        </w:rPr>
      </w:pPr>
    </w:p>
    <w:sdt>
      <w:sdtPr>
        <w:tag w:val="MENDELEY_BIBLIOGRAPHY"/>
        <w:id w:val="-59717595"/>
        <w:placeholder>
          <w:docPart w:val="DefaultPlaceholder_-1854013440"/>
        </w:placeholder>
      </w:sdtPr>
      <w:sdtContent>
        <w:p w14:paraId="5FC3BA5E" w14:textId="77777777" w:rsidR="00D83908" w:rsidRDefault="00D83908">
          <w:pPr>
            <w:autoSpaceDE w:val="0"/>
            <w:autoSpaceDN w:val="0"/>
            <w:ind w:hanging="640"/>
            <w:divId w:val="533538199"/>
            <w:rPr>
              <w:rFonts w:eastAsia="Times New Roman"/>
            </w:rPr>
          </w:pPr>
          <w:r>
            <w:rPr>
              <w:rFonts w:eastAsia="Times New Roman"/>
            </w:rPr>
            <w:t>1.</w:t>
          </w:r>
          <w:r>
            <w:rPr>
              <w:rFonts w:eastAsia="Times New Roman"/>
            </w:rPr>
            <w:tab/>
          </w:r>
          <w:proofErr w:type="spellStart"/>
          <w:r>
            <w:rPr>
              <w:rFonts w:eastAsia="Times New Roman"/>
            </w:rPr>
            <w:t>Broskey</w:t>
          </w:r>
          <w:proofErr w:type="spellEnd"/>
          <w:r>
            <w:rPr>
              <w:rFonts w:eastAsia="Times New Roman"/>
            </w:rPr>
            <w:t xml:space="preserve">, S. Presentation for the Committee on Facilities Staffing Requirements for Veterans Health Administration. </w:t>
          </w:r>
          <w:r>
            <w:rPr>
              <w:rFonts w:eastAsia="Times New Roman"/>
              <w:i/>
              <w:iCs/>
            </w:rPr>
            <w:t>VHA Engineering Resourcing and Staffing Study Sponsor Presentation for National Academies Committee</w:t>
          </w:r>
          <w:r>
            <w:rPr>
              <w:rFonts w:eastAsia="Times New Roman"/>
            </w:rPr>
            <w:t xml:space="preserve"> Preprint at (2018).</w:t>
          </w:r>
        </w:p>
        <w:p w14:paraId="72D18B6D" w14:textId="77777777" w:rsidR="00D83908" w:rsidRDefault="00D83908">
          <w:pPr>
            <w:autoSpaceDE w:val="0"/>
            <w:autoSpaceDN w:val="0"/>
            <w:ind w:hanging="640"/>
            <w:divId w:val="854346544"/>
            <w:rPr>
              <w:rFonts w:eastAsia="Times New Roman"/>
            </w:rPr>
          </w:pPr>
          <w:r>
            <w:rPr>
              <w:rFonts w:eastAsia="Times New Roman"/>
            </w:rPr>
            <w:t>2.</w:t>
          </w:r>
          <w:r>
            <w:rPr>
              <w:rFonts w:eastAsia="Times New Roman"/>
            </w:rPr>
            <w:tab/>
            <w:t xml:space="preserve">National Academies of Sciences, E. and M., Division of </w:t>
          </w:r>
          <w:proofErr w:type="spellStart"/>
          <w:r>
            <w:rPr>
              <w:rFonts w:eastAsia="Times New Roman"/>
            </w:rPr>
            <w:t>Behavioral</w:t>
          </w:r>
          <w:proofErr w:type="spellEnd"/>
          <w:r>
            <w:rPr>
              <w:rFonts w:eastAsia="Times New Roman"/>
            </w:rPr>
            <w:t xml:space="preserve"> and Social Sciences and Education; Board on Human-Systems Integration, Division on Engineering and Physical Sciences, Board on Infrastructure and the Constructed Environment &amp; Committee on Facilities Staffing Requirements for Veterans Health Administration. </w:t>
          </w:r>
          <w:r>
            <w:rPr>
              <w:rFonts w:eastAsia="Times New Roman"/>
              <w:i/>
              <w:iCs/>
            </w:rPr>
            <w:t>Facilities Staffing Requirements for the Veterans Health Administration-Resource Planning and Methodology for the Future</w:t>
          </w:r>
          <w:r>
            <w:rPr>
              <w:rFonts w:eastAsia="Times New Roman"/>
            </w:rPr>
            <w:t>. (National Academies Press (US), Washington (DC), 2019).</w:t>
          </w:r>
        </w:p>
        <w:p w14:paraId="6BDEC849" w14:textId="77777777" w:rsidR="00D83908" w:rsidRDefault="00D83908">
          <w:pPr>
            <w:autoSpaceDE w:val="0"/>
            <w:autoSpaceDN w:val="0"/>
            <w:ind w:hanging="640"/>
            <w:divId w:val="39791511"/>
            <w:rPr>
              <w:rFonts w:eastAsia="Times New Roman"/>
            </w:rPr>
          </w:pPr>
          <w:r>
            <w:rPr>
              <w:rFonts w:eastAsia="Times New Roman"/>
            </w:rPr>
            <w:t>3.</w:t>
          </w:r>
          <w:r>
            <w:rPr>
              <w:rFonts w:eastAsia="Times New Roman"/>
            </w:rPr>
            <w:tab/>
          </w:r>
          <w:proofErr w:type="spellStart"/>
          <w:r>
            <w:rPr>
              <w:rFonts w:eastAsia="Times New Roman"/>
            </w:rPr>
            <w:t>Centers</w:t>
          </w:r>
          <w:proofErr w:type="spellEnd"/>
          <w:r>
            <w:rPr>
              <w:rFonts w:eastAsia="Times New Roman"/>
            </w:rPr>
            <w:t xml:space="preserve"> for Disease Control and Prevention. NHSN Antimicrobial Use and Resistance (AUR) Module Protocol. (2023).</w:t>
          </w:r>
        </w:p>
        <w:p w14:paraId="5CB683BE" w14:textId="77777777" w:rsidR="00D83908" w:rsidRDefault="00D83908">
          <w:pPr>
            <w:autoSpaceDE w:val="0"/>
            <w:autoSpaceDN w:val="0"/>
            <w:ind w:hanging="640"/>
            <w:divId w:val="1309479958"/>
            <w:rPr>
              <w:rFonts w:eastAsia="Times New Roman"/>
            </w:rPr>
          </w:pPr>
          <w:r>
            <w:rPr>
              <w:rFonts w:eastAsia="Times New Roman"/>
            </w:rPr>
            <w:t>4.</w:t>
          </w:r>
          <w:r>
            <w:rPr>
              <w:rFonts w:eastAsia="Times New Roman"/>
            </w:rPr>
            <w:tab/>
            <w:t xml:space="preserve">Van Santen, K. L. </w:t>
          </w:r>
          <w:r>
            <w:rPr>
              <w:rFonts w:eastAsia="Times New Roman"/>
              <w:i/>
              <w:iCs/>
            </w:rPr>
            <w:t>et al.</w:t>
          </w:r>
          <w:r>
            <w:rPr>
              <w:rFonts w:eastAsia="Times New Roman"/>
            </w:rPr>
            <w:t xml:space="preserve"> The Standardized Antimicrobial Administration Ratio: A New Metric for Measuring and Comparing Antibiotic Use. </w:t>
          </w:r>
          <w:r>
            <w:rPr>
              <w:rFonts w:eastAsia="Times New Roman"/>
              <w:i/>
              <w:iCs/>
            </w:rPr>
            <w:t>Clinical Infectious Diseases</w:t>
          </w:r>
          <w:r>
            <w:rPr>
              <w:rFonts w:eastAsia="Times New Roman"/>
            </w:rPr>
            <w:t xml:space="preserve"> </w:t>
          </w:r>
          <w:r>
            <w:rPr>
              <w:rFonts w:eastAsia="Times New Roman"/>
              <w:b/>
              <w:bCs/>
            </w:rPr>
            <w:t>67</w:t>
          </w:r>
          <w:r>
            <w:rPr>
              <w:rFonts w:eastAsia="Times New Roman"/>
            </w:rPr>
            <w:t>, 179–185 (2018).</w:t>
          </w:r>
        </w:p>
        <w:p w14:paraId="60E8E72A" w14:textId="77777777" w:rsidR="00D83908" w:rsidRDefault="00D83908">
          <w:pPr>
            <w:autoSpaceDE w:val="0"/>
            <w:autoSpaceDN w:val="0"/>
            <w:ind w:hanging="640"/>
            <w:divId w:val="258605973"/>
            <w:rPr>
              <w:rFonts w:eastAsia="Times New Roman"/>
            </w:rPr>
          </w:pPr>
          <w:r>
            <w:rPr>
              <w:rFonts w:eastAsia="Times New Roman"/>
            </w:rPr>
            <w:t>5.</w:t>
          </w:r>
          <w:r>
            <w:rPr>
              <w:rFonts w:eastAsia="Times New Roman"/>
            </w:rPr>
            <w:tab/>
            <w:t xml:space="preserve">Jain, R. </w:t>
          </w:r>
          <w:r>
            <w:rPr>
              <w:rFonts w:eastAsia="Times New Roman"/>
              <w:i/>
              <w:iCs/>
            </w:rPr>
            <w:t>et al.</w:t>
          </w:r>
          <w:r>
            <w:rPr>
              <w:rFonts w:eastAsia="Times New Roman"/>
            </w:rPr>
            <w:t xml:space="preserve"> Veterans Affairs Initiative to Prevent Methicillin-Resistant Staphylococcus aureus Infections . </w:t>
          </w:r>
          <w:r>
            <w:rPr>
              <w:rFonts w:eastAsia="Times New Roman"/>
              <w:i/>
              <w:iCs/>
            </w:rPr>
            <w:t>New England Journal of Medicine</w:t>
          </w:r>
          <w:r>
            <w:rPr>
              <w:rFonts w:eastAsia="Times New Roman"/>
            </w:rPr>
            <w:t xml:space="preserve"> </w:t>
          </w:r>
          <w:r>
            <w:rPr>
              <w:rFonts w:eastAsia="Times New Roman"/>
              <w:b/>
              <w:bCs/>
            </w:rPr>
            <w:t>364</w:t>
          </w:r>
          <w:r>
            <w:rPr>
              <w:rFonts w:eastAsia="Times New Roman"/>
            </w:rPr>
            <w:t>, 1419–1430 (2011).</w:t>
          </w:r>
        </w:p>
        <w:p w14:paraId="61F9199C" w14:textId="77777777" w:rsidR="00D83908" w:rsidRDefault="00D83908">
          <w:pPr>
            <w:autoSpaceDE w:val="0"/>
            <w:autoSpaceDN w:val="0"/>
            <w:ind w:hanging="640"/>
            <w:divId w:val="1669939976"/>
            <w:rPr>
              <w:rFonts w:eastAsia="Times New Roman"/>
            </w:rPr>
          </w:pPr>
          <w:r>
            <w:rPr>
              <w:rFonts w:eastAsia="Times New Roman"/>
            </w:rPr>
            <w:t>6.</w:t>
          </w:r>
          <w:r>
            <w:rPr>
              <w:rFonts w:eastAsia="Times New Roman"/>
            </w:rPr>
            <w:tab/>
            <w:t xml:space="preserve">Jain, R. </w:t>
          </w:r>
          <w:r>
            <w:rPr>
              <w:rFonts w:eastAsia="Times New Roman"/>
              <w:i/>
              <w:iCs/>
            </w:rPr>
            <w:t>et al.</w:t>
          </w:r>
          <w:r>
            <w:rPr>
              <w:rFonts w:eastAsia="Times New Roman"/>
            </w:rPr>
            <w:t xml:space="preserve"> Veterans Affairs Initiative to Prevent Methicillin-Resistant Staphylococcus aureus Infections . </w:t>
          </w:r>
          <w:r>
            <w:rPr>
              <w:rFonts w:eastAsia="Times New Roman"/>
              <w:i/>
              <w:iCs/>
            </w:rPr>
            <w:t>New England Journal of Medicine</w:t>
          </w:r>
          <w:r>
            <w:rPr>
              <w:rFonts w:eastAsia="Times New Roman"/>
            </w:rPr>
            <w:t xml:space="preserve"> </w:t>
          </w:r>
          <w:r>
            <w:rPr>
              <w:rFonts w:eastAsia="Times New Roman"/>
              <w:b/>
              <w:bCs/>
            </w:rPr>
            <w:t>364</w:t>
          </w:r>
          <w:r>
            <w:rPr>
              <w:rFonts w:eastAsia="Times New Roman"/>
            </w:rPr>
            <w:t>, 1419–1430 (2011).</w:t>
          </w:r>
        </w:p>
        <w:p w14:paraId="2C587055" w14:textId="77777777" w:rsidR="00D83908" w:rsidRDefault="00D83908">
          <w:pPr>
            <w:autoSpaceDE w:val="0"/>
            <w:autoSpaceDN w:val="0"/>
            <w:ind w:hanging="640"/>
            <w:divId w:val="450250687"/>
            <w:rPr>
              <w:rFonts w:eastAsia="Times New Roman"/>
            </w:rPr>
          </w:pPr>
          <w:r>
            <w:rPr>
              <w:rFonts w:eastAsia="Times New Roman"/>
            </w:rPr>
            <w:t>7.</w:t>
          </w:r>
          <w:r>
            <w:rPr>
              <w:rFonts w:eastAsia="Times New Roman"/>
            </w:rPr>
            <w:tab/>
            <w:t xml:space="preserve">Evans, M. E., </w:t>
          </w:r>
          <w:proofErr w:type="spellStart"/>
          <w:r>
            <w:rPr>
              <w:rFonts w:eastAsia="Times New Roman"/>
            </w:rPr>
            <w:t>Simbartl</w:t>
          </w:r>
          <w:proofErr w:type="spellEnd"/>
          <w:r>
            <w:rPr>
              <w:rFonts w:eastAsia="Times New Roman"/>
            </w:rPr>
            <w:t xml:space="preserve">, L. A., </w:t>
          </w:r>
          <w:proofErr w:type="spellStart"/>
          <w:r>
            <w:rPr>
              <w:rFonts w:eastAsia="Times New Roman"/>
            </w:rPr>
            <w:t>Kralovic</w:t>
          </w:r>
          <w:proofErr w:type="spellEnd"/>
          <w:r>
            <w:rPr>
              <w:rFonts w:eastAsia="Times New Roman"/>
            </w:rPr>
            <w:t xml:space="preserve">, S. M., Jain, R. &amp; Roselle, G. A. Clostridium difficile Infections in Veterans Health Administration Acute Care Facilities. </w:t>
          </w:r>
          <w:r>
            <w:rPr>
              <w:rFonts w:eastAsia="Times New Roman"/>
              <w:i/>
              <w:iCs/>
            </w:rPr>
            <w:t xml:space="preserve">Infect Control Hosp </w:t>
          </w:r>
          <w:proofErr w:type="spellStart"/>
          <w:r>
            <w:rPr>
              <w:rFonts w:eastAsia="Times New Roman"/>
              <w:i/>
              <w:iCs/>
            </w:rPr>
            <w:t>Epidemiol</w:t>
          </w:r>
          <w:proofErr w:type="spellEnd"/>
          <w:r>
            <w:rPr>
              <w:rFonts w:eastAsia="Times New Roman"/>
            </w:rPr>
            <w:t xml:space="preserve"> </w:t>
          </w:r>
          <w:r>
            <w:rPr>
              <w:rFonts w:eastAsia="Times New Roman"/>
              <w:b/>
              <w:bCs/>
            </w:rPr>
            <w:t>35</w:t>
          </w:r>
          <w:r>
            <w:rPr>
              <w:rFonts w:eastAsia="Times New Roman"/>
            </w:rPr>
            <w:t>, 1037–1042 (2014).</w:t>
          </w:r>
        </w:p>
        <w:p w14:paraId="57DA2D9E" w14:textId="77777777" w:rsidR="00D83908" w:rsidRDefault="00D83908">
          <w:pPr>
            <w:autoSpaceDE w:val="0"/>
            <w:autoSpaceDN w:val="0"/>
            <w:ind w:hanging="640"/>
            <w:divId w:val="2045060655"/>
            <w:rPr>
              <w:rFonts w:eastAsia="Times New Roman"/>
            </w:rPr>
          </w:pPr>
          <w:r>
            <w:rPr>
              <w:rFonts w:eastAsia="Times New Roman"/>
            </w:rPr>
            <w:t>8.</w:t>
          </w:r>
          <w:r>
            <w:rPr>
              <w:rFonts w:eastAsia="Times New Roman"/>
            </w:rPr>
            <w:tab/>
            <w:t xml:space="preserve">Vaughn, V. M. </w:t>
          </w:r>
          <w:r>
            <w:rPr>
              <w:rFonts w:eastAsia="Times New Roman"/>
              <w:i/>
              <w:iCs/>
            </w:rPr>
            <w:t>et al.</w:t>
          </w:r>
          <w:r>
            <w:rPr>
              <w:rFonts w:eastAsia="Times New Roman"/>
            </w:rPr>
            <w:t xml:space="preserve"> Trends in Health Care–Associated Infection Prevention Practices in US Veterans Affairs Hospitals From 2005 to 2017. </w:t>
          </w:r>
          <w:r>
            <w:rPr>
              <w:rFonts w:eastAsia="Times New Roman"/>
              <w:i/>
              <w:iCs/>
            </w:rPr>
            <w:t xml:space="preserve">JAMA </w:t>
          </w:r>
          <w:proofErr w:type="spellStart"/>
          <w:r>
            <w:rPr>
              <w:rFonts w:eastAsia="Times New Roman"/>
              <w:i/>
              <w:iCs/>
            </w:rPr>
            <w:t>Netw</w:t>
          </w:r>
          <w:proofErr w:type="spellEnd"/>
          <w:r>
            <w:rPr>
              <w:rFonts w:eastAsia="Times New Roman"/>
              <w:i/>
              <w:iCs/>
            </w:rPr>
            <w:t xml:space="preserve"> Open</w:t>
          </w:r>
          <w:r>
            <w:rPr>
              <w:rFonts w:eastAsia="Times New Roman"/>
            </w:rPr>
            <w:t xml:space="preserve"> </w:t>
          </w:r>
          <w:r>
            <w:rPr>
              <w:rFonts w:eastAsia="Times New Roman"/>
              <w:b/>
              <w:bCs/>
            </w:rPr>
            <w:t>3</w:t>
          </w:r>
          <w:r>
            <w:rPr>
              <w:rFonts w:eastAsia="Times New Roman"/>
            </w:rPr>
            <w:t>, e1920464–e1920464 (2020).</w:t>
          </w:r>
        </w:p>
        <w:p w14:paraId="6814DDD6" w14:textId="77777777" w:rsidR="00D83908" w:rsidRDefault="00D83908">
          <w:pPr>
            <w:autoSpaceDE w:val="0"/>
            <w:autoSpaceDN w:val="0"/>
            <w:ind w:hanging="640"/>
            <w:divId w:val="1595745606"/>
            <w:rPr>
              <w:rFonts w:eastAsia="Times New Roman"/>
            </w:rPr>
          </w:pPr>
          <w:r>
            <w:rPr>
              <w:rFonts w:eastAsia="Times New Roman"/>
            </w:rPr>
            <w:t>9.</w:t>
          </w:r>
          <w:r>
            <w:rPr>
              <w:rFonts w:eastAsia="Times New Roman"/>
            </w:rPr>
            <w:tab/>
            <w:t xml:space="preserve">Kelly, A. A. </w:t>
          </w:r>
          <w:r>
            <w:rPr>
              <w:rFonts w:eastAsia="Times New Roman"/>
              <w:i/>
              <w:iCs/>
            </w:rPr>
            <w:t>et al.</w:t>
          </w:r>
          <w:r>
            <w:rPr>
              <w:rFonts w:eastAsia="Times New Roman"/>
            </w:rPr>
            <w:t xml:space="preserve"> A Report of the Efforts of the Veterans Health Administration National Antimicrobial Stewardship Initiative. </w:t>
          </w:r>
          <w:r>
            <w:rPr>
              <w:rFonts w:eastAsia="Times New Roman"/>
              <w:i/>
              <w:iCs/>
            </w:rPr>
            <w:t xml:space="preserve">Infect Control Hosp </w:t>
          </w:r>
          <w:proofErr w:type="spellStart"/>
          <w:r>
            <w:rPr>
              <w:rFonts w:eastAsia="Times New Roman"/>
              <w:i/>
              <w:iCs/>
            </w:rPr>
            <w:t>Epidemiol</w:t>
          </w:r>
          <w:proofErr w:type="spellEnd"/>
          <w:r>
            <w:rPr>
              <w:rFonts w:eastAsia="Times New Roman"/>
            </w:rPr>
            <w:t xml:space="preserve"> </w:t>
          </w:r>
          <w:r>
            <w:rPr>
              <w:rFonts w:eastAsia="Times New Roman"/>
              <w:b/>
              <w:bCs/>
            </w:rPr>
            <w:t>38</w:t>
          </w:r>
          <w:r>
            <w:rPr>
              <w:rFonts w:eastAsia="Times New Roman"/>
            </w:rPr>
            <w:t>, 513–520 (2017).</w:t>
          </w:r>
        </w:p>
        <w:p w14:paraId="038F59F9" w14:textId="77777777" w:rsidR="00D83908" w:rsidRDefault="00D83908">
          <w:pPr>
            <w:autoSpaceDE w:val="0"/>
            <w:autoSpaceDN w:val="0"/>
            <w:ind w:hanging="640"/>
            <w:divId w:val="89010848"/>
            <w:rPr>
              <w:rFonts w:eastAsia="Times New Roman"/>
            </w:rPr>
          </w:pPr>
          <w:r>
            <w:rPr>
              <w:rFonts w:eastAsia="Times New Roman"/>
            </w:rPr>
            <w:t>10.</w:t>
          </w:r>
          <w:r>
            <w:rPr>
              <w:rFonts w:eastAsia="Times New Roman"/>
            </w:rPr>
            <w:tab/>
            <w:t xml:space="preserve">Liang, K. Y. &amp; </w:t>
          </w:r>
          <w:proofErr w:type="spellStart"/>
          <w:r>
            <w:rPr>
              <w:rFonts w:eastAsia="Times New Roman"/>
            </w:rPr>
            <w:t>Zeger</w:t>
          </w:r>
          <w:proofErr w:type="spellEnd"/>
          <w:r>
            <w:rPr>
              <w:rFonts w:eastAsia="Times New Roman"/>
            </w:rPr>
            <w:t xml:space="preserve">, S. L. Longitudinal data analysis using generalized linear models. </w:t>
          </w:r>
          <w:proofErr w:type="spellStart"/>
          <w:r>
            <w:rPr>
              <w:rFonts w:eastAsia="Times New Roman"/>
              <w:i/>
              <w:iCs/>
            </w:rPr>
            <w:t>Biometrika</w:t>
          </w:r>
          <w:proofErr w:type="spellEnd"/>
          <w:r>
            <w:rPr>
              <w:rFonts w:eastAsia="Times New Roman"/>
            </w:rPr>
            <w:t xml:space="preserve"> </w:t>
          </w:r>
          <w:r>
            <w:rPr>
              <w:rFonts w:eastAsia="Times New Roman"/>
              <w:b/>
              <w:bCs/>
            </w:rPr>
            <w:t>73</w:t>
          </w:r>
          <w:r>
            <w:rPr>
              <w:rFonts w:eastAsia="Times New Roman"/>
            </w:rPr>
            <w:t>, 13–22 (1986).</w:t>
          </w:r>
        </w:p>
        <w:p w14:paraId="2D7B6945" w14:textId="77777777" w:rsidR="00D83908" w:rsidRDefault="00D83908">
          <w:pPr>
            <w:autoSpaceDE w:val="0"/>
            <w:autoSpaceDN w:val="0"/>
            <w:ind w:hanging="640"/>
            <w:divId w:val="867716681"/>
            <w:rPr>
              <w:rFonts w:eastAsia="Times New Roman"/>
            </w:rPr>
          </w:pPr>
          <w:r>
            <w:rPr>
              <w:rFonts w:eastAsia="Times New Roman"/>
            </w:rPr>
            <w:t>11.</w:t>
          </w:r>
          <w:r>
            <w:rPr>
              <w:rFonts w:eastAsia="Times New Roman"/>
            </w:rPr>
            <w:tab/>
            <w:t>R: The R Project for Statistical Computing. https://www.r-project.org/.</w:t>
          </w:r>
        </w:p>
        <w:p w14:paraId="72823E4D" w14:textId="77777777" w:rsidR="00D83908" w:rsidRDefault="00D83908">
          <w:pPr>
            <w:autoSpaceDE w:val="0"/>
            <w:autoSpaceDN w:val="0"/>
            <w:ind w:hanging="640"/>
            <w:divId w:val="2000377221"/>
            <w:rPr>
              <w:rFonts w:eastAsia="Times New Roman"/>
            </w:rPr>
          </w:pPr>
          <w:r>
            <w:rPr>
              <w:rFonts w:eastAsia="Times New Roman"/>
            </w:rPr>
            <w:t>12.</w:t>
          </w:r>
          <w:r>
            <w:rPr>
              <w:rFonts w:eastAsia="Times New Roman"/>
            </w:rPr>
            <w:tab/>
          </w:r>
          <w:proofErr w:type="spellStart"/>
          <w:r>
            <w:rPr>
              <w:rFonts w:eastAsia="Times New Roman"/>
            </w:rPr>
            <w:t>Birkmeyer</w:t>
          </w:r>
          <w:proofErr w:type="spellEnd"/>
          <w:r>
            <w:rPr>
              <w:rFonts w:eastAsia="Times New Roman"/>
            </w:rPr>
            <w:t xml:space="preserve">, J. D., </w:t>
          </w:r>
          <w:proofErr w:type="spellStart"/>
          <w:r>
            <w:rPr>
              <w:rFonts w:eastAsia="Times New Roman"/>
            </w:rPr>
            <w:t>Barnato</w:t>
          </w:r>
          <w:proofErr w:type="spellEnd"/>
          <w:r>
            <w:rPr>
              <w:rFonts w:eastAsia="Times New Roman"/>
            </w:rPr>
            <w:t xml:space="preserve">, A., </w:t>
          </w:r>
          <w:proofErr w:type="spellStart"/>
          <w:r>
            <w:rPr>
              <w:rFonts w:eastAsia="Times New Roman"/>
            </w:rPr>
            <w:t>Birkmeyer</w:t>
          </w:r>
          <w:proofErr w:type="spellEnd"/>
          <w:r>
            <w:rPr>
              <w:rFonts w:eastAsia="Times New Roman"/>
            </w:rPr>
            <w:t xml:space="preserve">, N., </w:t>
          </w:r>
          <w:proofErr w:type="spellStart"/>
          <w:r>
            <w:rPr>
              <w:rFonts w:eastAsia="Times New Roman"/>
            </w:rPr>
            <w:t>Bessler</w:t>
          </w:r>
          <w:proofErr w:type="spellEnd"/>
          <w:r>
            <w:rPr>
              <w:rFonts w:eastAsia="Times New Roman"/>
            </w:rPr>
            <w:t xml:space="preserve">, R. &amp; Skinner, J. The Impact </w:t>
          </w:r>
          <w:proofErr w:type="gramStart"/>
          <w:r>
            <w:rPr>
              <w:rFonts w:eastAsia="Times New Roman"/>
            </w:rPr>
            <w:t>Of</w:t>
          </w:r>
          <w:proofErr w:type="gramEnd"/>
          <w:r>
            <w:rPr>
              <w:rFonts w:eastAsia="Times New Roman"/>
            </w:rPr>
            <w:t xml:space="preserve"> The COVID-19 Pandemic On Hospital Admissions In The United States. </w:t>
          </w:r>
          <w:r>
            <w:rPr>
              <w:rFonts w:eastAsia="Times New Roman"/>
              <w:i/>
              <w:iCs/>
            </w:rPr>
            <w:t xml:space="preserve">Health </w:t>
          </w:r>
          <w:proofErr w:type="spellStart"/>
          <w:r>
            <w:rPr>
              <w:rFonts w:eastAsia="Times New Roman"/>
              <w:i/>
              <w:iCs/>
            </w:rPr>
            <w:t>Aff</w:t>
          </w:r>
          <w:proofErr w:type="spellEnd"/>
          <w:r>
            <w:rPr>
              <w:rFonts w:eastAsia="Times New Roman"/>
              <w:i/>
              <w:iCs/>
            </w:rPr>
            <w:t xml:space="preserve"> (Millwood)</w:t>
          </w:r>
          <w:r>
            <w:rPr>
              <w:rFonts w:eastAsia="Times New Roman"/>
            </w:rPr>
            <w:t xml:space="preserve"> </w:t>
          </w:r>
          <w:r>
            <w:rPr>
              <w:rFonts w:eastAsia="Times New Roman"/>
              <w:b/>
              <w:bCs/>
            </w:rPr>
            <w:t>39</w:t>
          </w:r>
          <w:r>
            <w:rPr>
              <w:rFonts w:eastAsia="Times New Roman"/>
            </w:rPr>
            <w:t>, 2010 (2020).</w:t>
          </w:r>
        </w:p>
        <w:p w14:paraId="58319A9A" w14:textId="099CFFB2" w:rsidR="00045B7C" w:rsidRDefault="00D83908">
          <w:r>
            <w:rPr>
              <w:rFonts w:eastAsia="Times New Roman"/>
            </w:rPr>
            <w:t> </w:t>
          </w:r>
        </w:p>
      </w:sdtContent>
    </w:sdt>
    <w:p w14:paraId="6A38B6B2" w14:textId="77777777" w:rsidR="00C70AA9" w:rsidRPr="00C63521" w:rsidRDefault="00C70AA9" w:rsidP="000344B1">
      <w:pPr>
        <w:pStyle w:val="Caption"/>
        <w:rPr>
          <w:lang w:val="en-US"/>
        </w:rPr>
      </w:pPr>
    </w:p>
    <w:p w14:paraId="31619D15" w14:textId="070569F7" w:rsidR="00241F83" w:rsidRPr="00C63521" w:rsidRDefault="00241F83" w:rsidP="00241F83">
      <w:pPr>
        <w:rPr>
          <w:b/>
          <w:bCs/>
          <w:lang w:val="en-US"/>
        </w:rPr>
      </w:pPr>
      <w:r w:rsidRPr="00C63521">
        <w:rPr>
          <w:b/>
          <w:bCs/>
          <w:lang w:val="en-US"/>
        </w:rPr>
        <w:t xml:space="preserve"> </w:t>
      </w:r>
    </w:p>
    <w:sectPr w:rsidR="00241F83" w:rsidRPr="00C63521" w:rsidSect="00E15941">
      <w:footerReference w:type="even" r:id="rId29"/>
      <w:footerReference w:type="default" r:id="rId30"/>
      <w:pgSz w:w="11906" w:h="16838"/>
      <w:pgMar w:top="1440" w:right="1440" w:bottom="905"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18375" w14:textId="77777777" w:rsidR="00913405" w:rsidRDefault="00913405" w:rsidP="00336953">
      <w:r>
        <w:separator/>
      </w:r>
    </w:p>
  </w:endnote>
  <w:endnote w:type="continuationSeparator" w:id="0">
    <w:p w14:paraId="7AA42E1A" w14:textId="77777777" w:rsidR="00913405" w:rsidRDefault="00913405" w:rsidP="003369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4767477"/>
      <w:docPartObj>
        <w:docPartGallery w:val="Page Numbers (Bottom of Page)"/>
        <w:docPartUnique/>
      </w:docPartObj>
    </w:sdtPr>
    <w:sdtContent>
      <w:p w14:paraId="4348E8FC" w14:textId="3FFF50E1" w:rsidR="00DC75A2" w:rsidRDefault="00DC75A2" w:rsidP="009C4C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C27D2C" w14:textId="77777777" w:rsidR="00DC75A2" w:rsidRDefault="00DC75A2" w:rsidP="00DD39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5701392"/>
      <w:docPartObj>
        <w:docPartGallery w:val="Page Numbers (Bottom of Page)"/>
        <w:docPartUnique/>
      </w:docPartObj>
    </w:sdtPr>
    <w:sdtContent>
      <w:p w14:paraId="5E7B6075" w14:textId="3B94F3EA" w:rsidR="00DC75A2" w:rsidRDefault="00DC75A2" w:rsidP="009C4C0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3BA55D3" w14:textId="77777777" w:rsidR="00DC75A2" w:rsidRDefault="00DC75A2" w:rsidP="00DD39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D19C6" w14:textId="77777777" w:rsidR="00913405" w:rsidRDefault="00913405" w:rsidP="00336953">
      <w:r>
        <w:separator/>
      </w:r>
    </w:p>
  </w:footnote>
  <w:footnote w:type="continuationSeparator" w:id="0">
    <w:p w14:paraId="5B917A08" w14:textId="77777777" w:rsidR="00913405" w:rsidRDefault="00913405" w:rsidP="003369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76227"/>
    <w:multiLevelType w:val="hybridMultilevel"/>
    <w:tmpl w:val="87E0308C"/>
    <w:lvl w:ilvl="0" w:tplc="B476C2E8">
      <w:start w:val="1"/>
      <w:numFmt w:val="bullet"/>
      <w:lvlText w:val="•"/>
      <w:lvlJc w:val="left"/>
      <w:pPr>
        <w:tabs>
          <w:tab w:val="num" w:pos="720"/>
        </w:tabs>
        <w:ind w:left="720" w:hanging="360"/>
      </w:pPr>
      <w:rPr>
        <w:rFonts w:ascii="Arial" w:hAnsi="Arial" w:hint="default"/>
      </w:rPr>
    </w:lvl>
    <w:lvl w:ilvl="1" w:tplc="C3D0A176">
      <w:numFmt w:val="bullet"/>
      <w:lvlText w:val="•"/>
      <w:lvlJc w:val="left"/>
      <w:pPr>
        <w:tabs>
          <w:tab w:val="num" w:pos="1440"/>
        </w:tabs>
        <w:ind w:left="1440" w:hanging="360"/>
      </w:pPr>
      <w:rPr>
        <w:rFonts w:ascii="Arial" w:hAnsi="Arial" w:hint="default"/>
      </w:rPr>
    </w:lvl>
    <w:lvl w:ilvl="2" w:tplc="B35C4C02" w:tentative="1">
      <w:start w:val="1"/>
      <w:numFmt w:val="bullet"/>
      <w:lvlText w:val="•"/>
      <w:lvlJc w:val="left"/>
      <w:pPr>
        <w:tabs>
          <w:tab w:val="num" w:pos="2160"/>
        </w:tabs>
        <w:ind w:left="2160" w:hanging="360"/>
      </w:pPr>
      <w:rPr>
        <w:rFonts w:ascii="Arial" w:hAnsi="Arial" w:hint="default"/>
      </w:rPr>
    </w:lvl>
    <w:lvl w:ilvl="3" w:tplc="3C060180" w:tentative="1">
      <w:start w:val="1"/>
      <w:numFmt w:val="bullet"/>
      <w:lvlText w:val="•"/>
      <w:lvlJc w:val="left"/>
      <w:pPr>
        <w:tabs>
          <w:tab w:val="num" w:pos="2880"/>
        </w:tabs>
        <w:ind w:left="2880" w:hanging="360"/>
      </w:pPr>
      <w:rPr>
        <w:rFonts w:ascii="Arial" w:hAnsi="Arial" w:hint="default"/>
      </w:rPr>
    </w:lvl>
    <w:lvl w:ilvl="4" w:tplc="E8081960" w:tentative="1">
      <w:start w:val="1"/>
      <w:numFmt w:val="bullet"/>
      <w:lvlText w:val="•"/>
      <w:lvlJc w:val="left"/>
      <w:pPr>
        <w:tabs>
          <w:tab w:val="num" w:pos="3600"/>
        </w:tabs>
        <w:ind w:left="3600" w:hanging="360"/>
      </w:pPr>
      <w:rPr>
        <w:rFonts w:ascii="Arial" w:hAnsi="Arial" w:hint="default"/>
      </w:rPr>
    </w:lvl>
    <w:lvl w:ilvl="5" w:tplc="C85E5D2E" w:tentative="1">
      <w:start w:val="1"/>
      <w:numFmt w:val="bullet"/>
      <w:lvlText w:val="•"/>
      <w:lvlJc w:val="left"/>
      <w:pPr>
        <w:tabs>
          <w:tab w:val="num" w:pos="4320"/>
        </w:tabs>
        <w:ind w:left="4320" w:hanging="360"/>
      </w:pPr>
      <w:rPr>
        <w:rFonts w:ascii="Arial" w:hAnsi="Arial" w:hint="default"/>
      </w:rPr>
    </w:lvl>
    <w:lvl w:ilvl="6" w:tplc="11180580" w:tentative="1">
      <w:start w:val="1"/>
      <w:numFmt w:val="bullet"/>
      <w:lvlText w:val="•"/>
      <w:lvlJc w:val="left"/>
      <w:pPr>
        <w:tabs>
          <w:tab w:val="num" w:pos="5040"/>
        </w:tabs>
        <w:ind w:left="5040" w:hanging="360"/>
      </w:pPr>
      <w:rPr>
        <w:rFonts w:ascii="Arial" w:hAnsi="Arial" w:hint="default"/>
      </w:rPr>
    </w:lvl>
    <w:lvl w:ilvl="7" w:tplc="379CECA2" w:tentative="1">
      <w:start w:val="1"/>
      <w:numFmt w:val="bullet"/>
      <w:lvlText w:val="•"/>
      <w:lvlJc w:val="left"/>
      <w:pPr>
        <w:tabs>
          <w:tab w:val="num" w:pos="5760"/>
        </w:tabs>
        <w:ind w:left="5760" w:hanging="360"/>
      </w:pPr>
      <w:rPr>
        <w:rFonts w:ascii="Arial" w:hAnsi="Arial" w:hint="default"/>
      </w:rPr>
    </w:lvl>
    <w:lvl w:ilvl="8" w:tplc="97EE112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AC91E2E"/>
    <w:multiLevelType w:val="hybridMultilevel"/>
    <w:tmpl w:val="2B14F7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CE62A1"/>
    <w:multiLevelType w:val="hybridMultilevel"/>
    <w:tmpl w:val="6422EA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577EB4"/>
    <w:multiLevelType w:val="hybridMultilevel"/>
    <w:tmpl w:val="DDC2F208"/>
    <w:lvl w:ilvl="0" w:tplc="940E65E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D51E98"/>
    <w:multiLevelType w:val="hybridMultilevel"/>
    <w:tmpl w:val="2B14F7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ABA0EFE"/>
    <w:multiLevelType w:val="hybridMultilevel"/>
    <w:tmpl w:val="E4A6359E"/>
    <w:lvl w:ilvl="0" w:tplc="3BDE3EA0">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6322097">
    <w:abstractNumId w:val="5"/>
  </w:num>
  <w:num w:numId="2" w16cid:durableId="425082870">
    <w:abstractNumId w:val="0"/>
  </w:num>
  <w:num w:numId="3" w16cid:durableId="1441951642">
    <w:abstractNumId w:val="2"/>
  </w:num>
  <w:num w:numId="4" w16cid:durableId="2113276543">
    <w:abstractNumId w:val="3"/>
  </w:num>
  <w:num w:numId="5" w16cid:durableId="2119400943">
    <w:abstractNumId w:val="1"/>
  </w:num>
  <w:num w:numId="6" w16cid:durableId="16577571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1D"/>
    <w:rsid w:val="00011394"/>
    <w:rsid w:val="00016DC1"/>
    <w:rsid w:val="000217CD"/>
    <w:rsid w:val="00032628"/>
    <w:rsid w:val="000343C7"/>
    <w:rsid w:val="000344B1"/>
    <w:rsid w:val="00045B7C"/>
    <w:rsid w:val="00046FA6"/>
    <w:rsid w:val="00046FD4"/>
    <w:rsid w:val="0005121D"/>
    <w:rsid w:val="00055F78"/>
    <w:rsid w:val="00060328"/>
    <w:rsid w:val="000617EF"/>
    <w:rsid w:val="000625DC"/>
    <w:rsid w:val="0008025F"/>
    <w:rsid w:val="00081AE3"/>
    <w:rsid w:val="0008279F"/>
    <w:rsid w:val="0009067A"/>
    <w:rsid w:val="00095C12"/>
    <w:rsid w:val="000B12A3"/>
    <w:rsid w:val="000B53B8"/>
    <w:rsid w:val="000B6212"/>
    <w:rsid w:val="000E38CA"/>
    <w:rsid w:val="000E5F5C"/>
    <w:rsid w:val="000E6281"/>
    <w:rsid w:val="000F04D0"/>
    <w:rsid w:val="000F0BAA"/>
    <w:rsid w:val="000F1C76"/>
    <w:rsid w:val="000F208E"/>
    <w:rsid w:val="000F371B"/>
    <w:rsid w:val="000F4B80"/>
    <w:rsid w:val="00100FF4"/>
    <w:rsid w:val="00101AFF"/>
    <w:rsid w:val="0010344C"/>
    <w:rsid w:val="00107D72"/>
    <w:rsid w:val="00125419"/>
    <w:rsid w:val="00126CB0"/>
    <w:rsid w:val="00127B06"/>
    <w:rsid w:val="00141A21"/>
    <w:rsid w:val="001442A9"/>
    <w:rsid w:val="00155847"/>
    <w:rsid w:val="001629AF"/>
    <w:rsid w:val="001647DC"/>
    <w:rsid w:val="00165E1D"/>
    <w:rsid w:val="00173CAD"/>
    <w:rsid w:val="001750E7"/>
    <w:rsid w:val="001771CD"/>
    <w:rsid w:val="00190B3E"/>
    <w:rsid w:val="001B1F4F"/>
    <w:rsid w:val="001C753F"/>
    <w:rsid w:val="001D73A8"/>
    <w:rsid w:val="001E7E99"/>
    <w:rsid w:val="001F1BFF"/>
    <w:rsid w:val="001F36C9"/>
    <w:rsid w:val="0020043F"/>
    <w:rsid w:val="0020431A"/>
    <w:rsid w:val="00212FBB"/>
    <w:rsid w:val="00220360"/>
    <w:rsid w:val="0022191E"/>
    <w:rsid w:val="00222327"/>
    <w:rsid w:val="00226C60"/>
    <w:rsid w:val="00231D2B"/>
    <w:rsid w:val="002337EF"/>
    <w:rsid w:val="0023512B"/>
    <w:rsid w:val="0024117A"/>
    <w:rsid w:val="00241F83"/>
    <w:rsid w:val="002461C4"/>
    <w:rsid w:val="00250BD0"/>
    <w:rsid w:val="00260541"/>
    <w:rsid w:val="002A087E"/>
    <w:rsid w:val="002A4FA3"/>
    <w:rsid w:val="002A653C"/>
    <w:rsid w:val="002B59E8"/>
    <w:rsid w:val="002C008C"/>
    <w:rsid w:val="002C1065"/>
    <w:rsid w:val="002D31B9"/>
    <w:rsid w:val="002D6797"/>
    <w:rsid w:val="002F6DA3"/>
    <w:rsid w:val="00302282"/>
    <w:rsid w:val="00316F2C"/>
    <w:rsid w:val="003216FE"/>
    <w:rsid w:val="0032495B"/>
    <w:rsid w:val="00325BD7"/>
    <w:rsid w:val="00331FE5"/>
    <w:rsid w:val="00336953"/>
    <w:rsid w:val="00350BA7"/>
    <w:rsid w:val="0035593E"/>
    <w:rsid w:val="0036077F"/>
    <w:rsid w:val="003633B0"/>
    <w:rsid w:val="00370FEE"/>
    <w:rsid w:val="00384C6C"/>
    <w:rsid w:val="00394828"/>
    <w:rsid w:val="003959E8"/>
    <w:rsid w:val="003A12C3"/>
    <w:rsid w:val="003A41F4"/>
    <w:rsid w:val="003B05CC"/>
    <w:rsid w:val="003C60F8"/>
    <w:rsid w:val="003D098C"/>
    <w:rsid w:val="003E1BAB"/>
    <w:rsid w:val="003E2493"/>
    <w:rsid w:val="003E5AA2"/>
    <w:rsid w:val="003E6BCC"/>
    <w:rsid w:val="003F2C9C"/>
    <w:rsid w:val="003F5B0D"/>
    <w:rsid w:val="00400A62"/>
    <w:rsid w:val="004250F3"/>
    <w:rsid w:val="00431366"/>
    <w:rsid w:val="00496528"/>
    <w:rsid w:val="00496CCC"/>
    <w:rsid w:val="004A2FCD"/>
    <w:rsid w:val="004A7BA2"/>
    <w:rsid w:val="004B57A8"/>
    <w:rsid w:val="004B6C2C"/>
    <w:rsid w:val="004C1975"/>
    <w:rsid w:val="004D5D3F"/>
    <w:rsid w:val="004E19F3"/>
    <w:rsid w:val="004E2078"/>
    <w:rsid w:val="004F0F74"/>
    <w:rsid w:val="004F2537"/>
    <w:rsid w:val="004F3BE2"/>
    <w:rsid w:val="00500A2A"/>
    <w:rsid w:val="00503473"/>
    <w:rsid w:val="00503B6A"/>
    <w:rsid w:val="005045CD"/>
    <w:rsid w:val="00507248"/>
    <w:rsid w:val="00507CE0"/>
    <w:rsid w:val="005149E8"/>
    <w:rsid w:val="00525C81"/>
    <w:rsid w:val="00525FE8"/>
    <w:rsid w:val="00532601"/>
    <w:rsid w:val="00533DFB"/>
    <w:rsid w:val="00534273"/>
    <w:rsid w:val="00534D56"/>
    <w:rsid w:val="0053736E"/>
    <w:rsid w:val="00543A86"/>
    <w:rsid w:val="005452BE"/>
    <w:rsid w:val="00546FF0"/>
    <w:rsid w:val="00562AC8"/>
    <w:rsid w:val="00563F55"/>
    <w:rsid w:val="00566662"/>
    <w:rsid w:val="0057077F"/>
    <w:rsid w:val="00576123"/>
    <w:rsid w:val="00580ABA"/>
    <w:rsid w:val="0059072C"/>
    <w:rsid w:val="00596F08"/>
    <w:rsid w:val="005A5170"/>
    <w:rsid w:val="005B4600"/>
    <w:rsid w:val="005C3E8D"/>
    <w:rsid w:val="005C5A6E"/>
    <w:rsid w:val="005D2713"/>
    <w:rsid w:val="005E143D"/>
    <w:rsid w:val="005E2813"/>
    <w:rsid w:val="005E60FE"/>
    <w:rsid w:val="005F2931"/>
    <w:rsid w:val="005F4292"/>
    <w:rsid w:val="005F6FCB"/>
    <w:rsid w:val="005F7155"/>
    <w:rsid w:val="006123EA"/>
    <w:rsid w:val="00622643"/>
    <w:rsid w:val="00632A7A"/>
    <w:rsid w:val="00634CA8"/>
    <w:rsid w:val="006367EE"/>
    <w:rsid w:val="006430B9"/>
    <w:rsid w:val="006476A5"/>
    <w:rsid w:val="00650F3D"/>
    <w:rsid w:val="0065657A"/>
    <w:rsid w:val="00657A75"/>
    <w:rsid w:val="006667BB"/>
    <w:rsid w:val="00671262"/>
    <w:rsid w:val="00685E16"/>
    <w:rsid w:val="00690857"/>
    <w:rsid w:val="006A157A"/>
    <w:rsid w:val="006C0883"/>
    <w:rsid w:val="006C3256"/>
    <w:rsid w:val="006F710D"/>
    <w:rsid w:val="006F73C6"/>
    <w:rsid w:val="00702CE3"/>
    <w:rsid w:val="007112FD"/>
    <w:rsid w:val="00714012"/>
    <w:rsid w:val="00717FB4"/>
    <w:rsid w:val="00726C76"/>
    <w:rsid w:val="00733D66"/>
    <w:rsid w:val="00760513"/>
    <w:rsid w:val="00760EBE"/>
    <w:rsid w:val="0077650D"/>
    <w:rsid w:val="00783B4C"/>
    <w:rsid w:val="007847AD"/>
    <w:rsid w:val="00786DE5"/>
    <w:rsid w:val="007A08E1"/>
    <w:rsid w:val="007A2D24"/>
    <w:rsid w:val="007B0BBC"/>
    <w:rsid w:val="007B6A99"/>
    <w:rsid w:val="007C37F2"/>
    <w:rsid w:val="007C4DA7"/>
    <w:rsid w:val="007D09AA"/>
    <w:rsid w:val="007E554A"/>
    <w:rsid w:val="007E59BB"/>
    <w:rsid w:val="007F269E"/>
    <w:rsid w:val="007F5A97"/>
    <w:rsid w:val="007F7415"/>
    <w:rsid w:val="00805FEB"/>
    <w:rsid w:val="00813A43"/>
    <w:rsid w:val="008206AE"/>
    <w:rsid w:val="00826626"/>
    <w:rsid w:val="00826F6D"/>
    <w:rsid w:val="00830B7D"/>
    <w:rsid w:val="0083640A"/>
    <w:rsid w:val="008400B3"/>
    <w:rsid w:val="00852ACE"/>
    <w:rsid w:val="008532F0"/>
    <w:rsid w:val="00856086"/>
    <w:rsid w:val="00856403"/>
    <w:rsid w:val="008672E7"/>
    <w:rsid w:val="0087562B"/>
    <w:rsid w:val="00885545"/>
    <w:rsid w:val="00893167"/>
    <w:rsid w:val="00895335"/>
    <w:rsid w:val="008B5761"/>
    <w:rsid w:val="008B75EA"/>
    <w:rsid w:val="008C6CA1"/>
    <w:rsid w:val="008D10C2"/>
    <w:rsid w:val="008D47B0"/>
    <w:rsid w:val="008D7F3B"/>
    <w:rsid w:val="008E346C"/>
    <w:rsid w:val="008E4412"/>
    <w:rsid w:val="008E67FE"/>
    <w:rsid w:val="00913405"/>
    <w:rsid w:val="00921B18"/>
    <w:rsid w:val="00921C28"/>
    <w:rsid w:val="009220D7"/>
    <w:rsid w:val="00924611"/>
    <w:rsid w:val="009269CA"/>
    <w:rsid w:val="009271C3"/>
    <w:rsid w:val="009321D4"/>
    <w:rsid w:val="0093532B"/>
    <w:rsid w:val="0094193F"/>
    <w:rsid w:val="0094290E"/>
    <w:rsid w:val="00944924"/>
    <w:rsid w:val="00952106"/>
    <w:rsid w:val="009615BF"/>
    <w:rsid w:val="00961AD9"/>
    <w:rsid w:val="00981C44"/>
    <w:rsid w:val="009937C3"/>
    <w:rsid w:val="00995DB6"/>
    <w:rsid w:val="009A35BA"/>
    <w:rsid w:val="009A5597"/>
    <w:rsid w:val="009A5993"/>
    <w:rsid w:val="009B0EF7"/>
    <w:rsid w:val="009B2D5C"/>
    <w:rsid w:val="009B6CD2"/>
    <w:rsid w:val="009B73D4"/>
    <w:rsid w:val="009C6EF6"/>
    <w:rsid w:val="009D3617"/>
    <w:rsid w:val="009D36FD"/>
    <w:rsid w:val="009D389D"/>
    <w:rsid w:val="009D5379"/>
    <w:rsid w:val="009E06DA"/>
    <w:rsid w:val="009E3102"/>
    <w:rsid w:val="009E5E42"/>
    <w:rsid w:val="009E6D01"/>
    <w:rsid w:val="009F1B77"/>
    <w:rsid w:val="00A01E52"/>
    <w:rsid w:val="00A17DF1"/>
    <w:rsid w:val="00A20444"/>
    <w:rsid w:val="00A24367"/>
    <w:rsid w:val="00A401C1"/>
    <w:rsid w:val="00A4608A"/>
    <w:rsid w:val="00A538B1"/>
    <w:rsid w:val="00A551A4"/>
    <w:rsid w:val="00A723C2"/>
    <w:rsid w:val="00A76ED0"/>
    <w:rsid w:val="00A91E88"/>
    <w:rsid w:val="00AB1844"/>
    <w:rsid w:val="00AC4EC7"/>
    <w:rsid w:val="00B03632"/>
    <w:rsid w:val="00B0591C"/>
    <w:rsid w:val="00B06B4C"/>
    <w:rsid w:val="00B07BC9"/>
    <w:rsid w:val="00B20324"/>
    <w:rsid w:val="00B31A80"/>
    <w:rsid w:val="00B37B8F"/>
    <w:rsid w:val="00B45392"/>
    <w:rsid w:val="00B47494"/>
    <w:rsid w:val="00B61A42"/>
    <w:rsid w:val="00B65496"/>
    <w:rsid w:val="00B80701"/>
    <w:rsid w:val="00B93C1B"/>
    <w:rsid w:val="00B975A2"/>
    <w:rsid w:val="00BA43C1"/>
    <w:rsid w:val="00BB4FA3"/>
    <w:rsid w:val="00BC0506"/>
    <w:rsid w:val="00BD0CE5"/>
    <w:rsid w:val="00BE5A0D"/>
    <w:rsid w:val="00BF2D58"/>
    <w:rsid w:val="00BF4113"/>
    <w:rsid w:val="00C03A2F"/>
    <w:rsid w:val="00C12FC5"/>
    <w:rsid w:val="00C17801"/>
    <w:rsid w:val="00C40FA9"/>
    <w:rsid w:val="00C43543"/>
    <w:rsid w:val="00C47E67"/>
    <w:rsid w:val="00C62554"/>
    <w:rsid w:val="00C63521"/>
    <w:rsid w:val="00C660C6"/>
    <w:rsid w:val="00C66E59"/>
    <w:rsid w:val="00C70AA9"/>
    <w:rsid w:val="00C739B2"/>
    <w:rsid w:val="00C75FCD"/>
    <w:rsid w:val="00C82CCF"/>
    <w:rsid w:val="00C850CB"/>
    <w:rsid w:val="00C93204"/>
    <w:rsid w:val="00C93E06"/>
    <w:rsid w:val="00CA3AB1"/>
    <w:rsid w:val="00CA466D"/>
    <w:rsid w:val="00CC434E"/>
    <w:rsid w:val="00CC49AE"/>
    <w:rsid w:val="00CC7621"/>
    <w:rsid w:val="00CE2731"/>
    <w:rsid w:val="00CF2864"/>
    <w:rsid w:val="00CF5BAC"/>
    <w:rsid w:val="00D207F7"/>
    <w:rsid w:val="00D24C11"/>
    <w:rsid w:val="00D31AF3"/>
    <w:rsid w:val="00D36EDF"/>
    <w:rsid w:val="00D42FE8"/>
    <w:rsid w:val="00D45716"/>
    <w:rsid w:val="00D466A9"/>
    <w:rsid w:val="00D83908"/>
    <w:rsid w:val="00DA4CAC"/>
    <w:rsid w:val="00DC0509"/>
    <w:rsid w:val="00DC4676"/>
    <w:rsid w:val="00DC5D72"/>
    <w:rsid w:val="00DC6BA3"/>
    <w:rsid w:val="00DC75A2"/>
    <w:rsid w:val="00DC7827"/>
    <w:rsid w:val="00DD06EB"/>
    <w:rsid w:val="00DD089B"/>
    <w:rsid w:val="00DD1365"/>
    <w:rsid w:val="00DD39CF"/>
    <w:rsid w:val="00DE2B15"/>
    <w:rsid w:val="00DE3276"/>
    <w:rsid w:val="00DF1F5C"/>
    <w:rsid w:val="00E00346"/>
    <w:rsid w:val="00E01EAC"/>
    <w:rsid w:val="00E113A2"/>
    <w:rsid w:val="00E15941"/>
    <w:rsid w:val="00E17F9F"/>
    <w:rsid w:val="00E36B40"/>
    <w:rsid w:val="00E42F75"/>
    <w:rsid w:val="00E6168D"/>
    <w:rsid w:val="00E7067D"/>
    <w:rsid w:val="00E7147A"/>
    <w:rsid w:val="00E737A2"/>
    <w:rsid w:val="00E93486"/>
    <w:rsid w:val="00EA0D16"/>
    <w:rsid w:val="00EA29EF"/>
    <w:rsid w:val="00EA3710"/>
    <w:rsid w:val="00EA73ED"/>
    <w:rsid w:val="00EB0281"/>
    <w:rsid w:val="00EB5AD1"/>
    <w:rsid w:val="00EC4F6F"/>
    <w:rsid w:val="00EC5B2E"/>
    <w:rsid w:val="00ED0785"/>
    <w:rsid w:val="00ED1D38"/>
    <w:rsid w:val="00F14ABE"/>
    <w:rsid w:val="00F14E44"/>
    <w:rsid w:val="00F17272"/>
    <w:rsid w:val="00F271D8"/>
    <w:rsid w:val="00F27D90"/>
    <w:rsid w:val="00F307F1"/>
    <w:rsid w:val="00F35FDD"/>
    <w:rsid w:val="00F4205B"/>
    <w:rsid w:val="00F54EF9"/>
    <w:rsid w:val="00F55756"/>
    <w:rsid w:val="00F6008E"/>
    <w:rsid w:val="00F70AD7"/>
    <w:rsid w:val="00F86201"/>
    <w:rsid w:val="00F901EC"/>
    <w:rsid w:val="00FB78AD"/>
    <w:rsid w:val="00FB7EDA"/>
    <w:rsid w:val="00FC5603"/>
    <w:rsid w:val="00FC7A3B"/>
    <w:rsid w:val="00FD1F4C"/>
    <w:rsid w:val="00FD6D3B"/>
    <w:rsid w:val="00FF5C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A9ADE"/>
  <w15:chartTrackingRefBased/>
  <w15:docId w15:val="{D50739EA-F256-D647-B1C0-B40D7688E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E1D"/>
  </w:style>
  <w:style w:type="paragraph" w:styleId="Heading1">
    <w:name w:val="heading 1"/>
    <w:basedOn w:val="Normal"/>
    <w:next w:val="Normal"/>
    <w:link w:val="Heading1Char"/>
    <w:uiPriority w:val="9"/>
    <w:qFormat/>
    <w:rsid w:val="00DC5D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5D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6A9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0344B1"/>
    <w:pPr>
      <w:keepNext/>
      <w:spacing w:after="100"/>
      <w:jc w:val="both"/>
    </w:pPr>
    <w:rPr>
      <w:b/>
      <w:iCs/>
      <w:sz w:val="18"/>
      <w:szCs w:val="13"/>
    </w:rPr>
  </w:style>
  <w:style w:type="character" w:styleId="CommentReference">
    <w:name w:val="annotation reference"/>
    <w:basedOn w:val="DefaultParagraphFont"/>
    <w:uiPriority w:val="99"/>
    <w:semiHidden/>
    <w:unhideWhenUsed/>
    <w:rsid w:val="00FD1F4C"/>
    <w:rPr>
      <w:sz w:val="16"/>
      <w:szCs w:val="16"/>
    </w:rPr>
  </w:style>
  <w:style w:type="paragraph" w:styleId="CommentText">
    <w:name w:val="annotation text"/>
    <w:basedOn w:val="Normal"/>
    <w:link w:val="CommentTextChar"/>
    <w:uiPriority w:val="99"/>
    <w:unhideWhenUsed/>
    <w:rsid w:val="00FD1F4C"/>
    <w:rPr>
      <w:sz w:val="20"/>
      <w:szCs w:val="20"/>
    </w:rPr>
  </w:style>
  <w:style w:type="character" w:customStyle="1" w:styleId="CommentTextChar">
    <w:name w:val="Comment Text Char"/>
    <w:basedOn w:val="DefaultParagraphFont"/>
    <w:link w:val="CommentText"/>
    <w:uiPriority w:val="99"/>
    <w:rsid w:val="00FD1F4C"/>
    <w:rPr>
      <w:sz w:val="20"/>
      <w:szCs w:val="20"/>
    </w:rPr>
  </w:style>
  <w:style w:type="table" w:styleId="TableGrid">
    <w:name w:val="Table Grid"/>
    <w:basedOn w:val="TableNormal"/>
    <w:uiPriority w:val="39"/>
    <w:rsid w:val="00FD1F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2A7A"/>
    <w:pPr>
      <w:ind w:left="720"/>
      <w:contextualSpacing/>
    </w:pPr>
  </w:style>
  <w:style w:type="character" w:styleId="PlaceholderText">
    <w:name w:val="Placeholder Text"/>
    <w:basedOn w:val="DefaultParagraphFont"/>
    <w:uiPriority w:val="99"/>
    <w:semiHidden/>
    <w:rsid w:val="00AB1844"/>
    <w:rPr>
      <w:color w:val="666666"/>
    </w:rPr>
  </w:style>
  <w:style w:type="character" w:customStyle="1" w:styleId="contentpasted0">
    <w:name w:val="contentpasted0"/>
    <w:basedOn w:val="DefaultParagraphFont"/>
    <w:rsid w:val="009D5379"/>
  </w:style>
  <w:style w:type="paragraph" w:styleId="CommentSubject">
    <w:name w:val="annotation subject"/>
    <w:basedOn w:val="CommentText"/>
    <w:next w:val="CommentText"/>
    <w:link w:val="CommentSubjectChar"/>
    <w:uiPriority w:val="99"/>
    <w:semiHidden/>
    <w:unhideWhenUsed/>
    <w:rsid w:val="006667BB"/>
    <w:rPr>
      <w:b/>
      <w:bCs/>
    </w:rPr>
  </w:style>
  <w:style w:type="character" w:customStyle="1" w:styleId="CommentSubjectChar">
    <w:name w:val="Comment Subject Char"/>
    <w:basedOn w:val="CommentTextChar"/>
    <w:link w:val="CommentSubject"/>
    <w:uiPriority w:val="99"/>
    <w:semiHidden/>
    <w:rsid w:val="006667BB"/>
    <w:rPr>
      <w:b/>
      <w:bCs/>
      <w:sz w:val="20"/>
      <w:szCs w:val="20"/>
    </w:rPr>
  </w:style>
  <w:style w:type="character" w:customStyle="1" w:styleId="Heading1Char">
    <w:name w:val="Heading 1 Char"/>
    <w:basedOn w:val="DefaultParagraphFont"/>
    <w:link w:val="Heading1"/>
    <w:uiPriority w:val="9"/>
    <w:rsid w:val="00DC5D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5D7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C5D7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C5D72"/>
    <w:pPr>
      <w:spacing w:before="120"/>
    </w:pPr>
    <w:rPr>
      <w:rFonts w:cstheme="minorHAnsi"/>
      <w:b/>
      <w:bCs/>
      <w:i/>
      <w:iCs/>
    </w:rPr>
  </w:style>
  <w:style w:type="character" w:styleId="Hyperlink">
    <w:name w:val="Hyperlink"/>
    <w:basedOn w:val="DefaultParagraphFont"/>
    <w:uiPriority w:val="99"/>
    <w:unhideWhenUsed/>
    <w:rsid w:val="00DC5D72"/>
    <w:rPr>
      <w:color w:val="0563C1" w:themeColor="hyperlink"/>
      <w:u w:val="single"/>
    </w:rPr>
  </w:style>
  <w:style w:type="paragraph" w:styleId="TOC2">
    <w:name w:val="toc 2"/>
    <w:basedOn w:val="Normal"/>
    <w:next w:val="Normal"/>
    <w:autoRedefine/>
    <w:uiPriority w:val="39"/>
    <w:unhideWhenUsed/>
    <w:rsid w:val="00DC5D72"/>
    <w:pPr>
      <w:spacing w:before="120"/>
      <w:ind w:left="240"/>
    </w:pPr>
    <w:rPr>
      <w:rFonts w:cstheme="minorHAnsi"/>
      <w:b/>
      <w:bCs/>
      <w:sz w:val="22"/>
      <w:szCs w:val="22"/>
    </w:rPr>
  </w:style>
  <w:style w:type="paragraph" w:styleId="TOC3">
    <w:name w:val="toc 3"/>
    <w:basedOn w:val="Normal"/>
    <w:next w:val="Normal"/>
    <w:autoRedefine/>
    <w:uiPriority w:val="39"/>
    <w:unhideWhenUsed/>
    <w:rsid w:val="00DC5D72"/>
    <w:pPr>
      <w:ind w:left="480"/>
    </w:pPr>
    <w:rPr>
      <w:rFonts w:cstheme="minorHAnsi"/>
      <w:sz w:val="20"/>
      <w:szCs w:val="20"/>
    </w:rPr>
  </w:style>
  <w:style w:type="paragraph" w:styleId="TOC4">
    <w:name w:val="toc 4"/>
    <w:basedOn w:val="Normal"/>
    <w:next w:val="Normal"/>
    <w:autoRedefine/>
    <w:uiPriority w:val="39"/>
    <w:semiHidden/>
    <w:unhideWhenUsed/>
    <w:rsid w:val="00DC5D72"/>
    <w:pPr>
      <w:ind w:left="720"/>
    </w:pPr>
    <w:rPr>
      <w:rFonts w:cstheme="minorHAnsi"/>
      <w:sz w:val="20"/>
      <w:szCs w:val="20"/>
    </w:rPr>
  </w:style>
  <w:style w:type="paragraph" w:styleId="TOC5">
    <w:name w:val="toc 5"/>
    <w:basedOn w:val="Normal"/>
    <w:next w:val="Normal"/>
    <w:autoRedefine/>
    <w:uiPriority w:val="39"/>
    <w:semiHidden/>
    <w:unhideWhenUsed/>
    <w:rsid w:val="00DC5D72"/>
    <w:pPr>
      <w:ind w:left="960"/>
    </w:pPr>
    <w:rPr>
      <w:rFonts w:cstheme="minorHAnsi"/>
      <w:sz w:val="20"/>
      <w:szCs w:val="20"/>
    </w:rPr>
  </w:style>
  <w:style w:type="paragraph" w:styleId="TOC6">
    <w:name w:val="toc 6"/>
    <w:basedOn w:val="Normal"/>
    <w:next w:val="Normal"/>
    <w:autoRedefine/>
    <w:uiPriority w:val="39"/>
    <w:semiHidden/>
    <w:unhideWhenUsed/>
    <w:rsid w:val="00DC5D72"/>
    <w:pPr>
      <w:ind w:left="1200"/>
    </w:pPr>
    <w:rPr>
      <w:rFonts w:cstheme="minorHAnsi"/>
      <w:sz w:val="20"/>
      <w:szCs w:val="20"/>
    </w:rPr>
  </w:style>
  <w:style w:type="paragraph" w:styleId="TOC7">
    <w:name w:val="toc 7"/>
    <w:basedOn w:val="Normal"/>
    <w:next w:val="Normal"/>
    <w:autoRedefine/>
    <w:uiPriority w:val="39"/>
    <w:semiHidden/>
    <w:unhideWhenUsed/>
    <w:rsid w:val="00DC5D72"/>
    <w:pPr>
      <w:ind w:left="1440"/>
    </w:pPr>
    <w:rPr>
      <w:rFonts w:cstheme="minorHAnsi"/>
      <w:sz w:val="20"/>
      <w:szCs w:val="20"/>
    </w:rPr>
  </w:style>
  <w:style w:type="paragraph" w:styleId="TOC8">
    <w:name w:val="toc 8"/>
    <w:basedOn w:val="Normal"/>
    <w:next w:val="Normal"/>
    <w:autoRedefine/>
    <w:uiPriority w:val="39"/>
    <w:semiHidden/>
    <w:unhideWhenUsed/>
    <w:rsid w:val="00DC5D72"/>
    <w:pPr>
      <w:ind w:left="1680"/>
    </w:pPr>
    <w:rPr>
      <w:rFonts w:cstheme="minorHAnsi"/>
      <w:sz w:val="20"/>
      <w:szCs w:val="20"/>
    </w:rPr>
  </w:style>
  <w:style w:type="paragraph" w:styleId="TOC9">
    <w:name w:val="toc 9"/>
    <w:basedOn w:val="Normal"/>
    <w:next w:val="Normal"/>
    <w:autoRedefine/>
    <w:uiPriority w:val="39"/>
    <w:semiHidden/>
    <w:unhideWhenUsed/>
    <w:rsid w:val="00DC5D72"/>
    <w:pPr>
      <w:ind w:left="1920"/>
    </w:pPr>
    <w:rPr>
      <w:rFonts w:cstheme="minorHAnsi"/>
      <w:sz w:val="20"/>
      <w:szCs w:val="20"/>
    </w:rPr>
  </w:style>
  <w:style w:type="paragraph" w:styleId="Revision">
    <w:name w:val="Revision"/>
    <w:hidden/>
    <w:uiPriority w:val="99"/>
    <w:semiHidden/>
    <w:rsid w:val="00E113A2"/>
  </w:style>
  <w:style w:type="character" w:styleId="UnresolvedMention">
    <w:name w:val="Unresolved Mention"/>
    <w:basedOn w:val="DefaultParagraphFont"/>
    <w:uiPriority w:val="99"/>
    <w:semiHidden/>
    <w:unhideWhenUsed/>
    <w:rsid w:val="00155847"/>
    <w:rPr>
      <w:color w:val="605E5C"/>
      <w:shd w:val="clear" w:color="auto" w:fill="E1DFDD"/>
    </w:rPr>
  </w:style>
  <w:style w:type="paragraph" w:styleId="Header">
    <w:name w:val="header"/>
    <w:basedOn w:val="Normal"/>
    <w:link w:val="HeaderChar"/>
    <w:uiPriority w:val="99"/>
    <w:unhideWhenUsed/>
    <w:rsid w:val="00336953"/>
    <w:pPr>
      <w:tabs>
        <w:tab w:val="center" w:pos="4513"/>
        <w:tab w:val="right" w:pos="9026"/>
      </w:tabs>
    </w:pPr>
  </w:style>
  <w:style w:type="character" w:customStyle="1" w:styleId="HeaderChar">
    <w:name w:val="Header Char"/>
    <w:basedOn w:val="DefaultParagraphFont"/>
    <w:link w:val="Header"/>
    <w:uiPriority w:val="99"/>
    <w:rsid w:val="00336953"/>
  </w:style>
  <w:style w:type="paragraph" w:styleId="Footer">
    <w:name w:val="footer"/>
    <w:basedOn w:val="Normal"/>
    <w:link w:val="FooterChar"/>
    <w:uiPriority w:val="99"/>
    <w:unhideWhenUsed/>
    <w:rsid w:val="00336953"/>
    <w:pPr>
      <w:tabs>
        <w:tab w:val="center" w:pos="4513"/>
        <w:tab w:val="right" w:pos="9026"/>
      </w:tabs>
    </w:pPr>
  </w:style>
  <w:style w:type="character" w:customStyle="1" w:styleId="FooterChar">
    <w:name w:val="Footer Char"/>
    <w:basedOn w:val="DefaultParagraphFont"/>
    <w:link w:val="Footer"/>
    <w:uiPriority w:val="99"/>
    <w:rsid w:val="00336953"/>
  </w:style>
  <w:style w:type="character" w:styleId="LineNumber">
    <w:name w:val="line number"/>
    <w:basedOn w:val="DefaultParagraphFont"/>
    <w:uiPriority w:val="99"/>
    <w:semiHidden/>
    <w:unhideWhenUsed/>
    <w:rsid w:val="0036077F"/>
  </w:style>
  <w:style w:type="character" w:customStyle="1" w:styleId="Heading3Char">
    <w:name w:val="Heading 3 Char"/>
    <w:basedOn w:val="DefaultParagraphFont"/>
    <w:link w:val="Heading3"/>
    <w:uiPriority w:val="9"/>
    <w:rsid w:val="007B6A99"/>
    <w:rPr>
      <w:rFonts w:asciiTheme="majorHAnsi" w:eastAsiaTheme="majorEastAsia" w:hAnsiTheme="majorHAnsi" w:cstheme="majorBidi"/>
      <w:color w:val="1F3763" w:themeColor="accent1" w:themeShade="7F"/>
    </w:rPr>
  </w:style>
  <w:style w:type="character" w:styleId="PageNumber">
    <w:name w:val="page number"/>
    <w:basedOn w:val="DefaultParagraphFont"/>
    <w:uiPriority w:val="99"/>
    <w:semiHidden/>
    <w:unhideWhenUsed/>
    <w:rsid w:val="00DC75A2"/>
  </w:style>
  <w:style w:type="paragraph" w:styleId="Subtitle">
    <w:name w:val="Subtitle"/>
    <w:basedOn w:val="Normal"/>
    <w:next w:val="Normal"/>
    <w:link w:val="SubtitleChar"/>
    <w:uiPriority w:val="11"/>
    <w:qFormat/>
    <w:rsid w:val="008C6CA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8C6CA1"/>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0001">
      <w:bodyDiv w:val="1"/>
      <w:marLeft w:val="0"/>
      <w:marRight w:val="0"/>
      <w:marTop w:val="0"/>
      <w:marBottom w:val="0"/>
      <w:divBdr>
        <w:top w:val="none" w:sz="0" w:space="0" w:color="auto"/>
        <w:left w:val="none" w:sz="0" w:space="0" w:color="auto"/>
        <w:bottom w:val="none" w:sz="0" w:space="0" w:color="auto"/>
        <w:right w:val="none" w:sz="0" w:space="0" w:color="auto"/>
      </w:divBdr>
      <w:divsChild>
        <w:div w:id="1117986982">
          <w:marLeft w:val="640"/>
          <w:marRight w:val="0"/>
          <w:marTop w:val="0"/>
          <w:marBottom w:val="0"/>
          <w:divBdr>
            <w:top w:val="none" w:sz="0" w:space="0" w:color="auto"/>
            <w:left w:val="none" w:sz="0" w:space="0" w:color="auto"/>
            <w:bottom w:val="none" w:sz="0" w:space="0" w:color="auto"/>
            <w:right w:val="none" w:sz="0" w:space="0" w:color="auto"/>
          </w:divBdr>
        </w:div>
        <w:div w:id="252318335">
          <w:marLeft w:val="640"/>
          <w:marRight w:val="0"/>
          <w:marTop w:val="0"/>
          <w:marBottom w:val="0"/>
          <w:divBdr>
            <w:top w:val="none" w:sz="0" w:space="0" w:color="auto"/>
            <w:left w:val="none" w:sz="0" w:space="0" w:color="auto"/>
            <w:bottom w:val="none" w:sz="0" w:space="0" w:color="auto"/>
            <w:right w:val="none" w:sz="0" w:space="0" w:color="auto"/>
          </w:divBdr>
        </w:div>
        <w:div w:id="651642483">
          <w:marLeft w:val="640"/>
          <w:marRight w:val="0"/>
          <w:marTop w:val="0"/>
          <w:marBottom w:val="0"/>
          <w:divBdr>
            <w:top w:val="none" w:sz="0" w:space="0" w:color="auto"/>
            <w:left w:val="none" w:sz="0" w:space="0" w:color="auto"/>
            <w:bottom w:val="none" w:sz="0" w:space="0" w:color="auto"/>
            <w:right w:val="none" w:sz="0" w:space="0" w:color="auto"/>
          </w:divBdr>
        </w:div>
        <w:div w:id="1027563559">
          <w:marLeft w:val="640"/>
          <w:marRight w:val="0"/>
          <w:marTop w:val="0"/>
          <w:marBottom w:val="0"/>
          <w:divBdr>
            <w:top w:val="none" w:sz="0" w:space="0" w:color="auto"/>
            <w:left w:val="none" w:sz="0" w:space="0" w:color="auto"/>
            <w:bottom w:val="none" w:sz="0" w:space="0" w:color="auto"/>
            <w:right w:val="none" w:sz="0" w:space="0" w:color="auto"/>
          </w:divBdr>
        </w:div>
        <w:div w:id="1846900884">
          <w:marLeft w:val="640"/>
          <w:marRight w:val="0"/>
          <w:marTop w:val="0"/>
          <w:marBottom w:val="0"/>
          <w:divBdr>
            <w:top w:val="none" w:sz="0" w:space="0" w:color="auto"/>
            <w:left w:val="none" w:sz="0" w:space="0" w:color="auto"/>
            <w:bottom w:val="none" w:sz="0" w:space="0" w:color="auto"/>
            <w:right w:val="none" w:sz="0" w:space="0" w:color="auto"/>
          </w:divBdr>
        </w:div>
        <w:div w:id="2012415145">
          <w:marLeft w:val="640"/>
          <w:marRight w:val="0"/>
          <w:marTop w:val="0"/>
          <w:marBottom w:val="0"/>
          <w:divBdr>
            <w:top w:val="none" w:sz="0" w:space="0" w:color="auto"/>
            <w:left w:val="none" w:sz="0" w:space="0" w:color="auto"/>
            <w:bottom w:val="none" w:sz="0" w:space="0" w:color="auto"/>
            <w:right w:val="none" w:sz="0" w:space="0" w:color="auto"/>
          </w:divBdr>
        </w:div>
        <w:div w:id="1294142402">
          <w:marLeft w:val="640"/>
          <w:marRight w:val="0"/>
          <w:marTop w:val="0"/>
          <w:marBottom w:val="0"/>
          <w:divBdr>
            <w:top w:val="none" w:sz="0" w:space="0" w:color="auto"/>
            <w:left w:val="none" w:sz="0" w:space="0" w:color="auto"/>
            <w:bottom w:val="none" w:sz="0" w:space="0" w:color="auto"/>
            <w:right w:val="none" w:sz="0" w:space="0" w:color="auto"/>
          </w:divBdr>
        </w:div>
        <w:div w:id="491681523">
          <w:marLeft w:val="640"/>
          <w:marRight w:val="0"/>
          <w:marTop w:val="0"/>
          <w:marBottom w:val="0"/>
          <w:divBdr>
            <w:top w:val="none" w:sz="0" w:space="0" w:color="auto"/>
            <w:left w:val="none" w:sz="0" w:space="0" w:color="auto"/>
            <w:bottom w:val="none" w:sz="0" w:space="0" w:color="auto"/>
            <w:right w:val="none" w:sz="0" w:space="0" w:color="auto"/>
          </w:divBdr>
        </w:div>
        <w:div w:id="1834756796">
          <w:marLeft w:val="640"/>
          <w:marRight w:val="0"/>
          <w:marTop w:val="0"/>
          <w:marBottom w:val="0"/>
          <w:divBdr>
            <w:top w:val="none" w:sz="0" w:space="0" w:color="auto"/>
            <w:left w:val="none" w:sz="0" w:space="0" w:color="auto"/>
            <w:bottom w:val="none" w:sz="0" w:space="0" w:color="auto"/>
            <w:right w:val="none" w:sz="0" w:space="0" w:color="auto"/>
          </w:divBdr>
        </w:div>
        <w:div w:id="138040072">
          <w:marLeft w:val="640"/>
          <w:marRight w:val="0"/>
          <w:marTop w:val="0"/>
          <w:marBottom w:val="0"/>
          <w:divBdr>
            <w:top w:val="none" w:sz="0" w:space="0" w:color="auto"/>
            <w:left w:val="none" w:sz="0" w:space="0" w:color="auto"/>
            <w:bottom w:val="none" w:sz="0" w:space="0" w:color="auto"/>
            <w:right w:val="none" w:sz="0" w:space="0" w:color="auto"/>
          </w:divBdr>
        </w:div>
      </w:divsChild>
    </w:div>
    <w:div w:id="66659203">
      <w:bodyDiv w:val="1"/>
      <w:marLeft w:val="0"/>
      <w:marRight w:val="0"/>
      <w:marTop w:val="0"/>
      <w:marBottom w:val="0"/>
      <w:divBdr>
        <w:top w:val="none" w:sz="0" w:space="0" w:color="auto"/>
        <w:left w:val="none" w:sz="0" w:space="0" w:color="auto"/>
        <w:bottom w:val="none" w:sz="0" w:space="0" w:color="auto"/>
        <w:right w:val="none" w:sz="0" w:space="0" w:color="auto"/>
      </w:divBdr>
      <w:divsChild>
        <w:div w:id="533538199">
          <w:marLeft w:val="640"/>
          <w:marRight w:val="0"/>
          <w:marTop w:val="0"/>
          <w:marBottom w:val="0"/>
          <w:divBdr>
            <w:top w:val="none" w:sz="0" w:space="0" w:color="auto"/>
            <w:left w:val="none" w:sz="0" w:space="0" w:color="auto"/>
            <w:bottom w:val="none" w:sz="0" w:space="0" w:color="auto"/>
            <w:right w:val="none" w:sz="0" w:space="0" w:color="auto"/>
          </w:divBdr>
        </w:div>
        <w:div w:id="854346544">
          <w:marLeft w:val="640"/>
          <w:marRight w:val="0"/>
          <w:marTop w:val="0"/>
          <w:marBottom w:val="0"/>
          <w:divBdr>
            <w:top w:val="none" w:sz="0" w:space="0" w:color="auto"/>
            <w:left w:val="none" w:sz="0" w:space="0" w:color="auto"/>
            <w:bottom w:val="none" w:sz="0" w:space="0" w:color="auto"/>
            <w:right w:val="none" w:sz="0" w:space="0" w:color="auto"/>
          </w:divBdr>
        </w:div>
        <w:div w:id="39791511">
          <w:marLeft w:val="640"/>
          <w:marRight w:val="0"/>
          <w:marTop w:val="0"/>
          <w:marBottom w:val="0"/>
          <w:divBdr>
            <w:top w:val="none" w:sz="0" w:space="0" w:color="auto"/>
            <w:left w:val="none" w:sz="0" w:space="0" w:color="auto"/>
            <w:bottom w:val="none" w:sz="0" w:space="0" w:color="auto"/>
            <w:right w:val="none" w:sz="0" w:space="0" w:color="auto"/>
          </w:divBdr>
        </w:div>
        <w:div w:id="1309479958">
          <w:marLeft w:val="640"/>
          <w:marRight w:val="0"/>
          <w:marTop w:val="0"/>
          <w:marBottom w:val="0"/>
          <w:divBdr>
            <w:top w:val="none" w:sz="0" w:space="0" w:color="auto"/>
            <w:left w:val="none" w:sz="0" w:space="0" w:color="auto"/>
            <w:bottom w:val="none" w:sz="0" w:space="0" w:color="auto"/>
            <w:right w:val="none" w:sz="0" w:space="0" w:color="auto"/>
          </w:divBdr>
        </w:div>
        <w:div w:id="258605973">
          <w:marLeft w:val="640"/>
          <w:marRight w:val="0"/>
          <w:marTop w:val="0"/>
          <w:marBottom w:val="0"/>
          <w:divBdr>
            <w:top w:val="none" w:sz="0" w:space="0" w:color="auto"/>
            <w:left w:val="none" w:sz="0" w:space="0" w:color="auto"/>
            <w:bottom w:val="none" w:sz="0" w:space="0" w:color="auto"/>
            <w:right w:val="none" w:sz="0" w:space="0" w:color="auto"/>
          </w:divBdr>
        </w:div>
        <w:div w:id="1669939976">
          <w:marLeft w:val="640"/>
          <w:marRight w:val="0"/>
          <w:marTop w:val="0"/>
          <w:marBottom w:val="0"/>
          <w:divBdr>
            <w:top w:val="none" w:sz="0" w:space="0" w:color="auto"/>
            <w:left w:val="none" w:sz="0" w:space="0" w:color="auto"/>
            <w:bottom w:val="none" w:sz="0" w:space="0" w:color="auto"/>
            <w:right w:val="none" w:sz="0" w:space="0" w:color="auto"/>
          </w:divBdr>
        </w:div>
        <w:div w:id="450250687">
          <w:marLeft w:val="640"/>
          <w:marRight w:val="0"/>
          <w:marTop w:val="0"/>
          <w:marBottom w:val="0"/>
          <w:divBdr>
            <w:top w:val="none" w:sz="0" w:space="0" w:color="auto"/>
            <w:left w:val="none" w:sz="0" w:space="0" w:color="auto"/>
            <w:bottom w:val="none" w:sz="0" w:space="0" w:color="auto"/>
            <w:right w:val="none" w:sz="0" w:space="0" w:color="auto"/>
          </w:divBdr>
        </w:div>
        <w:div w:id="2045060655">
          <w:marLeft w:val="640"/>
          <w:marRight w:val="0"/>
          <w:marTop w:val="0"/>
          <w:marBottom w:val="0"/>
          <w:divBdr>
            <w:top w:val="none" w:sz="0" w:space="0" w:color="auto"/>
            <w:left w:val="none" w:sz="0" w:space="0" w:color="auto"/>
            <w:bottom w:val="none" w:sz="0" w:space="0" w:color="auto"/>
            <w:right w:val="none" w:sz="0" w:space="0" w:color="auto"/>
          </w:divBdr>
        </w:div>
        <w:div w:id="1595745606">
          <w:marLeft w:val="640"/>
          <w:marRight w:val="0"/>
          <w:marTop w:val="0"/>
          <w:marBottom w:val="0"/>
          <w:divBdr>
            <w:top w:val="none" w:sz="0" w:space="0" w:color="auto"/>
            <w:left w:val="none" w:sz="0" w:space="0" w:color="auto"/>
            <w:bottom w:val="none" w:sz="0" w:space="0" w:color="auto"/>
            <w:right w:val="none" w:sz="0" w:space="0" w:color="auto"/>
          </w:divBdr>
        </w:div>
        <w:div w:id="89010848">
          <w:marLeft w:val="640"/>
          <w:marRight w:val="0"/>
          <w:marTop w:val="0"/>
          <w:marBottom w:val="0"/>
          <w:divBdr>
            <w:top w:val="none" w:sz="0" w:space="0" w:color="auto"/>
            <w:left w:val="none" w:sz="0" w:space="0" w:color="auto"/>
            <w:bottom w:val="none" w:sz="0" w:space="0" w:color="auto"/>
            <w:right w:val="none" w:sz="0" w:space="0" w:color="auto"/>
          </w:divBdr>
        </w:div>
        <w:div w:id="867716681">
          <w:marLeft w:val="640"/>
          <w:marRight w:val="0"/>
          <w:marTop w:val="0"/>
          <w:marBottom w:val="0"/>
          <w:divBdr>
            <w:top w:val="none" w:sz="0" w:space="0" w:color="auto"/>
            <w:left w:val="none" w:sz="0" w:space="0" w:color="auto"/>
            <w:bottom w:val="none" w:sz="0" w:space="0" w:color="auto"/>
            <w:right w:val="none" w:sz="0" w:space="0" w:color="auto"/>
          </w:divBdr>
        </w:div>
        <w:div w:id="2000377221">
          <w:marLeft w:val="640"/>
          <w:marRight w:val="0"/>
          <w:marTop w:val="0"/>
          <w:marBottom w:val="0"/>
          <w:divBdr>
            <w:top w:val="none" w:sz="0" w:space="0" w:color="auto"/>
            <w:left w:val="none" w:sz="0" w:space="0" w:color="auto"/>
            <w:bottom w:val="none" w:sz="0" w:space="0" w:color="auto"/>
            <w:right w:val="none" w:sz="0" w:space="0" w:color="auto"/>
          </w:divBdr>
        </w:div>
      </w:divsChild>
    </w:div>
    <w:div w:id="81024700">
      <w:bodyDiv w:val="1"/>
      <w:marLeft w:val="0"/>
      <w:marRight w:val="0"/>
      <w:marTop w:val="0"/>
      <w:marBottom w:val="0"/>
      <w:divBdr>
        <w:top w:val="none" w:sz="0" w:space="0" w:color="auto"/>
        <w:left w:val="none" w:sz="0" w:space="0" w:color="auto"/>
        <w:bottom w:val="none" w:sz="0" w:space="0" w:color="auto"/>
        <w:right w:val="none" w:sz="0" w:space="0" w:color="auto"/>
      </w:divBdr>
      <w:divsChild>
        <w:div w:id="1740903480">
          <w:marLeft w:val="640"/>
          <w:marRight w:val="0"/>
          <w:marTop w:val="0"/>
          <w:marBottom w:val="0"/>
          <w:divBdr>
            <w:top w:val="none" w:sz="0" w:space="0" w:color="auto"/>
            <w:left w:val="none" w:sz="0" w:space="0" w:color="auto"/>
            <w:bottom w:val="none" w:sz="0" w:space="0" w:color="auto"/>
            <w:right w:val="none" w:sz="0" w:space="0" w:color="auto"/>
          </w:divBdr>
        </w:div>
        <w:div w:id="840438399">
          <w:marLeft w:val="640"/>
          <w:marRight w:val="0"/>
          <w:marTop w:val="0"/>
          <w:marBottom w:val="0"/>
          <w:divBdr>
            <w:top w:val="none" w:sz="0" w:space="0" w:color="auto"/>
            <w:left w:val="none" w:sz="0" w:space="0" w:color="auto"/>
            <w:bottom w:val="none" w:sz="0" w:space="0" w:color="auto"/>
            <w:right w:val="none" w:sz="0" w:space="0" w:color="auto"/>
          </w:divBdr>
        </w:div>
        <w:div w:id="387414907">
          <w:marLeft w:val="640"/>
          <w:marRight w:val="0"/>
          <w:marTop w:val="0"/>
          <w:marBottom w:val="0"/>
          <w:divBdr>
            <w:top w:val="none" w:sz="0" w:space="0" w:color="auto"/>
            <w:left w:val="none" w:sz="0" w:space="0" w:color="auto"/>
            <w:bottom w:val="none" w:sz="0" w:space="0" w:color="auto"/>
            <w:right w:val="none" w:sz="0" w:space="0" w:color="auto"/>
          </w:divBdr>
        </w:div>
        <w:div w:id="1087076915">
          <w:marLeft w:val="640"/>
          <w:marRight w:val="0"/>
          <w:marTop w:val="0"/>
          <w:marBottom w:val="0"/>
          <w:divBdr>
            <w:top w:val="none" w:sz="0" w:space="0" w:color="auto"/>
            <w:left w:val="none" w:sz="0" w:space="0" w:color="auto"/>
            <w:bottom w:val="none" w:sz="0" w:space="0" w:color="auto"/>
            <w:right w:val="none" w:sz="0" w:space="0" w:color="auto"/>
          </w:divBdr>
        </w:div>
        <w:div w:id="824006276">
          <w:marLeft w:val="640"/>
          <w:marRight w:val="0"/>
          <w:marTop w:val="0"/>
          <w:marBottom w:val="0"/>
          <w:divBdr>
            <w:top w:val="none" w:sz="0" w:space="0" w:color="auto"/>
            <w:left w:val="none" w:sz="0" w:space="0" w:color="auto"/>
            <w:bottom w:val="none" w:sz="0" w:space="0" w:color="auto"/>
            <w:right w:val="none" w:sz="0" w:space="0" w:color="auto"/>
          </w:divBdr>
        </w:div>
        <w:div w:id="580136574">
          <w:marLeft w:val="640"/>
          <w:marRight w:val="0"/>
          <w:marTop w:val="0"/>
          <w:marBottom w:val="0"/>
          <w:divBdr>
            <w:top w:val="none" w:sz="0" w:space="0" w:color="auto"/>
            <w:left w:val="none" w:sz="0" w:space="0" w:color="auto"/>
            <w:bottom w:val="none" w:sz="0" w:space="0" w:color="auto"/>
            <w:right w:val="none" w:sz="0" w:space="0" w:color="auto"/>
          </w:divBdr>
        </w:div>
        <w:div w:id="618756504">
          <w:marLeft w:val="640"/>
          <w:marRight w:val="0"/>
          <w:marTop w:val="0"/>
          <w:marBottom w:val="0"/>
          <w:divBdr>
            <w:top w:val="none" w:sz="0" w:space="0" w:color="auto"/>
            <w:left w:val="none" w:sz="0" w:space="0" w:color="auto"/>
            <w:bottom w:val="none" w:sz="0" w:space="0" w:color="auto"/>
            <w:right w:val="none" w:sz="0" w:space="0" w:color="auto"/>
          </w:divBdr>
        </w:div>
        <w:div w:id="1750536015">
          <w:marLeft w:val="640"/>
          <w:marRight w:val="0"/>
          <w:marTop w:val="0"/>
          <w:marBottom w:val="0"/>
          <w:divBdr>
            <w:top w:val="none" w:sz="0" w:space="0" w:color="auto"/>
            <w:left w:val="none" w:sz="0" w:space="0" w:color="auto"/>
            <w:bottom w:val="none" w:sz="0" w:space="0" w:color="auto"/>
            <w:right w:val="none" w:sz="0" w:space="0" w:color="auto"/>
          </w:divBdr>
        </w:div>
        <w:div w:id="1741638486">
          <w:marLeft w:val="640"/>
          <w:marRight w:val="0"/>
          <w:marTop w:val="0"/>
          <w:marBottom w:val="0"/>
          <w:divBdr>
            <w:top w:val="none" w:sz="0" w:space="0" w:color="auto"/>
            <w:left w:val="none" w:sz="0" w:space="0" w:color="auto"/>
            <w:bottom w:val="none" w:sz="0" w:space="0" w:color="auto"/>
            <w:right w:val="none" w:sz="0" w:space="0" w:color="auto"/>
          </w:divBdr>
        </w:div>
        <w:div w:id="1285817320">
          <w:marLeft w:val="640"/>
          <w:marRight w:val="0"/>
          <w:marTop w:val="0"/>
          <w:marBottom w:val="0"/>
          <w:divBdr>
            <w:top w:val="none" w:sz="0" w:space="0" w:color="auto"/>
            <w:left w:val="none" w:sz="0" w:space="0" w:color="auto"/>
            <w:bottom w:val="none" w:sz="0" w:space="0" w:color="auto"/>
            <w:right w:val="none" w:sz="0" w:space="0" w:color="auto"/>
          </w:divBdr>
        </w:div>
        <w:div w:id="1647587291">
          <w:marLeft w:val="640"/>
          <w:marRight w:val="0"/>
          <w:marTop w:val="0"/>
          <w:marBottom w:val="0"/>
          <w:divBdr>
            <w:top w:val="none" w:sz="0" w:space="0" w:color="auto"/>
            <w:left w:val="none" w:sz="0" w:space="0" w:color="auto"/>
            <w:bottom w:val="none" w:sz="0" w:space="0" w:color="auto"/>
            <w:right w:val="none" w:sz="0" w:space="0" w:color="auto"/>
          </w:divBdr>
        </w:div>
      </w:divsChild>
    </w:div>
    <w:div w:id="115562021">
      <w:bodyDiv w:val="1"/>
      <w:marLeft w:val="0"/>
      <w:marRight w:val="0"/>
      <w:marTop w:val="0"/>
      <w:marBottom w:val="0"/>
      <w:divBdr>
        <w:top w:val="none" w:sz="0" w:space="0" w:color="auto"/>
        <w:left w:val="none" w:sz="0" w:space="0" w:color="auto"/>
        <w:bottom w:val="none" w:sz="0" w:space="0" w:color="auto"/>
        <w:right w:val="none" w:sz="0" w:space="0" w:color="auto"/>
      </w:divBdr>
      <w:divsChild>
        <w:div w:id="1974024164">
          <w:marLeft w:val="640"/>
          <w:marRight w:val="0"/>
          <w:marTop w:val="0"/>
          <w:marBottom w:val="0"/>
          <w:divBdr>
            <w:top w:val="none" w:sz="0" w:space="0" w:color="auto"/>
            <w:left w:val="none" w:sz="0" w:space="0" w:color="auto"/>
            <w:bottom w:val="none" w:sz="0" w:space="0" w:color="auto"/>
            <w:right w:val="none" w:sz="0" w:space="0" w:color="auto"/>
          </w:divBdr>
        </w:div>
        <w:div w:id="1298797298">
          <w:marLeft w:val="640"/>
          <w:marRight w:val="0"/>
          <w:marTop w:val="0"/>
          <w:marBottom w:val="0"/>
          <w:divBdr>
            <w:top w:val="none" w:sz="0" w:space="0" w:color="auto"/>
            <w:left w:val="none" w:sz="0" w:space="0" w:color="auto"/>
            <w:bottom w:val="none" w:sz="0" w:space="0" w:color="auto"/>
            <w:right w:val="none" w:sz="0" w:space="0" w:color="auto"/>
          </w:divBdr>
        </w:div>
        <w:div w:id="1836072716">
          <w:marLeft w:val="640"/>
          <w:marRight w:val="0"/>
          <w:marTop w:val="0"/>
          <w:marBottom w:val="0"/>
          <w:divBdr>
            <w:top w:val="none" w:sz="0" w:space="0" w:color="auto"/>
            <w:left w:val="none" w:sz="0" w:space="0" w:color="auto"/>
            <w:bottom w:val="none" w:sz="0" w:space="0" w:color="auto"/>
            <w:right w:val="none" w:sz="0" w:space="0" w:color="auto"/>
          </w:divBdr>
        </w:div>
        <w:div w:id="1000549447">
          <w:marLeft w:val="640"/>
          <w:marRight w:val="0"/>
          <w:marTop w:val="0"/>
          <w:marBottom w:val="0"/>
          <w:divBdr>
            <w:top w:val="none" w:sz="0" w:space="0" w:color="auto"/>
            <w:left w:val="none" w:sz="0" w:space="0" w:color="auto"/>
            <w:bottom w:val="none" w:sz="0" w:space="0" w:color="auto"/>
            <w:right w:val="none" w:sz="0" w:space="0" w:color="auto"/>
          </w:divBdr>
        </w:div>
        <w:div w:id="949970848">
          <w:marLeft w:val="640"/>
          <w:marRight w:val="0"/>
          <w:marTop w:val="0"/>
          <w:marBottom w:val="0"/>
          <w:divBdr>
            <w:top w:val="none" w:sz="0" w:space="0" w:color="auto"/>
            <w:left w:val="none" w:sz="0" w:space="0" w:color="auto"/>
            <w:bottom w:val="none" w:sz="0" w:space="0" w:color="auto"/>
            <w:right w:val="none" w:sz="0" w:space="0" w:color="auto"/>
          </w:divBdr>
        </w:div>
        <w:div w:id="2136174102">
          <w:marLeft w:val="640"/>
          <w:marRight w:val="0"/>
          <w:marTop w:val="0"/>
          <w:marBottom w:val="0"/>
          <w:divBdr>
            <w:top w:val="none" w:sz="0" w:space="0" w:color="auto"/>
            <w:left w:val="none" w:sz="0" w:space="0" w:color="auto"/>
            <w:bottom w:val="none" w:sz="0" w:space="0" w:color="auto"/>
            <w:right w:val="none" w:sz="0" w:space="0" w:color="auto"/>
          </w:divBdr>
        </w:div>
        <w:div w:id="1886402492">
          <w:marLeft w:val="640"/>
          <w:marRight w:val="0"/>
          <w:marTop w:val="0"/>
          <w:marBottom w:val="0"/>
          <w:divBdr>
            <w:top w:val="none" w:sz="0" w:space="0" w:color="auto"/>
            <w:left w:val="none" w:sz="0" w:space="0" w:color="auto"/>
            <w:bottom w:val="none" w:sz="0" w:space="0" w:color="auto"/>
            <w:right w:val="none" w:sz="0" w:space="0" w:color="auto"/>
          </w:divBdr>
        </w:div>
        <w:div w:id="1387801319">
          <w:marLeft w:val="640"/>
          <w:marRight w:val="0"/>
          <w:marTop w:val="0"/>
          <w:marBottom w:val="0"/>
          <w:divBdr>
            <w:top w:val="none" w:sz="0" w:space="0" w:color="auto"/>
            <w:left w:val="none" w:sz="0" w:space="0" w:color="auto"/>
            <w:bottom w:val="none" w:sz="0" w:space="0" w:color="auto"/>
            <w:right w:val="none" w:sz="0" w:space="0" w:color="auto"/>
          </w:divBdr>
        </w:div>
        <w:div w:id="1851681441">
          <w:marLeft w:val="640"/>
          <w:marRight w:val="0"/>
          <w:marTop w:val="0"/>
          <w:marBottom w:val="0"/>
          <w:divBdr>
            <w:top w:val="none" w:sz="0" w:space="0" w:color="auto"/>
            <w:left w:val="none" w:sz="0" w:space="0" w:color="auto"/>
            <w:bottom w:val="none" w:sz="0" w:space="0" w:color="auto"/>
            <w:right w:val="none" w:sz="0" w:space="0" w:color="auto"/>
          </w:divBdr>
        </w:div>
        <w:div w:id="1283419288">
          <w:marLeft w:val="640"/>
          <w:marRight w:val="0"/>
          <w:marTop w:val="0"/>
          <w:marBottom w:val="0"/>
          <w:divBdr>
            <w:top w:val="none" w:sz="0" w:space="0" w:color="auto"/>
            <w:left w:val="none" w:sz="0" w:space="0" w:color="auto"/>
            <w:bottom w:val="none" w:sz="0" w:space="0" w:color="auto"/>
            <w:right w:val="none" w:sz="0" w:space="0" w:color="auto"/>
          </w:divBdr>
        </w:div>
        <w:div w:id="658382480">
          <w:marLeft w:val="640"/>
          <w:marRight w:val="0"/>
          <w:marTop w:val="0"/>
          <w:marBottom w:val="0"/>
          <w:divBdr>
            <w:top w:val="none" w:sz="0" w:space="0" w:color="auto"/>
            <w:left w:val="none" w:sz="0" w:space="0" w:color="auto"/>
            <w:bottom w:val="none" w:sz="0" w:space="0" w:color="auto"/>
            <w:right w:val="none" w:sz="0" w:space="0" w:color="auto"/>
          </w:divBdr>
        </w:div>
      </w:divsChild>
    </w:div>
    <w:div w:id="234436283">
      <w:bodyDiv w:val="1"/>
      <w:marLeft w:val="0"/>
      <w:marRight w:val="0"/>
      <w:marTop w:val="0"/>
      <w:marBottom w:val="0"/>
      <w:divBdr>
        <w:top w:val="none" w:sz="0" w:space="0" w:color="auto"/>
        <w:left w:val="none" w:sz="0" w:space="0" w:color="auto"/>
        <w:bottom w:val="none" w:sz="0" w:space="0" w:color="auto"/>
        <w:right w:val="none" w:sz="0" w:space="0" w:color="auto"/>
      </w:divBdr>
      <w:divsChild>
        <w:div w:id="539361290">
          <w:marLeft w:val="640"/>
          <w:marRight w:val="0"/>
          <w:marTop w:val="0"/>
          <w:marBottom w:val="0"/>
          <w:divBdr>
            <w:top w:val="none" w:sz="0" w:space="0" w:color="auto"/>
            <w:left w:val="none" w:sz="0" w:space="0" w:color="auto"/>
            <w:bottom w:val="none" w:sz="0" w:space="0" w:color="auto"/>
            <w:right w:val="none" w:sz="0" w:space="0" w:color="auto"/>
          </w:divBdr>
        </w:div>
        <w:div w:id="340354098">
          <w:marLeft w:val="640"/>
          <w:marRight w:val="0"/>
          <w:marTop w:val="0"/>
          <w:marBottom w:val="0"/>
          <w:divBdr>
            <w:top w:val="none" w:sz="0" w:space="0" w:color="auto"/>
            <w:left w:val="none" w:sz="0" w:space="0" w:color="auto"/>
            <w:bottom w:val="none" w:sz="0" w:space="0" w:color="auto"/>
            <w:right w:val="none" w:sz="0" w:space="0" w:color="auto"/>
          </w:divBdr>
        </w:div>
        <w:div w:id="354034">
          <w:marLeft w:val="640"/>
          <w:marRight w:val="0"/>
          <w:marTop w:val="0"/>
          <w:marBottom w:val="0"/>
          <w:divBdr>
            <w:top w:val="none" w:sz="0" w:space="0" w:color="auto"/>
            <w:left w:val="none" w:sz="0" w:space="0" w:color="auto"/>
            <w:bottom w:val="none" w:sz="0" w:space="0" w:color="auto"/>
            <w:right w:val="none" w:sz="0" w:space="0" w:color="auto"/>
          </w:divBdr>
        </w:div>
        <w:div w:id="2131589510">
          <w:marLeft w:val="640"/>
          <w:marRight w:val="0"/>
          <w:marTop w:val="0"/>
          <w:marBottom w:val="0"/>
          <w:divBdr>
            <w:top w:val="none" w:sz="0" w:space="0" w:color="auto"/>
            <w:left w:val="none" w:sz="0" w:space="0" w:color="auto"/>
            <w:bottom w:val="none" w:sz="0" w:space="0" w:color="auto"/>
            <w:right w:val="none" w:sz="0" w:space="0" w:color="auto"/>
          </w:divBdr>
        </w:div>
        <w:div w:id="639118474">
          <w:marLeft w:val="640"/>
          <w:marRight w:val="0"/>
          <w:marTop w:val="0"/>
          <w:marBottom w:val="0"/>
          <w:divBdr>
            <w:top w:val="none" w:sz="0" w:space="0" w:color="auto"/>
            <w:left w:val="none" w:sz="0" w:space="0" w:color="auto"/>
            <w:bottom w:val="none" w:sz="0" w:space="0" w:color="auto"/>
            <w:right w:val="none" w:sz="0" w:space="0" w:color="auto"/>
          </w:divBdr>
        </w:div>
        <w:div w:id="1364398312">
          <w:marLeft w:val="640"/>
          <w:marRight w:val="0"/>
          <w:marTop w:val="0"/>
          <w:marBottom w:val="0"/>
          <w:divBdr>
            <w:top w:val="none" w:sz="0" w:space="0" w:color="auto"/>
            <w:left w:val="none" w:sz="0" w:space="0" w:color="auto"/>
            <w:bottom w:val="none" w:sz="0" w:space="0" w:color="auto"/>
            <w:right w:val="none" w:sz="0" w:space="0" w:color="auto"/>
          </w:divBdr>
        </w:div>
        <w:div w:id="300505281">
          <w:marLeft w:val="640"/>
          <w:marRight w:val="0"/>
          <w:marTop w:val="0"/>
          <w:marBottom w:val="0"/>
          <w:divBdr>
            <w:top w:val="none" w:sz="0" w:space="0" w:color="auto"/>
            <w:left w:val="none" w:sz="0" w:space="0" w:color="auto"/>
            <w:bottom w:val="none" w:sz="0" w:space="0" w:color="auto"/>
            <w:right w:val="none" w:sz="0" w:space="0" w:color="auto"/>
          </w:divBdr>
        </w:div>
        <w:div w:id="2115588494">
          <w:marLeft w:val="640"/>
          <w:marRight w:val="0"/>
          <w:marTop w:val="0"/>
          <w:marBottom w:val="0"/>
          <w:divBdr>
            <w:top w:val="none" w:sz="0" w:space="0" w:color="auto"/>
            <w:left w:val="none" w:sz="0" w:space="0" w:color="auto"/>
            <w:bottom w:val="none" w:sz="0" w:space="0" w:color="auto"/>
            <w:right w:val="none" w:sz="0" w:space="0" w:color="auto"/>
          </w:divBdr>
        </w:div>
        <w:div w:id="1471895315">
          <w:marLeft w:val="640"/>
          <w:marRight w:val="0"/>
          <w:marTop w:val="0"/>
          <w:marBottom w:val="0"/>
          <w:divBdr>
            <w:top w:val="none" w:sz="0" w:space="0" w:color="auto"/>
            <w:left w:val="none" w:sz="0" w:space="0" w:color="auto"/>
            <w:bottom w:val="none" w:sz="0" w:space="0" w:color="auto"/>
            <w:right w:val="none" w:sz="0" w:space="0" w:color="auto"/>
          </w:divBdr>
        </w:div>
        <w:div w:id="496505756">
          <w:marLeft w:val="640"/>
          <w:marRight w:val="0"/>
          <w:marTop w:val="0"/>
          <w:marBottom w:val="0"/>
          <w:divBdr>
            <w:top w:val="none" w:sz="0" w:space="0" w:color="auto"/>
            <w:left w:val="none" w:sz="0" w:space="0" w:color="auto"/>
            <w:bottom w:val="none" w:sz="0" w:space="0" w:color="auto"/>
            <w:right w:val="none" w:sz="0" w:space="0" w:color="auto"/>
          </w:divBdr>
        </w:div>
        <w:div w:id="1506630102">
          <w:marLeft w:val="640"/>
          <w:marRight w:val="0"/>
          <w:marTop w:val="0"/>
          <w:marBottom w:val="0"/>
          <w:divBdr>
            <w:top w:val="none" w:sz="0" w:space="0" w:color="auto"/>
            <w:left w:val="none" w:sz="0" w:space="0" w:color="auto"/>
            <w:bottom w:val="none" w:sz="0" w:space="0" w:color="auto"/>
            <w:right w:val="none" w:sz="0" w:space="0" w:color="auto"/>
          </w:divBdr>
        </w:div>
      </w:divsChild>
    </w:div>
    <w:div w:id="290331958">
      <w:bodyDiv w:val="1"/>
      <w:marLeft w:val="0"/>
      <w:marRight w:val="0"/>
      <w:marTop w:val="0"/>
      <w:marBottom w:val="0"/>
      <w:divBdr>
        <w:top w:val="none" w:sz="0" w:space="0" w:color="auto"/>
        <w:left w:val="none" w:sz="0" w:space="0" w:color="auto"/>
        <w:bottom w:val="none" w:sz="0" w:space="0" w:color="auto"/>
        <w:right w:val="none" w:sz="0" w:space="0" w:color="auto"/>
      </w:divBdr>
    </w:div>
    <w:div w:id="393894082">
      <w:bodyDiv w:val="1"/>
      <w:marLeft w:val="0"/>
      <w:marRight w:val="0"/>
      <w:marTop w:val="0"/>
      <w:marBottom w:val="0"/>
      <w:divBdr>
        <w:top w:val="none" w:sz="0" w:space="0" w:color="auto"/>
        <w:left w:val="none" w:sz="0" w:space="0" w:color="auto"/>
        <w:bottom w:val="none" w:sz="0" w:space="0" w:color="auto"/>
        <w:right w:val="none" w:sz="0" w:space="0" w:color="auto"/>
      </w:divBdr>
    </w:div>
    <w:div w:id="423460114">
      <w:bodyDiv w:val="1"/>
      <w:marLeft w:val="0"/>
      <w:marRight w:val="0"/>
      <w:marTop w:val="0"/>
      <w:marBottom w:val="0"/>
      <w:divBdr>
        <w:top w:val="none" w:sz="0" w:space="0" w:color="auto"/>
        <w:left w:val="none" w:sz="0" w:space="0" w:color="auto"/>
        <w:bottom w:val="none" w:sz="0" w:space="0" w:color="auto"/>
        <w:right w:val="none" w:sz="0" w:space="0" w:color="auto"/>
      </w:divBdr>
    </w:div>
    <w:div w:id="426267498">
      <w:bodyDiv w:val="1"/>
      <w:marLeft w:val="0"/>
      <w:marRight w:val="0"/>
      <w:marTop w:val="0"/>
      <w:marBottom w:val="0"/>
      <w:divBdr>
        <w:top w:val="none" w:sz="0" w:space="0" w:color="auto"/>
        <w:left w:val="none" w:sz="0" w:space="0" w:color="auto"/>
        <w:bottom w:val="none" w:sz="0" w:space="0" w:color="auto"/>
        <w:right w:val="none" w:sz="0" w:space="0" w:color="auto"/>
      </w:divBdr>
    </w:div>
    <w:div w:id="488060097">
      <w:bodyDiv w:val="1"/>
      <w:marLeft w:val="0"/>
      <w:marRight w:val="0"/>
      <w:marTop w:val="0"/>
      <w:marBottom w:val="0"/>
      <w:divBdr>
        <w:top w:val="none" w:sz="0" w:space="0" w:color="auto"/>
        <w:left w:val="none" w:sz="0" w:space="0" w:color="auto"/>
        <w:bottom w:val="none" w:sz="0" w:space="0" w:color="auto"/>
        <w:right w:val="none" w:sz="0" w:space="0" w:color="auto"/>
      </w:divBdr>
    </w:div>
    <w:div w:id="530608332">
      <w:bodyDiv w:val="1"/>
      <w:marLeft w:val="0"/>
      <w:marRight w:val="0"/>
      <w:marTop w:val="0"/>
      <w:marBottom w:val="0"/>
      <w:divBdr>
        <w:top w:val="none" w:sz="0" w:space="0" w:color="auto"/>
        <w:left w:val="none" w:sz="0" w:space="0" w:color="auto"/>
        <w:bottom w:val="none" w:sz="0" w:space="0" w:color="auto"/>
        <w:right w:val="none" w:sz="0" w:space="0" w:color="auto"/>
      </w:divBdr>
    </w:div>
    <w:div w:id="620384942">
      <w:bodyDiv w:val="1"/>
      <w:marLeft w:val="0"/>
      <w:marRight w:val="0"/>
      <w:marTop w:val="0"/>
      <w:marBottom w:val="0"/>
      <w:divBdr>
        <w:top w:val="none" w:sz="0" w:space="0" w:color="auto"/>
        <w:left w:val="none" w:sz="0" w:space="0" w:color="auto"/>
        <w:bottom w:val="none" w:sz="0" w:space="0" w:color="auto"/>
        <w:right w:val="none" w:sz="0" w:space="0" w:color="auto"/>
      </w:divBdr>
    </w:div>
    <w:div w:id="681782091">
      <w:bodyDiv w:val="1"/>
      <w:marLeft w:val="0"/>
      <w:marRight w:val="0"/>
      <w:marTop w:val="0"/>
      <w:marBottom w:val="0"/>
      <w:divBdr>
        <w:top w:val="none" w:sz="0" w:space="0" w:color="auto"/>
        <w:left w:val="none" w:sz="0" w:space="0" w:color="auto"/>
        <w:bottom w:val="none" w:sz="0" w:space="0" w:color="auto"/>
        <w:right w:val="none" w:sz="0" w:space="0" w:color="auto"/>
      </w:divBdr>
    </w:div>
    <w:div w:id="765537375">
      <w:bodyDiv w:val="1"/>
      <w:marLeft w:val="0"/>
      <w:marRight w:val="0"/>
      <w:marTop w:val="0"/>
      <w:marBottom w:val="0"/>
      <w:divBdr>
        <w:top w:val="none" w:sz="0" w:space="0" w:color="auto"/>
        <w:left w:val="none" w:sz="0" w:space="0" w:color="auto"/>
        <w:bottom w:val="none" w:sz="0" w:space="0" w:color="auto"/>
        <w:right w:val="none" w:sz="0" w:space="0" w:color="auto"/>
      </w:divBdr>
    </w:div>
    <w:div w:id="777915305">
      <w:bodyDiv w:val="1"/>
      <w:marLeft w:val="0"/>
      <w:marRight w:val="0"/>
      <w:marTop w:val="0"/>
      <w:marBottom w:val="0"/>
      <w:divBdr>
        <w:top w:val="none" w:sz="0" w:space="0" w:color="auto"/>
        <w:left w:val="none" w:sz="0" w:space="0" w:color="auto"/>
        <w:bottom w:val="none" w:sz="0" w:space="0" w:color="auto"/>
        <w:right w:val="none" w:sz="0" w:space="0" w:color="auto"/>
      </w:divBdr>
    </w:div>
    <w:div w:id="823011592">
      <w:bodyDiv w:val="1"/>
      <w:marLeft w:val="0"/>
      <w:marRight w:val="0"/>
      <w:marTop w:val="0"/>
      <w:marBottom w:val="0"/>
      <w:divBdr>
        <w:top w:val="none" w:sz="0" w:space="0" w:color="auto"/>
        <w:left w:val="none" w:sz="0" w:space="0" w:color="auto"/>
        <w:bottom w:val="none" w:sz="0" w:space="0" w:color="auto"/>
        <w:right w:val="none" w:sz="0" w:space="0" w:color="auto"/>
      </w:divBdr>
    </w:div>
    <w:div w:id="844200143">
      <w:bodyDiv w:val="1"/>
      <w:marLeft w:val="0"/>
      <w:marRight w:val="0"/>
      <w:marTop w:val="0"/>
      <w:marBottom w:val="0"/>
      <w:divBdr>
        <w:top w:val="none" w:sz="0" w:space="0" w:color="auto"/>
        <w:left w:val="none" w:sz="0" w:space="0" w:color="auto"/>
        <w:bottom w:val="none" w:sz="0" w:space="0" w:color="auto"/>
        <w:right w:val="none" w:sz="0" w:space="0" w:color="auto"/>
      </w:divBdr>
    </w:div>
    <w:div w:id="1237394462">
      <w:bodyDiv w:val="1"/>
      <w:marLeft w:val="0"/>
      <w:marRight w:val="0"/>
      <w:marTop w:val="0"/>
      <w:marBottom w:val="0"/>
      <w:divBdr>
        <w:top w:val="none" w:sz="0" w:space="0" w:color="auto"/>
        <w:left w:val="none" w:sz="0" w:space="0" w:color="auto"/>
        <w:bottom w:val="none" w:sz="0" w:space="0" w:color="auto"/>
        <w:right w:val="none" w:sz="0" w:space="0" w:color="auto"/>
      </w:divBdr>
    </w:div>
    <w:div w:id="1268004904">
      <w:bodyDiv w:val="1"/>
      <w:marLeft w:val="0"/>
      <w:marRight w:val="0"/>
      <w:marTop w:val="0"/>
      <w:marBottom w:val="0"/>
      <w:divBdr>
        <w:top w:val="none" w:sz="0" w:space="0" w:color="auto"/>
        <w:left w:val="none" w:sz="0" w:space="0" w:color="auto"/>
        <w:bottom w:val="none" w:sz="0" w:space="0" w:color="auto"/>
        <w:right w:val="none" w:sz="0" w:space="0" w:color="auto"/>
      </w:divBdr>
    </w:div>
    <w:div w:id="1271552852">
      <w:bodyDiv w:val="1"/>
      <w:marLeft w:val="0"/>
      <w:marRight w:val="0"/>
      <w:marTop w:val="0"/>
      <w:marBottom w:val="0"/>
      <w:divBdr>
        <w:top w:val="none" w:sz="0" w:space="0" w:color="auto"/>
        <w:left w:val="none" w:sz="0" w:space="0" w:color="auto"/>
        <w:bottom w:val="none" w:sz="0" w:space="0" w:color="auto"/>
        <w:right w:val="none" w:sz="0" w:space="0" w:color="auto"/>
      </w:divBdr>
      <w:divsChild>
        <w:div w:id="1619750567">
          <w:marLeft w:val="640"/>
          <w:marRight w:val="0"/>
          <w:marTop w:val="0"/>
          <w:marBottom w:val="0"/>
          <w:divBdr>
            <w:top w:val="none" w:sz="0" w:space="0" w:color="auto"/>
            <w:left w:val="none" w:sz="0" w:space="0" w:color="auto"/>
            <w:bottom w:val="none" w:sz="0" w:space="0" w:color="auto"/>
            <w:right w:val="none" w:sz="0" w:space="0" w:color="auto"/>
          </w:divBdr>
        </w:div>
        <w:div w:id="748693274">
          <w:marLeft w:val="640"/>
          <w:marRight w:val="0"/>
          <w:marTop w:val="0"/>
          <w:marBottom w:val="0"/>
          <w:divBdr>
            <w:top w:val="none" w:sz="0" w:space="0" w:color="auto"/>
            <w:left w:val="none" w:sz="0" w:space="0" w:color="auto"/>
            <w:bottom w:val="none" w:sz="0" w:space="0" w:color="auto"/>
            <w:right w:val="none" w:sz="0" w:space="0" w:color="auto"/>
          </w:divBdr>
        </w:div>
        <w:div w:id="552811369">
          <w:marLeft w:val="640"/>
          <w:marRight w:val="0"/>
          <w:marTop w:val="0"/>
          <w:marBottom w:val="0"/>
          <w:divBdr>
            <w:top w:val="none" w:sz="0" w:space="0" w:color="auto"/>
            <w:left w:val="none" w:sz="0" w:space="0" w:color="auto"/>
            <w:bottom w:val="none" w:sz="0" w:space="0" w:color="auto"/>
            <w:right w:val="none" w:sz="0" w:space="0" w:color="auto"/>
          </w:divBdr>
        </w:div>
        <w:div w:id="1133714713">
          <w:marLeft w:val="640"/>
          <w:marRight w:val="0"/>
          <w:marTop w:val="0"/>
          <w:marBottom w:val="0"/>
          <w:divBdr>
            <w:top w:val="none" w:sz="0" w:space="0" w:color="auto"/>
            <w:left w:val="none" w:sz="0" w:space="0" w:color="auto"/>
            <w:bottom w:val="none" w:sz="0" w:space="0" w:color="auto"/>
            <w:right w:val="none" w:sz="0" w:space="0" w:color="auto"/>
          </w:divBdr>
        </w:div>
        <w:div w:id="1680540064">
          <w:marLeft w:val="640"/>
          <w:marRight w:val="0"/>
          <w:marTop w:val="0"/>
          <w:marBottom w:val="0"/>
          <w:divBdr>
            <w:top w:val="none" w:sz="0" w:space="0" w:color="auto"/>
            <w:left w:val="none" w:sz="0" w:space="0" w:color="auto"/>
            <w:bottom w:val="none" w:sz="0" w:space="0" w:color="auto"/>
            <w:right w:val="none" w:sz="0" w:space="0" w:color="auto"/>
          </w:divBdr>
        </w:div>
        <w:div w:id="1507862077">
          <w:marLeft w:val="640"/>
          <w:marRight w:val="0"/>
          <w:marTop w:val="0"/>
          <w:marBottom w:val="0"/>
          <w:divBdr>
            <w:top w:val="none" w:sz="0" w:space="0" w:color="auto"/>
            <w:left w:val="none" w:sz="0" w:space="0" w:color="auto"/>
            <w:bottom w:val="none" w:sz="0" w:space="0" w:color="auto"/>
            <w:right w:val="none" w:sz="0" w:space="0" w:color="auto"/>
          </w:divBdr>
        </w:div>
        <w:div w:id="59794817">
          <w:marLeft w:val="640"/>
          <w:marRight w:val="0"/>
          <w:marTop w:val="0"/>
          <w:marBottom w:val="0"/>
          <w:divBdr>
            <w:top w:val="none" w:sz="0" w:space="0" w:color="auto"/>
            <w:left w:val="none" w:sz="0" w:space="0" w:color="auto"/>
            <w:bottom w:val="none" w:sz="0" w:space="0" w:color="auto"/>
            <w:right w:val="none" w:sz="0" w:space="0" w:color="auto"/>
          </w:divBdr>
        </w:div>
        <w:div w:id="822623395">
          <w:marLeft w:val="640"/>
          <w:marRight w:val="0"/>
          <w:marTop w:val="0"/>
          <w:marBottom w:val="0"/>
          <w:divBdr>
            <w:top w:val="none" w:sz="0" w:space="0" w:color="auto"/>
            <w:left w:val="none" w:sz="0" w:space="0" w:color="auto"/>
            <w:bottom w:val="none" w:sz="0" w:space="0" w:color="auto"/>
            <w:right w:val="none" w:sz="0" w:space="0" w:color="auto"/>
          </w:divBdr>
        </w:div>
        <w:div w:id="1665274884">
          <w:marLeft w:val="640"/>
          <w:marRight w:val="0"/>
          <w:marTop w:val="0"/>
          <w:marBottom w:val="0"/>
          <w:divBdr>
            <w:top w:val="none" w:sz="0" w:space="0" w:color="auto"/>
            <w:left w:val="none" w:sz="0" w:space="0" w:color="auto"/>
            <w:bottom w:val="none" w:sz="0" w:space="0" w:color="auto"/>
            <w:right w:val="none" w:sz="0" w:space="0" w:color="auto"/>
          </w:divBdr>
        </w:div>
        <w:div w:id="1631474981">
          <w:marLeft w:val="640"/>
          <w:marRight w:val="0"/>
          <w:marTop w:val="0"/>
          <w:marBottom w:val="0"/>
          <w:divBdr>
            <w:top w:val="none" w:sz="0" w:space="0" w:color="auto"/>
            <w:left w:val="none" w:sz="0" w:space="0" w:color="auto"/>
            <w:bottom w:val="none" w:sz="0" w:space="0" w:color="auto"/>
            <w:right w:val="none" w:sz="0" w:space="0" w:color="auto"/>
          </w:divBdr>
        </w:div>
        <w:div w:id="54747278">
          <w:marLeft w:val="640"/>
          <w:marRight w:val="0"/>
          <w:marTop w:val="0"/>
          <w:marBottom w:val="0"/>
          <w:divBdr>
            <w:top w:val="none" w:sz="0" w:space="0" w:color="auto"/>
            <w:left w:val="none" w:sz="0" w:space="0" w:color="auto"/>
            <w:bottom w:val="none" w:sz="0" w:space="0" w:color="auto"/>
            <w:right w:val="none" w:sz="0" w:space="0" w:color="auto"/>
          </w:divBdr>
        </w:div>
      </w:divsChild>
    </w:div>
    <w:div w:id="1318146288">
      <w:bodyDiv w:val="1"/>
      <w:marLeft w:val="0"/>
      <w:marRight w:val="0"/>
      <w:marTop w:val="0"/>
      <w:marBottom w:val="0"/>
      <w:divBdr>
        <w:top w:val="none" w:sz="0" w:space="0" w:color="auto"/>
        <w:left w:val="none" w:sz="0" w:space="0" w:color="auto"/>
        <w:bottom w:val="none" w:sz="0" w:space="0" w:color="auto"/>
        <w:right w:val="none" w:sz="0" w:space="0" w:color="auto"/>
      </w:divBdr>
    </w:div>
    <w:div w:id="1326785701">
      <w:bodyDiv w:val="1"/>
      <w:marLeft w:val="0"/>
      <w:marRight w:val="0"/>
      <w:marTop w:val="0"/>
      <w:marBottom w:val="0"/>
      <w:divBdr>
        <w:top w:val="none" w:sz="0" w:space="0" w:color="auto"/>
        <w:left w:val="none" w:sz="0" w:space="0" w:color="auto"/>
        <w:bottom w:val="none" w:sz="0" w:space="0" w:color="auto"/>
        <w:right w:val="none" w:sz="0" w:space="0" w:color="auto"/>
      </w:divBdr>
      <w:divsChild>
        <w:div w:id="365255092">
          <w:marLeft w:val="640"/>
          <w:marRight w:val="0"/>
          <w:marTop w:val="0"/>
          <w:marBottom w:val="0"/>
          <w:divBdr>
            <w:top w:val="none" w:sz="0" w:space="0" w:color="auto"/>
            <w:left w:val="none" w:sz="0" w:space="0" w:color="auto"/>
            <w:bottom w:val="none" w:sz="0" w:space="0" w:color="auto"/>
            <w:right w:val="none" w:sz="0" w:space="0" w:color="auto"/>
          </w:divBdr>
        </w:div>
        <w:div w:id="2072002074">
          <w:marLeft w:val="640"/>
          <w:marRight w:val="0"/>
          <w:marTop w:val="0"/>
          <w:marBottom w:val="0"/>
          <w:divBdr>
            <w:top w:val="none" w:sz="0" w:space="0" w:color="auto"/>
            <w:left w:val="none" w:sz="0" w:space="0" w:color="auto"/>
            <w:bottom w:val="none" w:sz="0" w:space="0" w:color="auto"/>
            <w:right w:val="none" w:sz="0" w:space="0" w:color="auto"/>
          </w:divBdr>
        </w:div>
        <w:div w:id="322859199">
          <w:marLeft w:val="640"/>
          <w:marRight w:val="0"/>
          <w:marTop w:val="0"/>
          <w:marBottom w:val="0"/>
          <w:divBdr>
            <w:top w:val="none" w:sz="0" w:space="0" w:color="auto"/>
            <w:left w:val="none" w:sz="0" w:space="0" w:color="auto"/>
            <w:bottom w:val="none" w:sz="0" w:space="0" w:color="auto"/>
            <w:right w:val="none" w:sz="0" w:space="0" w:color="auto"/>
          </w:divBdr>
        </w:div>
        <w:div w:id="161243660">
          <w:marLeft w:val="640"/>
          <w:marRight w:val="0"/>
          <w:marTop w:val="0"/>
          <w:marBottom w:val="0"/>
          <w:divBdr>
            <w:top w:val="none" w:sz="0" w:space="0" w:color="auto"/>
            <w:left w:val="none" w:sz="0" w:space="0" w:color="auto"/>
            <w:bottom w:val="none" w:sz="0" w:space="0" w:color="auto"/>
            <w:right w:val="none" w:sz="0" w:space="0" w:color="auto"/>
          </w:divBdr>
        </w:div>
        <w:div w:id="133840263">
          <w:marLeft w:val="640"/>
          <w:marRight w:val="0"/>
          <w:marTop w:val="0"/>
          <w:marBottom w:val="0"/>
          <w:divBdr>
            <w:top w:val="none" w:sz="0" w:space="0" w:color="auto"/>
            <w:left w:val="none" w:sz="0" w:space="0" w:color="auto"/>
            <w:bottom w:val="none" w:sz="0" w:space="0" w:color="auto"/>
            <w:right w:val="none" w:sz="0" w:space="0" w:color="auto"/>
          </w:divBdr>
        </w:div>
        <w:div w:id="223220693">
          <w:marLeft w:val="640"/>
          <w:marRight w:val="0"/>
          <w:marTop w:val="0"/>
          <w:marBottom w:val="0"/>
          <w:divBdr>
            <w:top w:val="none" w:sz="0" w:space="0" w:color="auto"/>
            <w:left w:val="none" w:sz="0" w:space="0" w:color="auto"/>
            <w:bottom w:val="none" w:sz="0" w:space="0" w:color="auto"/>
            <w:right w:val="none" w:sz="0" w:space="0" w:color="auto"/>
          </w:divBdr>
        </w:div>
        <w:div w:id="1914389344">
          <w:marLeft w:val="640"/>
          <w:marRight w:val="0"/>
          <w:marTop w:val="0"/>
          <w:marBottom w:val="0"/>
          <w:divBdr>
            <w:top w:val="none" w:sz="0" w:space="0" w:color="auto"/>
            <w:left w:val="none" w:sz="0" w:space="0" w:color="auto"/>
            <w:bottom w:val="none" w:sz="0" w:space="0" w:color="auto"/>
            <w:right w:val="none" w:sz="0" w:space="0" w:color="auto"/>
          </w:divBdr>
        </w:div>
        <w:div w:id="1713535900">
          <w:marLeft w:val="640"/>
          <w:marRight w:val="0"/>
          <w:marTop w:val="0"/>
          <w:marBottom w:val="0"/>
          <w:divBdr>
            <w:top w:val="none" w:sz="0" w:space="0" w:color="auto"/>
            <w:left w:val="none" w:sz="0" w:space="0" w:color="auto"/>
            <w:bottom w:val="none" w:sz="0" w:space="0" w:color="auto"/>
            <w:right w:val="none" w:sz="0" w:space="0" w:color="auto"/>
          </w:divBdr>
        </w:div>
        <w:div w:id="1189560431">
          <w:marLeft w:val="640"/>
          <w:marRight w:val="0"/>
          <w:marTop w:val="0"/>
          <w:marBottom w:val="0"/>
          <w:divBdr>
            <w:top w:val="none" w:sz="0" w:space="0" w:color="auto"/>
            <w:left w:val="none" w:sz="0" w:space="0" w:color="auto"/>
            <w:bottom w:val="none" w:sz="0" w:space="0" w:color="auto"/>
            <w:right w:val="none" w:sz="0" w:space="0" w:color="auto"/>
          </w:divBdr>
        </w:div>
        <w:div w:id="1869950760">
          <w:marLeft w:val="640"/>
          <w:marRight w:val="0"/>
          <w:marTop w:val="0"/>
          <w:marBottom w:val="0"/>
          <w:divBdr>
            <w:top w:val="none" w:sz="0" w:space="0" w:color="auto"/>
            <w:left w:val="none" w:sz="0" w:space="0" w:color="auto"/>
            <w:bottom w:val="none" w:sz="0" w:space="0" w:color="auto"/>
            <w:right w:val="none" w:sz="0" w:space="0" w:color="auto"/>
          </w:divBdr>
        </w:div>
        <w:div w:id="369960654">
          <w:marLeft w:val="640"/>
          <w:marRight w:val="0"/>
          <w:marTop w:val="0"/>
          <w:marBottom w:val="0"/>
          <w:divBdr>
            <w:top w:val="none" w:sz="0" w:space="0" w:color="auto"/>
            <w:left w:val="none" w:sz="0" w:space="0" w:color="auto"/>
            <w:bottom w:val="none" w:sz="0" w:space="0" w:color="auto"/>
            <w:right w:val="none" w:sz="0" w:space="0" w:color="auto"/>
          </w:divBdr>
        </w:div>
      </w:divsChild>
    </w:div>
    <w:div w:id="1399014914">
      <w:bodyDiv w:val="1"/>
      <w:marLeft w:val="0"/>
      <w:marRight w:val="0"/>
      <w:marTop w:val="0"/>
      <w:marBottom w:val="0"/>
      <w:divBdr>
        <w:top w:val="none" w:sz="0" w:space="0" w:color="auto"/>
        <w:left w:val="none" w:sz="0" w:space="0" w:color="auto"/>
        <w:bottom w:val="none" w:sz="0" w:space="0" w:color="auto"/>
        <w:right w:val="none" w:sz="0" w:space="0" w:color="auto"/>
      </w:divBdr>
    </w:div>
    <w:div w:id="1429035268">
      <w:bodyDiv w:val="1"/>
      <w:marLeft w:val="0"/>
      <w:marRight w:val="0"/>
      <w:marTop w:val="0"/>
      <w:marBottom w:val="0"/>
      <w:divBdr>
        <w:top w:val="none" w:sz="0" w:space="0" w:color="auto"/>
        <w:left w:val="none" w:sz="0" w:space="0" w:color="auto"/>
        <w:bottom w:val="none" w:sz="0" w:space="0" w:color="auto"/>
        <w:right w:val="none" w:sz="0" w:space="0" w:color="auto"/>
      </w:divBdr>
    </w:div>
    <w:div w:id="1437407195">
      <w:bodyDiv w:val="1"/>
      <w:marLeft w:val="0"/>
      <w:marRight w:val="0"/>
      <w:marTop w:val="0"/>
      <w:marBottom w:val="0"/>
      <w:divBdr>
        <w:top w:val="none" w:sz="0" w:space="0" w:color="auto"/>
        <w:left w:val="none" w:sz="0" w:space="0" w:color="auto"/>
        <w:bottom w:val="none" w:sz="0" w:space="0" w:color="auto"/>
        <w:right w:val="none" w:sz="0" w:space="0" w:color="auto"/>
      </w:divBdr>
    </w:div>
    <w:div w:id="1483154372">
      <w:bodyDiv w:val="1"/>
      <w:marLeft w:val="0"/>
      <w:marRight w:val="0"/>
      <w:marTop w:val="0"/>
      <w:marBottom w:val="0"/>
      <w:divBdr>
        <w:top w:val="none" w:sz="0" w:space="0" w:color="auto"/>
        <w:left w:val="none" w:sz="0" w:space="0" w:color="auto"/>
        <w:bottom w:val="none" w:sz="0" w:space="0" w:color="auto"/>
        <w:right w:val="none" w:sz="0" w:space="0" w:color="auto"/>
      </w:divBdr>
    </w:div>
    <w:div w:id="1507013271">
      <w:bodyDiv w:val="1"/>
      <w:marLeft w:val="0"/>
      <w:marRight w:val="0"/>
      <w:marTop w:val="0"/>
      <w:marBottom w:val="0"/>
      <w:divBdr>
        <w:top w:val="none" w:sz="0" w:space="0" w:color="auto"/>
        <w:left w:val="none" w:sz="0" w:space="0" w:color="auto"/>
        <w:bottom w:val="none" w:sz="0" w:space="0" w:color="auto"/>
        <w:right w:val="none" w:sz="0" w:space="0" w:color="auto"/>
      </w:divBdr>
    </w:div>
    <w:div w:id="1607926454">
      <w:bodyDiv w:val="1"/>
      <w:marLeft w:val="0"/>
      <w:marRight w:val="0"/>
      <w:marTop w:val="0"/>
      <w:marBottom w:val="0"/>
      <w:divBdr>
        <w:top w:val="none" w:sz="0" w:space="0" w:color="auto"/>
        <w:left w:val="none" w:sz="0" w:space="0" w:color="auto"/>
        <w:bottom w:val="none" w:sz="0" w:space="0" w:color="auto"/>
        <w:right w:val="none" w:sz="0" w:space="0" w:color="auto"/>
      </w:divBdr>
      <w:divsChild>
        <w:div w:id="423570580">
          <w:marLeft w:val="0"/>
          <w:marRight w:val="0"/>
          <w:marTop w:val="0"/>
          <w:marBottom w:val="0"/>
          <w:divBdr>
            <w:top w:val="none" w:sz="0" w:space="0" w:color="auto"/>
            <w:left w:val="none" w:sz="0" w:space="0" w:color="auto"/>
            <w:bottom w:val="none" w:sz="0" w:space="0" w:color="auto"/>
            <w:right w:val="none" w:sz="0" w:space="0" w:color="auto"/>
          </w:divBdr>
        </w:div>
        <w:div w:id="1780680180">
          <w:marLeft w:val="0"/>
          <w:marRight w:val="0"/>
          <w:marTop w:val="0"/>
          <w:marBottom w:val="0"/>
          <w:divBdr>
            <w:top w:val="none" w:sz="0" w:space="0" w:color="auto"/>
            <w:left w:val="none" w:sz="0" w:space="0" w:color="auto"/>
            <w:bottom w:val="none" w:sz="0" w:space="0" w:color="auto"/>
            <w:right w:val="none" w:sz="0" w:space="0" w:color="auto"/>
          </w:divBdr>
          <w:divsChild>
            <w:div w:id="1293294927">
              <w:marLeft w:val="0"/>
              <w:marRight w:val="0"/>
              <w:marTop w:val="0"/>
              <w:marBottom w:val="0"/>
              <w:divBdr>
                <w:top w:val="none" w:sz="0" w:space="0" w:color="auto"/>
                <w:left w:val="none" w:sz="0" w:space="0" w:color="auto"/>
                <w:bottom w:val="none" w:sz="0" w:space="0" w:color="auto"/>
                <w:right w:val="none" w:sz="0" w:space="0" w:color="auto"/>
              </w:divBdr>
              <w:divsChild>
                <w:div w:id="99164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836141">
      <w:bodyDiv w:val="1"/>
      <w:marLeft w:val="0"/>
      <w:marRight w:val="0"/>
      <w:marTop w:val="0"/>
      <w:marBottom w:val="0"/>
      <w:divBdr>
        <w:top w:val="none" w:sz="0" w:space="0" w:color="auto"/>
        <w:left w:val="none" w:sz="0" w:space="0" w:color="auto"/>
        <w:bottom w:val="none" w:sz="0" w:space="0" w:color="auto"/>
        <w:right w:val="none" w:sz="0" w:space="0" w:color="auto"/>
      </w:divBdr>
    </w:div>
    <w:div w:id="1630940832">
      <w:bodyDiv w:val="1"/>
      <w:marLeft w:val="0"/>
      <w:marRight w:val="0"/>
      <w:marTop w:val="0"/>
      <w:marBottom w:val="0"/>
      <w:divBdr>
        <w:top w:val="none" w:sz="0" w:space="0" w:color="auto"/>
        <w:left w:val="none" w:sz="0" w:space="0" w:color="auto"/>
        <w:bottom w:val="none" w:sz="0" w:space="0" w:color="auto"/>
        <w:right w:val="none" w:sz="0" w:space="0" w:color="auto"/>
      </w:divBdr>
      <w:divsChild>
        <w:div w:id="391857148">
          <w:marLeft w:val="640"/>
          <w:marRight w:val="0"/>
          <w:marTop w:val="0"/>
          <w:marBottom w:val="0"/>
          <w:divBdr>
            <w:top w:val="none" w:sz="0" w:space="0" w:color="auto"/>
            <w:left w:val="none" w:sz="0" w:space="0" w:color="auto"/>
            <w:bottom w:val="none" w:sz="0" w:space="0" w:color="auto"/>
            <w:right w:val="none" w:sz="0" w:space="0" w:color="auto"/>
          </w:divBdr>
        </w:div>
        <w:div w:id="1223760105">
          <w:marLeft w:val="640"/>
          <w:marRight w:val="0"/>
          <w:marTop w:val="0"/>
          <w:marBottom w:val="0"/>
          <w:divBdr>
            <w:top w:val="none" w:sz="0" w:space="0" w:color="auto"/>
            <w:left w:val="none" w:sz="0" w:space="0" w:color="auto"/>
            <w:bottom w:val="none" w:sz="0" w:space="0" w:color="auto"/>
            <w:right w:val="none" w:sz="0" w:space="0" w:color="auto"/>
          </w:divBdr>
        </w:div>
        <w:div w:id="922910026">
          <w:marLeft w:val="640"/>
          <w:marRight w:val="0"/>
          <w:marTop w:val="0"/>
          <w:marBottom w:val="0"/>
          <w:divBdr>
            <w:top w:val="none" w:sz="0" w:space="0" w:color="auto"/>
            <w:left w:val="none" w:sz="0" w:space="0" w:color="auto"/>
            <w:bottom w:val="none" w:sz="0" w:space="0" w:color="auto"/>
            <w:right w:val="none" w:sz="0" w:space="0" w:color="auto"/>
          </w:divBdr>
        </w:div>
        <w:div w:id="1062563952">
          <w:marLeft w:val="640"/>
          <w:marRight w:val="0"/>
          <w:marTop w:val="0"/>
          <w:marBottom w:val="0"/>
          <w:divBdr>
            <w:top w:val="none" w:sz="0" w:space="0" w:color="auto"/>
            <w:left w:val="none" w:sz="0" w:space="0" w:color="auto"/>
            <w:bottom w:val="none" w:sz="0" w:space="0" w:color="auto"/>
            <w:right w:val="none" w:sz="0" w:space="0" w:color="auto"/>
          </w:divBdr>
        </w:div>
        <w:div w:id="817694934">
          <w:marLeft w:val="640"/>
          <w:marRight w:val="0"/>
          <w:marTop w:val="0"/>
          <w:marBottom w:val="0"/>
          <w:divBdr>
            <w:top w:val="none" w:sz="0" w:space="0" w:color="auto"/>
            <w:left w:val="none" w:sz="0" w:space="0" w:color="auto"/>
            <w:bottom w:val="none" w:sz="0" w:space="0" w:color="auto"/>
            <w:right w:val="none" w:sz="0" w:space="0" w:color="auto"/>
          </w:divBdr>
        </w:div>
        <w:div w:id="354619938">
          <w:marLeft w:val="640"/>
          <w:marRight w:val="0"/>
          <w:marTop w:val="0"/>
          <w:marBottom w:val="0"/>
          <w:divBdr>
            <w:top w:val="none" w:sz="0" w:space="0" w:color="auto"/>
            <w:left w:val="none" w:sz="0" w:space="0" w:color="auto"/>
            <w:bottom w:val="none" w:sz="0" w:space="0" w:color="auto"/>
            <w:right w:val="none" w:sz="0" w:space="0" w:color="auto"/>
          </w:divBdr>
        </w:div>
        <w:div w:id="579022923">
          <w:marLeft w:val="640"/>
          <w:marRight w:val="0"/>
          <w:marTop w:val="0"/>
          <w:marBottom w:val="0"/>
          <w:divBdr>
            <w:top w:val="none" w:sz="0" w:space="0" w:color="auto"/>
            <w:left w:val="none" w:sz="0" w:space="0" w:color="auto"/>
            <w:bottom w:val="none" w:sz="0" w:space="0" w:color="auto"/>
            <w:right w:val="none" w:sz="0" w:space="0" w:color="auto"/>
          </w:divBdr>
        </w:div>
        <w:div w:id="946160749">
          <w:marLeft w:val="640"/>
          <w:marRight w:val="0"/>
          <w:marTop w:val="0"/>
          <w:marBottom w:val="0"/>
          <w:divBdr>
            <w:top w:val="none" w:sz="0" w:space="0" w:color="auto"/>
            <w:left w:val="none" w:sz="0" w:space="0" w:color="auto"/>
            <w:bottom w:val="none" w:sz="0" w:space="0" w:color="auto"/>
            <w:right w:val="none" w:sz="0" w:space="0" w:color="auto"/>
          </w:divBdr>
        </w:div>
        <w:div w:id="720641043">
          <w:marLeft w:val="640"/>
          <w:marRight w:val="0"/>
          <w:marTop w:val="0"/>
          <w:marBottom w:val="0"/>
          <w:divBdr>
            <w:top w:val="none" w:sz="0" w:space="0" w:color="auto"/>
            <w:left w:val="none" w:sz="0" w:space="0" w:color="auto"/>
            <w:bottom w:val="none" w:sz="0" w:space="0" w:color="auto"/>
            <w:right w:val="none" w:sz="0" w:space="0" w:color="auto"/>
          </w:divBdr>
        </w:div>
        <w:div w:id="307366889">
          <w:marLeft w:val="640"/>
          <w:marRight w:val="0"/>
          <w:marTop w:val="0"/>
          <w:marBottom w:val="0"/>
          <w:divBdr>
            <w:top w:val="none" w:sz="0" w:space="0" w:color="auto"/>
            <w:left w:val="none" w:sz="0" w:space="0" w:color="auto"/>
            <w:bottom w:val="none" w:sz="0" w:space="0" w:color="auto"/>
            <w:right w:val="none" w:sz="0" w:space="0" w:color="auto"/>
          </w:divBdr>
        </w:div>
        <w:div w:id="2003310122">
          <w:marLeft w:val="640"/>
          <w:marRight w:val="0"/>
          <w:marTop w:val="0"/>
          <w:marBottom w:val="0"/>
          <w:divBdr>
            <w:top w:val="none" w:sz="0" w:space="0" w:color="auto"/>
            <w:left w:val="none" w:sz="0" w:space="0" w:color="auto"/>
            <w:bottom w:val="none" w:sz="0" w:space="0" w:color="auto"/>
            <w:right w:val="none" w:sz="0" w:space="0" w:color="auto"/>
          </w:divBdr>
        </w:div>
      </w:divsChild>
    </w:div>
    <w:div w:id="1713766884">
      <w:bodyDiv w:val="1"/>
      <w:marLeft w:val="0"/>
      <w:marRight w:val="0"/>
      <w:marTop w:val="0"/>
      <w:marBottom w:val="0"/>
      <w:divBdr>
        <w:top w:val="none" w:sz="0" w:space="0" w:color="auto"/>
        <w:left w:val="none" w:sz="0" w:space="0" w:color="auto"/>
        <w:bottom w:val="none" w:sz="0" w:space="0" w:color="auto"/>
        <w:right w:val="none" w:sz="0" w:space="0" w:color="auto"/>
      </w:divBdr>
    </w:div>
    <w:div w:id="1777402260">
      <w:bodyDiv w:val="1"/>
      <w:marLeft w:val="0"/>
      <w:marRight w:val="0"/>
      <w:marTop w:val="0"/>
      <w:marBottom w:val="0"/>
      <w:divBdr>
        <w:top w:val="none" w:sz="0" w:space="0" w:color="auto"/>
        <w:left w:val="none" w:sz="0" w:space="0" w:color="auto"/>
        <w:bottom w:val="none" w:sz="0" w:space="0" w:color="auto"/>
        <w:right w:val="none" w:sz="0" w:space="0" w:color="auto"/>
      </w:divBdr>
    </w:div>
    <w:div w:id="1783724078">
      <w:bodyDiv w:val="1"/>
      <w:marLeft w:val="0"/>
      <w:marRight w:val="0"/>
      <w:marTop w:val="0"/>
      <w:marBottom w:val="0"/>
      <w:divBdr>
        <w:top w:val="none" w:sz="0" w:space="0" w:color="auto"/>
        <w:left w:val="none" w:sz="0" w:space="0" w:color="auto"/>
        <w:bottom w:val="none" w:sz="0" w:space="0" w:color="auto"/>
        <w:right w:val="none" w:sz="0" w:space="0" w:color="auto"/>
      </w:divBdr>
      <w:divsChild>
        <w:div w:id="659426678">
          <w:marLeft w:val="360"/>
          <w:marRight w:val="0"/>
          <w:marTop w:val="200"/>
          <w:marBottom w:val="0"/>
          <w:divBdr>
            <w:top w:val="none" w:sz="0" w:space="0" w:color="auto"/>
            <w:left w:val="none" w:sz="0" w:space="0" w:color="auto"/>
            <w:bottom w:val="none" w:sz="0" w:space="0" w:color="auto"/>
            <w:right w:val="none" w:sz="0" w:space="0" w:color="auto"/>
          </w:divBdr>
        </w:div>
        <w:div w:id="853111998">
          <w:marLeft w:val="1080"/>
          <w:marRight w:val="0"/>
          <w:marTop w:val="100"/>
          <w:marBottom w:val="0"/>
          <w:divBdr>
            <w:top w:val="none" w:sz="0" w:space="0" w:color="auto"/>
            <w:left w:val="none" w:sz="0" w:space="0" w:color="auto"/>
            <w:bottom w:val="none" w:sz="0" w:space="0" w:color="auto"/>
            <w:right w:val="none" w:sz="0" w:space="0" w:color="auto"/>
          </w:divBdr>
        </w:div>
        <w:div w:id="1694068978">
          <w:marLeft w:val="1080"/>
          <w:marRight w:val="0"/>
          <w:marTop w:val="100"/>
          <w:marBottom w:val="0"/>
          <w:divBdr>
            <w:top w:val="none" w:sz="0" w:space="0" w:color="auto"/>
            <w:left w:val="none" w:sz="0" w:space="0" w:color="auto"/>
            <w:bottom w:val="none" w:sz="0" w:space="0" w:color="auto"/>
            <w:right w:val="none" w:sz="0" w:space="0" w:color="auto"/>
          </w:divBdr>
        </w:div>
        <w:div w:id="1048140955">
          <w:marLeft w:val="360"/>
          <w:marRight w:val="0"/>
          <w:marTop w:val="200"/>
          <w:marBottom w:val="0"/>
          <w:divBdr>
            <w:top w:val="none" w:sz="0" w:space="0" w:color="auto"/>
            <w:left w:val="none" w:sz="0" w:space="0" w:color="auto"/>
            <w:bottom w:val="none" w:sz="0" w:space="0" w:color="auto"/>
            <w:right w:val="none" w:sz="0" w:space="0" w:color="auto"/>
          </w:divBdr>
        </w:div>
        <w:div w:id="1330476582">
          <w:marLeft w:val="1080"/>
          <w:marRight w:val="0"/>
          <w:marTop w:val="100"/>
          <w:marBottom w:val="0"/>
          <w:divBdr>
            <w:top w:val="none" w:sz="0" w:space="0" w:color="auto"/>
            <w:left w:val="none" w:sz="0" w:space="0" w:color="auto"/>
            <w:bottom w:val="none" w:sz="0" w:space="0" w:color="auto"/>
            <w:right w:val="none" w:sz="0" w:space="0" w:color="auto"/>
          </w:divBdr>
        </w:div>
        <w:div w:id="1793863614">
          <w:marLeft w:val="360"/>
          <w:marRight w:val="0"/>
          <w:marTop w:val="200"/>
          <w:marBottom w:val="0"/>
          <w:divBdr>
            <w:top w:val="none" w:sz="0" w:space="0" w:color="auto"/>
            <w:left w:val="none" w:sz="0" w:space="0" w:color="auto"/>
            <w:bottom w:val="none" w:sz="0" w:space="0" w:color="auto"/>
            <w:right w:val="none" w:sz="0" w:space="0" w:color="auto"/>
          </w:divBdr>
        </w:div>
        <w:div w:id="580602272">
          <w:marLeft w:val="1080"/>
          <w:marRight w:val="0"/>
          <w:marTop w:val="100"/>
          <w:marBottom w:val="0"/>
          <w:divBdr>
            <w:top w:val="none" w:sz="0" w:space="0" w:color="auto"/>
            <w:left w:val="none" w:sz="0" w:space="0" w:color="auto"/>
            <w:bottom w:val="none" w:sz="0" w:space="0" w:color="auto"/>
            <w:right w:val="none" w:sz="0" w:space="0" w:color="auto"/>
          </w:divBdr>
        </w:div>
        <w:div w:id="785461988">
          <w:marLeft w:val="360"/>
          <w:marRight w:val="0"/>
          <w:marTop w:val="200"/>
          <w:marBottom w:val="0"/>
          <w:divBdr>
            <w:top w:val="none" w:sz="0" w:space="0" w:color="auto"/>
            <w:left w:val="none" w:sz="0" w:space="0" w:color="auto"/>
            <w:bottom w:val="none" w:sz="0" w:space="0" w:color="auto"/>
            <w:right w:val="none" w:sz="0" w:space="0" w:color="auto"/>
          </w:divBdr>
        </w:div>
        <w:div w:id="1396968766">
          <w:marLeft w:val="1080"/>
          <w:marRight w:val="0"/>
          <w:marTop w:val="100"/>
          <w:marBottom w:val="0"/>
          <w:divBdr>
            <w:top w:val="none" w:sz="0" w:space="0" w:color="auto"/>
            <w:left w:val="none" w:sz="0" w:space="0" w:color="auto"/>
            <w:bottom w:val="none" w:sz="0" w:space="0" w:color="auto"/>
            <w:right w:val="none" w:sz="0" w:space="0" w:color="auto"/>
          </w:divBdr>
        </w:div>
        <w:div w:id="1001541959">
          <w:marLeft w:val="1080"/>
          <w:marRight w:val="0"/>
          <w:marTop w:val="100"/>
          <w:marBottom w:val="0"/>
          <w:divBdr>
            <w:top w:val="none" w:sz="0" w:space="0" w:color="auto"/>
            <w:left w:val="none" w:sz="0" w:space="0" w:color="auto"/>
            <w:bottom w:val="none" w:sz="0" w:space="0" w:color="auto"/>
            <w:right w:val="none" w:sz="0" w:space="0" w:color="auto"/>
          </w:divBdr>
        </w:div>
        <w:div w:id="472873121">
          <w:marLeft w:val="1080"/>
          <w:marRight w:val="0"/>
          <w:marTop w:val="100"/>
          <w:marBottom w:val="0"/>
          <w:divBdr>
            <w:top w:val="none" w:sz="0" w:space="0" w:color="auto"/>
            <w:left w:val="none" w:sz="0" w:space="0" w:color="auto"/>
            <w:bottom w:val="none" w:sz="0" w:space="0" w:color="auto"/>
            <w:right w:val="none" w:sz="0" w:space="0" w:color="auto"/>
          </w:divBdr>
        </w:div>
      </w:divsChild>
    </w:div>
    <w:div w:id="1783917386">
      <w:bodyDiv w:val="1"/>
      <w:marLeft w:val="0"/>
      <w:marRight w:val="0"/>
      <w:marTop w:val="0"/>
      <w:marBottom w:val="0"/>
      <w:divBdr>
        <w:top w:val="none" w:sz="0" w:space="0" w:color="auto"/>
        <w:left w:val="none" w:sz="0" w:space="0" w:color="auto"/>
        <w:bottom w:val="none" w:sz="0" w:space="0" w:color="auto"/>
        <w:right w:val="none" w:sz="0" w:space="0" w:color="auto"/>
      </w:divBdr>
    </w:div>
    <w:div w:id="1837765335">
      <w:bodyDiv w:val="1"/>
      <w:marLeft w:val="0"/>
      <w:marRight w:val="0"/>
      <w:marTop w:val="0"/>
      <w:marBottom w:val="0"/>
      <w:divBdr>
        <w:top w:val="none" w:sz="0" w:space="0" w:color="auto"/>
        <w:left w:val="none" w:sz="0" w:space="0" w:color="auto"/>
        <w:bottom w:val="none" w:sz="0" w:space="0" w:color="auto"/>
        <w:right w:val="none" w:sz="0" w:space="0" w:color="auto"/>
      </w:divBdr>
    </w:div>
    <w:div w:id="1908345345">
      <w:bodyDiv w:val="1"/>
      <w:marLeft w:val="0"/>
      <w:marRight w:val="0"/>
      <w:marTop w:val="0"/>
      <w:marBottom w:val="0"/>
      <w:divBdr>
        <w:top w:val="none" w:sz="0" w:space="0" w:color="auto"/>
        <w:left w:val="none" w:sz="0" w:space="0" w:color="auto"/>
        <w:bottom w:val="none" w:sz="0" w:space="0" w:color="auto"/>
        <w:right w:val="none" w:sz="0" w:space="0" w:color="auto"/>
      </w:divBdr>
    </w:div>
    <w:div w:id="1915166119">
      <w:bodyDiv w:val="1"/>
      <w:marLeft w:val="0"/>
      <w:marRight w:val="0"/>
      <w:marTop w:val="0"/>
      <w:marBottom w:val="0"/>
      <w:divBdr>
        <w:top w:val="none" w:sz="0" w:space="0" w:color="auto"/>
        <w:left w:val="none" w:sz="0" w:space="0" w:color="auto"/>
        <w:bottom w:val="none" w:sz="0" w:space="0" w:color="auto"/>
        <w:right w:val="none" w:sz="0" w:space="0" w:color="auto"/>
      </w:divBdr>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1958218379">
      <w:bodyDiv w:val="1"/>
      <w:marLeft w:val="0"/>
      <w:marRight w:val="0"/>
      <w:marTop w:val="0"/>
      <w:marBottom w:val="0"/>
      <w:divBdr>
        <w:top w:val="none" w:sz="0" w:space="0" w:color="auto"/>
        <w:left w:val="none" w:sz="0" w:space="0" w:color="auto"/>
        <w:bottom w:val="none" w:sz="0" w:space="0" w:color="auto"/>
        <w:right w:val="none" w:sz="0" w:space="0" w:color="auto"/>
      </w:divBdr>
    </w:div>
    <w:div w:id="2054844253">
      <w:bodyDiv w:val="1"/>
      <w:marLeft w:val="0"/>
      <w:marRight w:val="0"/>
      <w:marTop w:val="0"/>
      <w:marBottom w:val="0"/>
      <w:divBdr>
        <w:top w:val="none" w:sz="0" w:space="0" w:color="auto"/>
        <w:left w:val="none" w:sz="0" w:space="0" w:color="auto"/>
        <w:bottom w:val="none" w:sz="0" w:space="0" w:color="auto"/>
        <w:right w:val="none" w:sz="0" w:space="0" w:color="auto"/>
      </w:divBdr>
    </w:div>
    <w:div w:id="2078897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srd.research.va.gov/for_researchers/cdw.cfm"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footer" Target="footer2.xml"/><Relationship Id="rId8" Type="http://schemas.openxmlformats.org/officeDocument/2006/relationships/hyperlink" Target="mailto:tmpham@hsph.harvard.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CE40670FF8C749BC19296A4BC61611"/>
        <w:category>
          <w:name w:val="General"/>
          <w:gallery w:val="placeholder"/>
        </w:category>
        <w:types>
          <w:type w:val="bbPlcHdr"/>
        </w:types>
        <w:behaviors>
          <w:behavior w:val="content"/>
        </w:behaviors>
        <w:guid w:val="{8F5C10E0-8EA6-414B-B8E7-5D1127DED096}"/>
      </w:docPartPr>
      <w:docPartBody>
        <w:p w:rsidR="00605D40" w:rsidRDefault="00831E72" w:rsidP="00831E72">
          <w:pPr>
            <w:pStyle w:val="0BCE40670FF8C749BC19296A4BC61611"/>
          </w:pPr>
          <w:r w:rsidRPr="00A8435F">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30C368B-91D1-C744-B6EF-9AD383D70779}"/>
      </w:docPartPr>
      <w:docPartBody>
        <w:p w:rsidR="003B771A" w:rsidRDefault="00605D40">
          <w:r w:rsidRPr="0077352F">
            <w:rPr>
              <w:rStyle w:val="PlaceholderText"/>
            </w:rPr>
            <w:t>Click or tap here to enter text.</w:t>
          </w:r>
        </w:p>
      </w:docPartBody>
    </w:docPart>
    <w:docPart>
      <w:docPartPr>
        <w:name w:val="D276ABCD3E5F4D40B775AE63AA80AB16"/>
        <w:category>
          <w:name w:val="General"/>
          <w:gallery w:val="placeholder"/>
        </w:category>
        <w:types>
          <w:type w:val="bbPlcHdr"/>
        </w:types>
        <w:behaviors>
          <w:behavior w:val="content"/>
        </w:behaviors>
        <w:guid w:val="{4227E715-FBDB-B04D-B002-08762438A20A}"/>
      </w:docPartPr>
      <w:docPartBody>
        <w:p w:rsidR="00825DF5" w:rsidRDefault="005757EE" w:rsidP="005757EE">
          <w:pPr>
            <w:pStyle w:val="D276ABCD3E5F4D40B775AE63AA80AB16"/>
          </w:pPr>
          <w:r w:rsidRPr="00A8435F">
            <w:rPr>
              <w:rStyle w:val="PlaceholderText"/>
            </w:rPr>
            <w:t>Click or tap here to enter text.</w:t>
          </w:r>
        </w:p>
      </w:docPartBody>
    </w:docPart>
    <w:docPart>
      <w:docPartPr>
        <w:name w:val="C92868A717C1A8419C4E1D8AD9C67A60"/>
        <w:category>
          <w:name w:val="General"/>
          <w:gallery w:val="placeholder"/>
        </w:category>
        <w:types>
          <w:type w:val="bbPlcHdr"/>
        </w:types>
        <w:behaviors>
          <w:behavior w:val="content"/>
        </w:behaviors>
        <w:guid w:val="{81CB22CA-B553-FE43-8D9D-4AF3E9D17EC0}"/>
      </w:docPartPr>
      <w:docPartBody>
        <w:p w:rsidR="00A47EAD" w:rsidRDefault="00AF354C" w:rsidP="00AF354C">
          <w:pPr>
            <w:pStyle w:val="C92868A717C1A8419C4E1D8AD9C67A60"/>
          </w:pPr>
          <w:r w:rsidRPr="0077352F">
            <w:rPr>
              <w:rStyle w:val="PlaceholderText"/>
            </w:rPr>
            <w:t>Click or tap here to enter text.</w:t>
          </w:r>
        </w:p>
      </w:docPartBody>
    </w:docPart>
    <w:docPart>
      <w:docPartPr>
        <w:name w:val="DBEAF16909D54642A7A89D013DA8F03B"/>
        <w:category>
          <w:name w:val="General"/>
          <w:gallery w:val="placeholder"/>
        </w:category>
        <w:types>
          <w:type w:val="bbPlcHdr"/>
        </w:types>
        <w:behaviors>
          <w:behavior w:val="content"/>
        </w:behaviors>
        <w:guid w:val="{217DA13A-7D50-6F4F-AD70-BA8C909506E6}"/>
      </w:docPartPr>
      <w:docPartBody>
        <w:p w:rsidR="00A47EAD" w:rsidRDefault="00AF354C" w:rsidP="00AF354C">
          <w:pPr>
            <w:pStyle w:val="DBEAF16909D54642A7A89D013DA8F03B"/>
          </w:pPr>
          <w:r w:rsidRPr="0077352F">
            <w:rPr>
              <w:rStyle w:val="PlaceholderText"/>
            </w:rPr>
            <w:t>Click or tap here to enter text.</w:t>
          </w:r>
        </w:p>
      </w:docPartBody>
    </w:docPart>
    <w:docPart>
      <w:docPartPr>
        <w:name w:val="E77F0FD88020AC47A4C99402AABCC850"/>
        <w:category>
          <w:name w:val="General"/>
          <w:gallery w:val="placeholder"/>
        </w:category>
        <w:types>
          <w:type w:val="bbPlcHdr"/>
        </w:types>
        <w:behaviors>
          <w:behavior w:val="content"/>
        </w:behaviors>
        <w:guid w:val="{74A704A6-F07D-C34C-807D-5EA4C58D8A4F}"/>
      </w:docPartPr>
      <w:docPartBody>
        <w:p w:rsidR="004D0CBB" w:rsidRDefault="00A47EAD" w:rsidP="00A47EAD">
          <w:pPr>
            <w:pStyle w:val="E77F0FD88020AC47A4C99402AABCC850"/>
          </w:pPr>
          <w:r w:rsidRPr="00A8435F">
            <w:rPr>
              <w:rStyle w:val="PlaceholderText"/>
            </w:rPr>
            <w:t>Click or tap here to enter text.</w:t>
          </w:r>
        </w:p>
      </w:docPartBody>
    </w:docPart>
    <w:docPart>
      <w:docPartPr>
        <w:name w:val="14066BF855A3D146A7736D2C3A5731DE"/>
        <w:category>
          <w:name w:val="General"/>
          <w:gallery w:val="placeholder"/>
        </w:category>
        <w:types>
          <w:type w:val="bbPlcHdr"/>
        </w:types>
        <w:behaviors>
          <w:behavior w:val="content"/>
        </w:behaviors>
        <w:guid w:val="{77998B78-6D41-4347-BA31-5C3A997CF49D}"/>
      </w:docPartPr>
      <w:docPartBody>
        <w:p w:rsidR="00AE7F40" w:rsidRDefault="004D0CBB" w:rsidP="004D0CBB">
          <w:pPr>
            <w:pStyle w:val="14066BF855A3D146A7736D2C3A5731DE"/>
          </w:pPr>
          <w:r w:rsidRPr="00A8435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E72"/>
    <w:rsid w:val="0003344C"/>
    <w:rsid w:val="0005533C"/>
    <w:rsid w:val="000A48E9"/>
    <w:rsid w:val="001516DC"/>
    <w:rsid w:val="00157F6B"/>
    <w:rsid w:val="001771CD"/>
    <w:rsid w:val="0023062C"/>
    <w:rsid w:val="00286DC0"/>
    <w:rsid w:val="0029143A"/>
    <w:rsid w:val="00303F2E"/>
    <w:rsid w:val="003450AF"/>
    <w:rsid w:val="003B771A"/>
    <w:rsid w:val="003F00D4"/>
    <w:rsid w:val="004B3809"/>
    <w:rsid w:val="004D0CBB"/>
    <w:rsid w:val="004D20B3"/>
    <w:rsid w:val="004D293B"/>
    <w:rsid w:val="004D447A"/>
    <w:rsid w:val="004E7283"/>
    <w:rsid w:val="004F1241"/>
    <w:rsid w:val="00560370"/>
    <w:rsid w:val="005757EE"/>
    <w:rsid w:val="005F4082"/>
    <w:rsid w:val="005F4292"/>
    <w:rsid w:val="00605D40"/>
    <w:rsid w:val="006617EA"/>
    <w:rsid w:val="006E0069"/>
    <w:rsid w:val="007238C8"/>
    <w:rsid w:val="00776ADF"/>
    <w:rsid w:val="007954ED"/>
    <w:rsid w:val="007D36DF"/>
    <w:rsid w:val="00825DF5"/>
    <w:rsid w:val="00826F6D"/>
    <w:rsid w:val="00831E72"/>
    <w:rsid w:val="008855DE"/>
    <w:rsid w:val="008B29C5"/>
    <w:rsid w:val="008E5158"/>
    <w:rsid w:val="00921B18"/>
    <w:rsid w:val="0094290E"/>
    <w:rsid w:val="00950528"/>
    <w:rsid w:val="0097215F"/>
    <w:rsid w:val="009E6D01"/>
    <w:rsid w:val="009F2A05"/>
    <w:rsid w:val="00A47EAD"/>
    <w:rsid w:val="00A5392C"/>
    <w:rsid w:val="00A64DC0"/>
    <w:rsid w:val="00A668A8"/>
    <w:rsid w:val="00A76ED0"/>
    <w:rsid w:val="00A835BB"/>
    <w:rsid w:val="00AA6D4C"/>
    <w:rsid w:val="00AE7F40"/>
    <w:rsid w:val="00AF354C"/>
    <w:rsid w:val="00B04719"/>
    <w:rsid w:val="00B233BE"/>
    <w:rsid w:val="00B8394A"/>
    <w:rsid w:val="00BD087F"/>
    <w:rsid w:val="00BF4113"/>
    <w:rsid w:val="00BF50AA"/>
    <w:rsid w:val="00C12FC5"/>
    <w:rsid w:val="00C93E06"/>
    <w:rsid w:val="00CB4BB7"/>
    <w:rsid w:val="00D207F7"/>
    <w:rsid w:val="00DB607F"/>
    <w:rsid w:val="00DD089B"/>
    <w:rsid w:val="00DD4253"/>
    <w:rsid w:val="00DF4362"/>
    <w:rsid w:val="00E0038E"/>
    <w:rsid w:val="00E21186"/>
    <w:rsid w:val="00E701F9"/>
    <w:rsid w:val="00F062ED"/>
    <w:rsid w:val="00F12456"/>
    <w:rsid w:val="00F44698"/>
    <w:rsid w:val="00F950E3"/>
    <w:rsid w:val="00FA0F91"/>
    <w:rsid w:val="00FB78AD"/>
    <w:rsid w:val="00FF7A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0370"/>
    <w:rPr>
      <w:color w:val="666666"/>
    </w:rPr>
  </w:style>
  <w:style w:type="paragraph" w:customStyle="1" w:styleId="0BCE40670FF8C749BC19296A4BC61611">
    <w:name w:val="0BCE40670FF8C749BC19296A4BC61611"/>
    <w:rsid w:val="00831E72"/>
  </w:style>
  <w:style w:type="paragraph" w:customStyle="1" w:styleId="D276ABCD3E5F4D40B775AE63AA80AB16">
    <w:name w:val="D276ABCD3E5F4D40B775AE63AA80AB16"/>
    <w:rsid w:val="005757EE"/>
  </w:style>
  <w:style w:type="paragraph" w:customStyle="1" w:styleId="C92868A717C1A8419C4E1D8AD9C67A60">
    <w:name w:val="C92868A717C1A8419C4E1D8AD9C67A60"/>
    <w:rsid w:val="00AF354C"/>
  </w:style>
  <w:style w:type="paragraph" w:customStyle="1" w:styleId="DBEAF16909D54642A7A89D013DA8F03B">
    <w:name w:val="DBEAF16909D54642A7A89D013DA8F03B"/>
    <w:rsid w:val="00AF354C"/>
  </w:style>
  <w:style w:type="paragraph" w:customStyle="1" w:styleId="E77F0FD88020AC47A4C99402AABCC850">
    <w:name w:val="E77F0FD88020AC47A4C99402AABCC850"/>
    <w:rsid w:val="00A47EAD"/>
  </w:style>
  <w:style w:type="paragraph" w:customStyle="1" w:styleId="14066BF855A3D146A7736D2C3A5731DE">
    <w:name w:val="14066BF855A3D146A7736D2C3A5731DE"/>
    <w:rsid w:val="004D0C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0A33B7-C7FF-8548-A737-16513DDC9983}">
  <we:reference id="wa104382081" version="1.55.1.0" store="en-US" storeType="OMEX"/>
  <we:alternateReferences>
    <we:reference id="wa104382081" version="1.55.1.0" store="en-US" storeType="OMEX"/>
  </we:alternateReferences>
  <we:properties>
    <we:property name="MENDELEY_CITATIONS" value="[{&quot;citationID&quot;:&quot;MENDELEY_CITATION_f9b41df9-28d3-4e1f-a45b-d5457ddd672d&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&quot;,&quot;citationItems&quot;:[{&quot;id&quot;:&quot;90041149-fd44-3abe-a86b-9ed0fd6c40a6&quot;,&quot;itemData&quot;:{&quot;type&quot;:&quot;article&quot;,&quot;id&quot;:&quot;90041149-fd44-3abe-a86b-9ed0fd6c40a6&quot;,&quot;title&quot;:&quot;Presentation for the Committee on Facilities Staffing Requirements for Veterans Health Administration&quot;,&quot;author&quot;:[{&quot;family&quot;:&quot;Broskey&quot;,&quot;given&quot;:&quot;S.&quot;,&quot;parse-names&quot;:false,&quot;dropping-particle&quot;:&quot;&quot;,&quot;non-dropping-particle&quot;:&quot;&quot;}],&quot;container-title&quot;:&quot;VHA Engineering Resourcing and Staffing Study Sponsor Presentation for National Academies Committee&quot;,&quot;issued&quot;:{&quot;date-parts&quot;:[[2018,9,25]]},&quot;container-title-short&quot;:&quot;&quot;},&quot;isTemporary&quot;:false},{&quot;id&quot;:&quot;681fffec-5eb8-3e32-869f-07a834afb4df&quot;,&quot;itemData&quot;:{&quot;type&quot;:&quot;book&quot;,&quot;id&quot;:&quot;681fffec-5eb8-3e32-869f-07a834afb4df&quot;,&quot;title&quot;:&quot;Facilities Staffing Requirements for the Veterans Health Administration-Resource Planning and Methodology for the Future&quot;,&quot;author&quot;:[{&quot;family&quot;:&quot;National Academies of Sciences&quot;,&quot;given&quot;:&quot;Engineering, and Medicine&quot;,&quot;parse-names&quot;:false,&quot;dropping-particle&quot;:&quot;&quot;,&quot;non-dropping-particle&quot;:&quot;&quot;},{&quot;family&quot;:&quot;Division of Behavioral and Social Sciences and Education; Board on Human-Systems Integration&quot;,&quot;given&quot;:&quot;&quot;,&quot;parse-names&quot;:false,&quot;dropping-particle&quot;:&quot;&quot;,&quot;non-dropping-particle&quot;:&quot;&quot;},{&quot;family&quot;:&quot;Division on Engineering and Physical Sciences&quot;,&quot;given&quot;:&quot;&quot;,&quot;parse-names&quot;:false,&quot;dropping-particle&quot;:&quot;&quot;,&quot;non-dropping-particle&quot;:&quot;&quot;},{&quot;family&quot;:&quot;Board on Infrastructure and the Constructed Environment&quot;,&quot;given&quot;:&quot;&quot;,&quot;parse-names&quot;:false,&quot;dropping-particle&quot;:&quot;&quot;,&quot;non-dropping-particle&quot;:&quot;&quot;},{&quot;family&quot;:&quot;Committee on Facilities Staffing Requirements for Veterans Health Administration&quot;,&quot;given&quot;:&quot;&quot;,&quot;parse-names&quot;:false,&quot;dropping-particle&quot;:&quot;&quot;,&quot;non-dropping-particle&quot;:&quot;&quot;}],&quot;issued&quot;:{&quot;date-parts&quot;:[[2019,12,24]]},&quot;publisher-place&quot;:&quot;Washington (DC)&quot;,&quot;publisher&quot;:&quot;National Academies Press (US)&quot;,&quot;container-title-short&quot;:&quot;&quot;},&quot;isTemporary&quot;:false}]},{&quot;citationID&quot;:&quot;MENDELEY_CITATION_79cb176e-4679-45d5-83ce-78330628086d&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&quot;,&quot;citationItems&quot;:[{&quot;id&quot;:&quot;adf61ba9-a60c-370f-a0b4-60eac09648a2&quot;,&quot;itemData&quot;:{&quot;type&quot;:&quot;article-journal&quot;,&quot;id&quot;:&quot;adf61ba9-a60c-370f-a0b4-60eac09648a2&quot;,&quot;title&quot;:&quot;NHSN Antimicrobial Use and Resistance (AUR) Module Protocol&quot;,&quot;groupId&quot;:&quot;662de721-4932-3d16-b437-a9883fd9e6e7&quot;,&quot;author&quot;:[{&quot;family&quot;:&quot;Centers for Disease Control and Prevention&quot;,&quot;given&quot;:&quot;&quot;,&quot;parse-names&quot;:false,&quot;dropping-particle&quot;:&quot;&quot;,&quot;non-dropping-particle&quot;:&quot;&quot;}],&quot;accessed&quot;:{&quot;date-parts&quot;:[[2023,11,27]]},&quot;URL&quot;:&quot;https://www.cdc.gov/nhsn/pdfs/pscmanual/11pscaurcurrent.pdf&quot;,&quot;issued&quot;:{&quot;date-parts&quot;:[[2023]]},&quot;container-title-short&quot;:&quot;&quot;},&quot;isTemporary&quot;:false}]},{&quot;citationID&quot;:&quot;MENDELEY_CITATION_dfbbdf40-0254-4089-94ec-7d2e3280612a&quot;,&quot;properties&quot;:{&quot;noteIndex&quot;:0},&quot;isEdited&quot;:false,&quot;manualOverride&quot;:{&quot;isManuallyOverridden&quot;:false,&quot;citeprocText&quot;:&quot;&lt;sup&gt;4&lt;/sup&gt;&quot;,&quot;manualOverrideText&quot;:&quot;&quot;},&quot;citationTag&quot;:&quot;MENDELEY_CITATION_v3_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&quot;,&quot;citationItems&quot;:[{&quot;id&quot;:&quot;20b89f7f-52f9-3557-90c0-2a57cd8ac161&quot;,&quot;itemData&quot;:{&quot;type&quot;:&quot;article-journal&quot;,&quot;id&quot;:&quot;20b89f7f-52f9-3557-90c0-2a57cd8ac161&quot;,&quot;title&quot;:&quot;The Standardized Antimicrobial Administration Ratio: A New Metric for Measuring and Comparing Antibiotic Use&quot;,&quot;groupId&quot;:&quot;662de721-4932-3d16-b437-a9883fd9e6e7&quot;,&quot;author&quot;:[{&quot;family&quot;:&quot;Santen&quot;,&quot;given&quot;:&quot;Katharina L.&quot;,&quot;parse-names&quot;:false,&quot;dropping-particle&quot;:&quot;&quot;,&quot;non-dropping-particle&quot;:&quot;Van&quot;},{&quot;family&quot;:&quot;Edwards&quot;,&quot;given&quot;:&quot;Jonathan R.&quot;,&quot;parse-names&quot;:false,&quot;dropping-particle&quot;:&quot;&quot;,&quot;non-dropping-particle&quot;:&quot;&quot;},{&quot;family&quot;:&quot;Webb&quot;,&quot;given&quot;:&quot;Amy K.&quot;,&quot;parse-names&quot;:false,&quot;dropping-particle&quot;:&quot;&quot;,&quot;non-dropping-particle&quot;:&quot;&quot;},{&quot;family&quot;:&quot;Pollack&quot;,&quot;given&quot;:&quot;Lori A.&quot;,&quot;parse-names&quot;:false,&quot;dropping-particle&quot;:&quot;&quot;,&quot;non-dropping-particle&quot;:&quot;&quot;},{&quot;family&quot;:&quot;O'Leary&quot;,&quot;given&quot;:&quot;Erin&quot;,&quot;parse-names&quot;:false,&quot;dropping-particle&quot;:&quot;&quot;,&quot;non-dropping-particle&quot;:&quot;&quot;},{&quot;family&quot;:&quot;Neuhauser&quot;,&quot;given&quot;:&quot;Melinda M.&quot;,&quot;parse-names&quot;:false,&quot;dropping-particle&quot;:&quot;&quot;,&quot;non-dropping-particle&quot;:&quot;&quot;},{&quot;family&quot;:&quot;Srinivasan&quot;,&quot;given&quot;:&quot;Arjun&quot;,&quot;parse-names&quot;:false,&quot;dropping-particle&quot;:&quot;&quot;,&quot;non-dropping-particle&quot;:&quot;&quot;},{&quot;family&quot;:&quot;Pollock&quot;,&quot;given&quot;:&quot;Daniel A.&quot;,&quot;parse-names&quot;:false,&quot;dropping-particle&quot;:&quot;&quot;,&quot;non-dropping-particle&quot;:&quot;&quot;}],&quot;container-title&quot;:&quot;Clinical Infectious Diseases&quot;,&quot;accessed&quot;:{&quot;date-parts&quot;:[[2024,1,16]]},&quot;DOI&quot;:&quot;10.1093/CID/CIY075&quot;,&quot;ISSN&quot;:&quot;1058-4838&quot;,&quot;PMID&quot;:&quot;29409000&quot;,&quot;URL&quot;:&quot;https://dx.doi.org/10.1093/cid/ciy075&quot;,&quot;issued&quot;:{&quot;date-parts&quot;:[[2018,7,2]]},&quot;page&quot;:&quot;179-185&quot;,&quot;abstract&quot;:&quot;Background To provide a standardized, risk-adjusted method for summarizing antibiotic use (AU), enable hospitals to track their AU over time and compare their AU data to national benchmarks, the Centers for Disease Control and Prevention developed the Standardized Antimicrobial Administration Ratio (SAAR). Methods Hospitals reporting to the National Healthcare Safety Network (NHSN) AU Option collect and submit aggregated AU data electronically as antimicrobial days of therapy per patient days present. SAARs were developed for specific NHSN adult and pediatric patient care locations and cover five antimicrobial agent categories: (1) broad-spectrum agents predominantly used for hospital-onset/multi-drug resistant bacteria; (2) broad-spectrum agents predominantly used for community-acquired infections; (3) anti-methicillin-resistant Staphylococcus aureus agents; (4) agents predominantly used for surgical site infection prophylaxis; and (5) all antibiotic agents. The SAAR is an observed-to-predicted use ratio where predicted use is estimated from a statistical model; a SAAR of 1 indicates that observed use and predicted use are equal. Results Most location-level SAARs were statistically significantly different than 1: adult locations up to 52% lower than 1 and up to 41% higher than 1. Median SAARs in adult and pediatric ICUs had a range of 0.667-1.119. SAAR distributions serve as an external comparison to national SAARs. Conclusions This is the first aggregate AU metric that uses point-of-care, antimicrobial administration data electronically reported to a national surveillance system to enable risk-adjusted, AU comparisons across multiple hospitals. Endorsed by the National Quality Forum, SAARs provide AU benchmarks that stewardship programs can use to help drive improvements.&quot;,&quot;publisher&quot;:&quot;Oxford Academic&quot;,&quot;issue&quot;:&quot;2&quot;,&quot;volume&quot;:&quot;67&quot;,&quot;container-title-short&quot;:&quot;&quot;},&quot;isTemporary&quot;:false}]},{&quot;citationID&quot;:&quot;MENDELEY_CITATION_77f01f61-d2da-4fe3-8db0-e59a8e1c4a43&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&quot;,&quot;citationItems&quot;:[{&quot;id&quot;:&quot;90041149-fd44-3abe-a86b-9ed0fd6c40a6&quot;,&quot;itemData&quot;:{&quot;type&quot;:&quot;article&quot;,&quot;id&quot;:&quot;90041149-fd44-3abe-a86b-9ed0fd6c40a6&quot;,&quot;title&quot;:&quot;Presentation for the Committee on Facilities Staffing Requirements for Veterans Health Administration&quot;,&quot;author&quot;:[{&quot;family&quot;:&quot;Broskey&quot;,&quot;given&quot;:&quot;S.&quot;,&quot;parse-names&quot;:false,&quot;dropping-particle&quot;:&quot;&quot;,&quot;non-dropping-particle&quot;:&quot;&quot;}],&quot;container-title&quot;:&quot;VHA Engineering Resourcing and Staffing Study Sponsor Presentation for National Academies Committee&quot;,&quot;issued&quot;:{&quot;date-parts&quot;:[[2018,9,25]]},&quot;container-title-short&quot;:&quot;&quot;},&quot;isTemporary&quot;:false},{&quot;id&quot;:&quot;681fffec-5eb8-3e32-869f-07a834afb4df&quot;,&quot;itemData&quot;:{&quot;type&quot;:&quot;book&quot;,&quot;id&quot;:&quot;681fffec-5eb8-3e32-869f-07a834afb4df&quot;,&quot;title&quot;:&quot;Facilities Staffing Requirements for the Veterans Health Administration-Resource Planning and Methodology for the Future&quot;,&quot;author&quot;:[{&quot;family&quot;:&quot;National Academies of Sciences&quot;,&quot;given&quot;:&quot;Engineering, and Medicine&quot;,&quot;parse-names&quot;:false,&quot;dropping-particle&quot;:&quot;&quot;,&quot;non-dropping-particle&quot;:&quot;&quot;},{&quot;family&quot;:&quot;Division of Behavioral and Social Sciences and Education; Board on Human-Systems Integration&quot;,&quot;given&quot;:&quot;&quot;,&quot;parse-names&quot;:false,&quot;dropping-particle&quot;:&quot;&quot;,&quot;non-dropping-particle&quot;:&quot;&quot;},{&quot;family&quot;:&quot;Division on Engineering and Physical Sciences&quot;,&quot;given&quot;:&quot;&quot;,&quot;parse-names&quot;:false,&quot;dropping-particle&quot;:&quot;&quot;,&quot;non-dropping-particle&quot;:&quot;&quot;},{&quot;family&quot;:&quot;Board on Infrastructure and the Constructed Environment&quot;,&quot;given&quot;:&quot;&quot;,&quot;parse-names&quot;:false,&quot;dropping-particle&quot;:&quot;&quot;,&quot;non-dropping-particle&quot;:&quot;&quot;},{&quot;family&quot;:&quot;Committee on Facilities Staffing Requirements for Veterans Health Administration&quot;,&quot;given&quot;:&quot;&quot;,&quot;parse-names&quot;:false,&quot;dropping-particle&quot;:&quot;&quot;,&quot;non-dropping-particle&quot;:&quot;&quot;}],&quot;issued&quot;:{&quot;date-parts&quot;:[[2019,12,24]]},&quot;publisher-place&quot;:&quot;Washington (DC)&quot;,&quot;publisher&quot;:&quot;National Academies Press (US)&quot;,&quot;container-title-short&quot;:&quot;&quot;},&quot;isTemporary&quot;:false}]},{&quot;citationID&quot;:&quot;MENDELEY_CITATION_f41781e5-ca99-465f-b4c8-9a8ec6114d8a&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&quot;,&quot;citationItems&quot;:[{&quot;id&quot;:&quot;90041149-fd44-3abe-a86b-9ed0fd6c40a6&quot;,&quot;itemData&quot;:{&quot;type&quot;:&quot;article&quot;,&quot;id&quot;:&quot;90041149-fd44-3abe-a86b-9ed0fd6c40a6&quot;,&quot;title&quot;:&quot;Presentation for the Committee on Facilities Staffing Requirements for Veterans Health Administration&quot;,&quot;author&quot;:[{&quot;family&quot;:&quot;Broskey&quot;,&quot;given&quot;:&quot;S.&quot;,&quot;parse-names&quot;:false,&quot;dropping-particle&quot;:&quot;&quot;,&quot;non-dropping-particle&quot;:&quot;&quot;}],&quot;container-title&quot;:&quot;VHA Engineering Resourcing and Staffing Study Sponsor Presentation for National Academies Committee&quot;,&quot;issued&quot;:{&quot;date-parts&quot;:[[2018,9,25]]},&quot;container-title-short&quot;:&quot;&quot;},&quot;isTemporary&quot;:false}]},{&quot;citationID&quot;:&quot;MENDELEY_CITATION_7e724f47-c2d3-481c-869f-e825abaa36a9&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&quot;,&quot;citationItems&quot;:[{&quot;id&quot;:&quot;90041149-fd44-3abe-a86b-9ed0fd6c40a6&quot;,&quot;itemData&quot;:{&quot;type&quot;:&quot;article&quot;,&quot;id&quot;:&quot;90041149-fd44-3abe-a86b-9ed0fd6c40a6&quot;,&quot;title&quot;:&quot;Presentation for the Committee on Facilities Staffing Requirements for Veterans Health Administration&quot;,&quot;author&quot;:[{&quot;family&quot;:&quot;Broskey&quot;,&quot;given&quot;:&quot;S.&quot;,&quot;parse-names&quot;:false,&quot;dropping-particle&quot;:&quot;&quot;,&quot;non-dropping-particle&quot;:&quot;&quot;}],&quot;container-title&quot;:&quot;VHA Engineering Resourcing and Staffing Study Sponsor Presentation for National Academies Committee&quot;,&quot;issued&quot;:{&quot;date-parts&quot;:[[2018,9,25]]},&quot;container-title-short&quot;:&quot;&quot;},&quot;isTemporary&quot;:false}]},{&quot;citationID&quot;:&quot;MENDELEY_CITATION_2fda0d0d-7007-4cd3-b8aa-4ede02326b6f&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&quot;,&quot;citationItems&quot;:[{&quot;id&quot;:&quot;90041149-fd44-3abe-a86b-9ed0fd6c40a6&quot;,&quot;itemData&quot;:{&quot;type&quot;:&quot;article&quot;,&quot;id&quot;:&quot;90041149-fd44-3abe-a86b-9ed0fd6c40a6&quot;,&quot;title&quot;:&quot;Presentation for the Committee on Facilities Staffing Requirements for Veterans Health Administration&quot;,&quot;author&quot;:[{&quot;family&quot;:&quot;Broskey&quot;,&quot;given&quot;:&quot;S.&quot;,&quot;parse-names&quot;:false,&quot;dropping-particle&quot;:&quot;&quot;,&quot;non-dropping-particle&quot;:&quot;&quot;}],&quot;container-title&quot;:&quot;VHA Engineering Resourcing and Staffing Study Sponsor Presentation for National Academies Committee&quot;,&quot;issued&quot;:{&quot;date-parts&quot;:[[2018,9,25]]},&quot;container-title-short&quot;:&quot;&quot;},&quot;isTemporary&quot;:false}]},{&quot;citationID&quot;:&quot;MENDELEY_CITATION_bb75b226-9a4c-4275-b0c6-e31cfdecccd0&quot;,&quot;properties&quot;:{&quot;noteIndex&quot;:0},&quot;isEdited&quot;:false,&quot;manualOverride&quot;:{&quot;isManuallyOverridden&quot;:false,&quot;citeprocText&quot;:&quot;&lt;sup&gt;5&lt;/sup&gt;&quot;,&quot;manualOverrideText&quot;:&quot;&quot;},&quot;citationTag&quot;:&quot;MENDELEY_CITATION_v3_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&quot;,&quot;citationItems&quot;:[{&quot;id&quot;:&quot;e8c0a06a-f883-3b12-90fd-e854eb205588&quot;,&quot;itemData&quot;:{&quot;type&quot;:&quot;article-journal&quot;,&quot;id&quot;:&quot;e8c0a06a-f883-3b12-90fd-e854eb205588&quot;,&quot;title&quot;:&quot; Veterans Affairs Initiative to Prevent Methicillin-Resistant Staphylococcus aureus Infections &quot;,&quot;groupId&quot;:&quot;662de721-4932-3d16-b437-a9883fd9e6e7&quot;,&quot;author&quot;:[{&quot;family&quot;:&quot;Jain&quot;,&quot;given&quot;:&quot;Rajiv&quot;,&quot;parse-names&quot;:false,&quot;dropping-particle&quot;:&quot;&quot;,&quot;non-dropping-particle&quot;:&quot;&quot;},{&quot;family&quot;:&quot;Kralovic&quot;,&quot;given&quot;:&quot;Stephen M.&quot;,&quot;parse-names&quot;:false,&quot;dropping-particle&quot;:&quot;&quot;,&quot;non-dropping-particle&quot;:&quot;&quot;},{&quot;family&quot;:&quot;Evans&quot;,&quot;given&quot;:&quot;Martin E.&quot;,&quot;parse-names&quot;:false,&quot;dropping-particle&quot;:&quot;&quot;,&quot;non-dropping-particle&quot;:&quot;&quot;},{&quot;family&quot;:&quot;Ambrose&quot;,&quot;given&quot;:&quot;Meredith&quot;,&quot;parse-names&quot;:false,&quot;dropping-particle&quot;:&quot;&quot;,&quot;non-dropping-particle&quot;:&quot;&quot;},{&quot;family&quot;:&quot;Simbartl&quot;,&quot;given&quot;:&quot;Loretta A.&quot;,&quot;parse-names&quot;:false,&quot;dropping-particle&quot;:&quot;&quot;,&quot;non-dropping-particle&quot;:&quot;&quot;},{&quot;family&quot;:&quot;Obrosky&quot;,&quot;given&quot;:&quot;D. Scott&quot;,&quot;parse-names&quot;:false,&quot;dropping-particle&quot;:&quot;&quot;,&quot;non-dropping-particle&quot;:&quot;&quot;},{&quot;family&quot;:&quot;Render&quot;,&quot;given&quot;:&quot;Marta L.&quot;,&quot;parse-names&quot;:false,&quot;dropping-particle&quot;:&quot;&quot;,&quot;non-dropping-particle&quot;:&quot;&quot;},{&quot;family&quot;:&quot;Freyberg&quot;,&quot;given&quot;:&quot;Ron W.&quot;,&quot;parse-names&quot;:false,&quot;dropping-particle&quot;:&quot;&quot;,&quot;non-dropping-particle&quot;:&quot;&quot;},{&quot;family&quot;:&quot;Jernigan&quot;,&quot;given&quot;:&quot;John A.&quot;,&quot;parse-names&quot;:false,&quot;dropping-particle&quot;:&quot;&quot;,&quot;non-dropping-particle&quot;:&quot;&quot;},{&quot;family&quot;:&quot;Muder&quot;,&quot;given&quot;:&quot;Robert R.&quot;,&quot;parse-names&quot;:false,&quot;dropping-particle&quot;:&quot;&quot;,&quot;non-dropping-particle&quot;:&quot;&quot;},{&quot;family&quot;:&quot;Miller&quot;,&quot;given&quot;:&quot;LaToya J.&quot;,&quot;parse-names&quot;:false,&quot;dropping-particle&quot;:&quot;&quot;,&quot;non-dropping-particle&quot;:&quot;&quot;},{&quot;family&quot;:&quot;Roselle&quot;,&quot;given&quot;:&quot;Gary A.&quot;,&quot;parse-names&quot;:false,&quot;dropping-particle&quot;:&quot;&quot;,&quot;non-dropping-particle&quot;:&quot;&quot;}],&quot;container-title&quot;:&quot;New England Journal of Medicine&quot;,&quot;accessed&quot;:{&quot;date-parts&quot;:[[2023,10,20]]},&quot;DOI&quot;:&quot;10.1056/NEJMOA1007474/SUPPL_FILE/NEJMOA1007474_DISCLOSURES.PDF&quot;,&quot;ISSN&quot;:&quot;0028-4793&quot;,&quot;URL&quot;:&quot;https://www.nejm.org/doi/full/10.1056/nejmoa1007474&quot;,&quot;issued&quot;:{&quot;date-parts&quot;:[[2011,4,14]]},&quot;page&quot;:&quot;1419-1430&quot;,&quot;abstract&quot;:&quot;Health care-associated infections with methicillin-resistant Staphylococcus aureus (MRSA) have been an increasing concern in Veterans Affairs (VA) hospitals.&quot;,&quot;publisher&quot;:&quot;Massachusetts Medical Society&quot;,&quot;issue&quot;:&quot;15&quot;,&quot;volume&quot;:&quot;364&quot;,&quot;container-title-short&quot;:&quot;&quot;},&quot;isTemporary&quot;:false}]},{&quot;citationID&quot;:&quot;MENDELEY_CITATION_488eff76-5c5d-42d0-bfc5-3d3a24c53fd7&quot;,&quot;properties&quot;:{&quot;noteIndex&quot;:0},&quot;isEdited&quot;:false,&quot;manualOverride&quot;:{&quot;citeprocText&quot;:&quot;&lt;sup&gt;6&lt;/sup&gt;&quot;,&quot;isManuallyOverridden&quot;:false,&quot;manualOverrideText&quot;:&quot;&quot;},&quot;citationTag&quot;:&quot;MENDELEY_CITATION_v3_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&quot;,&quot;citationItems&quot;:[{&quot;id&quot;:&quot;0f85f436-923d-5893-af27-105123827238&quot;,&quot;itemData&quot;:{&quot;DOI&quot;:&quot;10.1056/NEJMOA1007474/SUPPL_FILE/NEJMOA1007474_DISCLOSURES.PDF&quot;,&quot;ISSN&quot;:&quot;0028-4793&quot;,&quot;abstract&quot;:&quot;Health care-associated infections with methicillin-resistant Staphylococcus aureus (MRSA) have been an increasing concern in Veterans Affairs (VA) hospitals.&quot;,&quot;author&quot;:[{&quot;dropping-particle&quot;:&quot;&quot;,&quot;family&quot;:&quot;Jain&quot;,&quot;given&quot;:&quot;Rajiv&quot;,&quot;non-dropping-particle&quot;:&quot;&quot;,&quot;parse-names&quot;:false,&quot;suffix&quot;:&quot;&quot;},{&quot;dropping-particle&quot;:&quot;&quot;,&quot;family&quot;:&quot;Kralovic&quot;,&quot;given&quot;:&quot;Stephen M.&quot;,&quot;non-dropping-particle&quot;:&quot;&quot;,&quot;parse-names&quot;:false,&quot;suffix&quot;:&quot;&quot;},{&quot;dropping-particle&quot;:&quot;&quot;,&quot;family&quot;:&quot;Evans&quot;,&quot;given&quot;:&quot;Martin E.&quot;,&quot;non-dropping-particle&quot;:&quot;&quot;,&quot;parse-names&quot;:false,&quot;suffix&quot;:&quot;&quot;},{&quot;dropping-particle&quot;:&quot;&quot;,&quot;family&quot;:&quot;Ambrose&quot;,&quot;given&quot;:&quot;Meredith&quot;,&quot;non-dropping-particle&quot;:&quot;&quot;,&quot;parse-names&quot;:false,&quot;suffix&quot;:&quot;&quot;},{&quot;dropping-particle&quot;:&quot;&quot;,&quot;family&quot;:&quot;Simbartl&quot;,&quot;given&quot;:&quot;Loretta A.&quot;,&quot;non-dropping-particle&quot;:&quot;&quot;,&quot;parse-names&quot;:false,&quot;suffix&quot;:&quot;&quot;},{&quot;dropping-particle&quot;:&quot;&quot;,&quot;family&quot;:&quot;Obrosky&quot;,&quot;given&quot;:&quot;D. Scott&quot;,&quot;non-dropping-particle&quot;:&quot;&quot;,&quot;parse-names&quot;:false,&quot;suffix&quot;:&quot;&quot;},{&quot;dropping-particle&quot;:&quot;&quot;,&quot;family&quot;:&quot;Render&quot;,&quot;given&quot;:&quot;Marta L.&quot;,&quot;non-dropping-particle&quot;:&quot;&quot;,&quot;parse-names&quot;:false,&quot;suffix&quot;:&quot;&quot;},{&quot;dropping-particle&quot;:&quot;&quot;,&quot;family&quot;:&quot;Freyberg&quot;,&quot;given&quot;:&quot;Ron W.&quot;,&quot;non-dropping-particle&quot;:&quot;&quot;,&quot;parse-names&quot;:false,&quot;suffix&quot;:&quot;&quot;},{&quot;dropping-particle&quot;:&quot;&quot;,&quot;family&quot;:&quot;Jernigan&quot;,&quot;given&quot;:&quot;John A.&quot;,&quot;non-dropping-particle&quot;:&quot;&quot;,&quot;parse-names&quot;:false,&quot;suffix&quot;:&quot;&quot;},{&quot;dropping-particle&quot;:&quot;&quot;,&quot;family&quot;:&quot;Muder&quot;,&quot;given&quot;:&quot;Robert R.&quot;,&quot;non-dropping-particle&quot;:&quot;&quot;,&quot;parse-names&quot;:false,&quot;suffix&quot;:&quot;&quot;},{&quot;dropping-particle&quot;:&quot;&quot;,&quot;family&quot;:&quot;Miller&quot;,&quot;given&quot;:&quot;LaToya J.&quot;,&quot;non-dropping-particle&quot;:&quot;&quot;,&quot;parse-names&quot;:false,&quot;suffix&quot;:&quot;&quot;},{&quot;dropping-particle&quot;:&quot;&quot;,&quot;family&quot;:&quot;Roselle&quot;,&quot;given&quot;:&quot;Gary A.&quot;,&quot;non-dropping-particle&quot;:&quot;&quot;,&quot;parse-names&quot;:false,&quot;suffix&quot;:&quot;&quot;}],&quot;container-title&quot;:&quot;New England Journal of Medicine&quot;,&quot;id&quot;:&quot;0f85f436-923d-5893-af27-105123827238&quot;,&quot;issue&quot;:&quot;15&quot;,&quot;issued&quot;:{&quot;date-parts&quot;:[[&quot;2011&quot;,&quot;4&quot;,&quot;14&quot;]]},&quot;page&quot;:&quot;1419-1430&quot;,&quot;publisher&quot;:&quot;Massachusetts Medical Society&quot;,&quot;title&quot;:&quot; Veterans Affairs Initiative to Prevent Methicillin-Resistant Staphylococcus aureus Infections &quot;,&quot;type&quot;:&quot;article-journal&quot;,&quot;volume&quot;:&quot;364&quot;,&quot;container-title-short&quot;:&quot;&quot;},&quot;uris&quot;:[&quot;http://www.mendeley.com/documents/?uuid=e8c0a06a-f883-3b12-90fd-e854eb205588&quot;],&quot;isTemporary&quot;:false,&quot;legacyDesktopId&quot;:&quot;e8c0a06a-f883-3b12-90fd-e854eb205588&quot;}]},{&quot;citationID&quot;:&quot;MENDELEY_CITATION_9515edef-18b1-48e1-aa50-aed3a6cf483f&quot;,&quot;properties&quot;:{&quot;noteIndex&quot;:0},&quot;isEdited&quot;:false,&quot;manualOverride&quot;:{&quot;citeprocText&quot;:&quot;&lt;sup&gt;7&lt;/sup&gt;&quot;,&quot;isManuallyOverridden&quot;:false,&quot;manualOverrideText&quot;:&quot;&quot;},&quot;citationTag&quot;:&quot;MENDELEY_CITATION_v3_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&quot;,&quot;citationItems&quot;:[{&quot;id&quot;:&quot;ec2503c9-f1d1-54d3-825b-ef427b06d344&quot;,&quot;itemData&quot;:{&quot;DOI&quot;:&quot;10.1086/677151&quot;,&quot;ISSN&quot;:&quot;0899-823X&quot;,&quot;PMID&quot;:&quot;25026621&quot;,&quot;abstract&quot;:&quot;ObjectiveAn initiative was implemented in July 2012 to decrease Clostridium difficile infections (CDIs) in Veterans Affairs (VA) acute care medical centers nationwide. This is a report of national baseline CDI data collected from the 21 months before implementation of the initiative.MethodsPersonnel at each of 132 data-reporting sites entered monthly retrospective CDI case data from October 2010 through June 2012 into a central database using case definitions similar to those of the National Healthcare Safety Network multidrug-resistant organism/CDI module.ResultsThere were 958,387 hospital admissions, 5,286,841 patient-days, and 9,642 CDI cases reported during the 21-month analysis period. The pooled CDI admission prevalence rate (including recurrent cases) was 0.66 cases per 100 admissions. The nonduplicate/nonrecurrent community-onset not-healthcare-facility-associated (CO-notHCFA) case rate was 0.35 cases per 100 admissions, and the community-onset healthcare facility–associated (CO-HCFA) case rate was 0.14 cases per 100 admissions. Hospital-onset healthcare facility–associated (HO-HCFA), clinically confirmed HO-HCFA (CC-HO-HCFA), and CO-HCFA rates were 9.32, 8.40, and 2.56 cases per 10,000 patient-days, respectively. There were significant decreases in admission prevalence (P = .0006, Poisson regression), HO-HCFA (P = .003), and CC-HO-HCFA (P = .004) rates after adjusting for type of diagnostic test. CO-HCFA and CO-notHCFA rates per 100 admissions also trended downward (P = .07 and .10, respectively).ConclusionsVA acute care medical facility CDI rates were higher than those reported in other healthcare systems, but unlike rates in other venues, they were decreasing or trending downward. Despite these downward trends, there is still a substantial burden of CDI in the system supporting the need for efforts to decrease rates further.&quot;,&quot;author&quot;:[{&quot;dropping-particle&quot;:&quot;&quot;,&quot;family&quot;:&quot;Evans&quot;,&quot;given&quot;:&quot;Martin E.&quot;,&quot;non-dropping-particle&quot;:&quot;&quot;,&quot;parse-names&quot;:false,&quot;suffix&quot;:&quot;&quot;},{&quot;dropping-particle&quot;:&quot;&quot;,&quot;family&quot;:&quot;Simbartl&quot;,&quot;given&quot;:&quot;Loretta A.&quot;,&quot;non-dropping-particle&quot;:&quot;&quot;,&quot;parse-names&quot;:false,&quot;suffix&quot;:&quot;&quot;},{&quot;dropping-particle&quot;:&quot;&quot;,&quot;family&quot;:&quot;Kralovic&quot;,&quot;given&quot;:&quot;Stephen M.&quot;,&quot;non-dropping-particle&quot;:&quot;&quot;,&quot;parse-names&quot;:false,&quot;suffix&quot;:&quot;&quot;},{&quot;dropping-particle&quot;:&quot;&quot;,&quot;family&quot;:&quot;Jain&quot;,&quot;given&quot;:&quot;Rajiv&quot;,&quot;non-dropping-particle&quot;:&quot;&quot;,&quot;parse-names&quot;:false,&quot;suffix&quot;:&quot;&quot;},{&quot;dropping-particle&quot;:&quot;&quot;,&quot;family&quot;:&quot;Roselle&quot;,&quot;given&quot;:&quot;Gary A.&quot;,&quot;non-dropping-particle&quot;:&quot;&quot;,&quot;parse-names&quot;:false,&quot;suffix&quot;:&quot;&quot;}],&quot;container-title&quot;:&quot;Infection Control &amp; Hospital Epidemiology&quot;,&quot;id&quot;:&quot;ec2503c9-f1d1-54d3-825b-ef427b06d344&quot;,&quot;issue&quot;:&quot;8&quot;,&quot;issued&quot;:{&quot;date-parts&quot;:[[&quot;2014&quot;,&quot;8&quot;]]},&quot;page&quot;:&quot;1037-1042&quot;,&quot;publisher&quot;:&quot;Cambridge University Press&quot;,&quot;title&quot;:&quot;Clostridium difficile Infections in Veterans Health Administration Acute Care Facilities&quot;,&quot;type&quot;:&quot;article-journal&quot;,&quot;volume&quot;:&quot;35&quot;,&quot;container-title-short&quot;:&quot;Infect Control Hosp Epidemiol&quot;},&quot;uris&quot;:[&quot;http://www.mendeley.com/documents/?uuid=0ba29f9f-87fb-30e3-8226-cafcb35806b9&quot;],&quot;isTemporary&quot;:false,&quot;legacyDesktopId&quot;:&quot;0ba29f9f-87fb-30e3-8226-cafcb35806b9&quot;}]},{&quot;citationID&quot;:&quot;MENDELEY_CITATION_007343e7-50ea-4dcd-8a91-290a3ed5279a&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&quot;,&quot;citationItems&quot;:[{&quot;id&quot;:&quot;6305c25b-a9b2-31e0-b826-07066346473e&quot;,&quot;itemData&quot;:{&quot;type&quot;:&quot;article-journal&quot;,&quot;id&quot;:&quot;6305c25b-a9b2-31e0-b826-07066346473e&quot;,&quot;title&quot;:&quot;Trends in Health Care–Associated Infection Prevention Practices in US Veterans Affairs Hospitals From 2005 to 2017&quot;,&quot;groupId&quot;:&quot;662de721-4932-3d16-b437-a9883fd9e6e7&quot;,&quot;author&quot;:[{&quot;family&quot;:&quot;Vaughn&quot;,&quot;given&quot;:&quot;Valerie M.&quot;,&quot;parse-names&quot;:false,&quot;dropping-particle&quot;:&quot;&quot;,&quot;non-dropping-particle&quot;:&quot;&quot;},{&quot;family&quot;:&quot;Saint&quot;,&quot;given&quot;:&quot;Sanjay&quot;,&quot;parse-names&quot;:false,&quot;dropping-particle&quot;:&quot;&quot;,&quot;non-dropping-particle&quot;:&quot;&quot;},{&quot;family&quot;:&quot;Greene&quot;,&quot;given&quot;:&quot;M. Todd&quot;,&quot;parse-names&quot;:false,&quot;dropping-particle&quot;:&quot;&quot;,&quot;non-dropping-particle&quot;:&quot;&quot;},{&quot;family&quot;:&quot;Ratz&quot;,&quot;given&quot;:&quot;David&quot;,&quot;parse-names&quot;:false,&quot;dropping-particle&quot;:&quot;&quot;,&quot;non-dropping-particle&quot;:&quot;&quot;},{&quot;family&quot;:&quot;Fowler&quot;,&quot;given&quot;:&quot;Karen E.&quot;,&quot;parse-names&quot;:false,&quot;dropping-particle&quot;:&quot;&quot;,&quot;non-dropping-particle&quot;:&quot;&quot;},{&quot;family&quot;:&quot;Patel&quot;,&quot;given&quot;:&quot;Payal K.&quot;,&quot;parse-names&quot;:false,&quot;dropping-particle&quot;:&quot;&quot;,&quot;non-dropping-particle&quot;:&quot;&quot;},{&quot;family&quot;:&quot;Krein&quot;,&quot;given&quot;:&quot;Sarah L.&quot;,&quot;parse-names&quot;:false,&quot;dropping-particle&quot;:&quot;&quot;,&quot;non-dropping-particle&quot;:&quot;&quot;}],&quot;container-title&quot;:&quot;JAMA Network Open&quot;,&quot;accessed&quot;:{&quot;date-parts&quot;:[[2023,12,10]]},&quot;DOI&quot;:&quot;10.1001/JAMANETWORKOPEN.2019.20464&quot;,&quot;ISSN&quot;:&quot;25743805&quot;,&quot;PMID&quot;:&quot;32022877&quot;,&quot;URL&quot;:&quot;https://jamanetwork.com/journals/jamanetworkopen/fullarticle/2760024&quot;,&quot;issued&quot;:{&quot;date-parts&quot;:[[2020,2,5]]},&quot;page&quot;:&quot;e1920464-e1920464&quot;,&quot;abstract&quot;:&quot;&lt;h3&gt;Importance&lt;/h3&gt;&lt;p&gt;Health care–associated infection (HAI) is associated with substantial harm. To reduce HAI, the largest integrated health care system in the United States—the Veterans Health Administration—was an early adopter of infection prevention policies and initiatives. Whether these efforts translated into increased use of practices to prevent HAI in Veterans Affairs (VA) hospitals is unknown.&lt;/p&gt;&lt;h3&gt;Objective&lt;/h3&gt;&lt;p&gt;To evaluate changes over time in infection prevention practices and the perception of the importance of infection prevention to hospital leadership.&lt;/p&gt;&lt;h3&gt;Design, Settings, and Participants&lt;/h3&gt;&lt;p&gt;For this survey study, every 4 years between 2005 and 2017, infection preventionists were surveyed at all VA hospitals on use of practices associated with common HAIs, including central line–associated bloodstream infection (CLABSI), catheter-associated urinary tract infection (CAUTI), ventilator-associated pneumonia (VAP), and (beginning in 2013)&lt;i&gt;Clostridioides difficile&lt;/i&gt;infection. Data analysis was performed from February 1, 2019, to July 1, 2019.&lt;/p&gt;&lt;h3&gt;Main Outcomes and Measures&lt;/h3&gt;&lt;p&gt;Reported regular use of key infection prevention practices and perceived importance of infection prevention to hospital leadership.&lt;/p&gt;&lt;h3&gt;Results&lt;/h3&gt;&lt;p&gt;Between 2005 and 2017, 320 total surveys were completed with response rates ranging from 59% (73 of 124) in 2017 to 80% (95 of 119) in 2005. Use of 12 different infection prevention practices increased. Since 2013, 92% (69 of 75) to 100% of VA hospitals reported regular use of key infection prevention practices for&lt;i&gt;C difficile&lt;/i&gt;infection and CLABSI. In contrast, adoption of many practices to prevent CAUTI, although increasing, have lagged. Despite reported increases in the use of some practices for VAP such as semirecumbent positioning (89% [79 of 89] in 2005 vs 97% [61 of 63] in 2017,&lt;i&gt;P&lt;/i&gt; = .007 for trend) and subglottic secretion drainage (23% [19 of 84] in 2005 vs 65% [40 of 62] in 2017,&lt;i&gt;P&lt;/i&gt; &amp;lt; .001), use of other key practices such as daily interruptions of sedation (85% [55 of 65] in 2009 vs 87% [54 of 62] in 2017,&lt;i&gt;P&lt;/i&gt; = .66) and early mobilization (81% [52 of 64] in 2013 vs 82% [51 of 62] in 2017,&lt;i&gt;P&lt;/i&gt; = .88) has not increased. Antibiotic stewardship programs are now reported in nearly every VA hospital (97% [71 of 73]); however, some hospitals report practices for microbiologic testing for HAIs (eg, 22% [16 of 72] report routine urine culture testing in 2017) that could also contribute to antibiotic overuse.&lt;/p&gt;&lt;h3&gt;Conclusions and Relevance&lt;/h3&gt;&lt;p&gt;From 2005 to 2017, reported use of 12 different infection prevention practices increased in VA hospitals. Areas for continued improvement of infection prevention practices appear to include CAUTI, certain VAP practices, and diagnostic stewardship for HAI. The reported adoption of many infection prevention practices in VA hospitals was higher than in non-VA hospitals. As hospitals continue to merge and health systems become increasingly integrated, these successes could help inform patient safety broadly.&lt;/p&gt;&quot;,&quot;publisher&quot;:&quot;American Medical Association&quot;,&quot;issue&quot;:&quot;2&quot;,&quot;volume&quot;:&quot;3&quot;,&quot;container-title-short&quot;:&quot;JAMA Netw Open&quot;},&quot;isTemporary&quot;:false}]},{&quot;citationID&quot;:&quot;MENDELEY_CITATION_03558d2e-99cb-4ea4-8285-5c8f33d3e162&quot;,&quot;properties&quot;:{&quot;noteIndex&quot;:0},&quot;isEdited&quot;:false,&quot;manualOverride&quot;:{&quot;citeprocText&quot;:&quot;&lt;sup&gt;9&lt;/sup&gt;&quot;,&quot;isManuallyOverridden&quot;:false,&quot;manualOverrideText&quot;:&quot;&quot;},&quot;citationTag&quot;:&quot;MENDELEY_CITATION_v3_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&quot;,&quot;citationItems&quot;:[{&quot;id&quot;:&quot;e21cdbb6-dac3-5420-9c33-2b25f374c8e6&quot;,&quot;itemData&quot;:{&quot;DOI&quot;:&quot;10.1017/ICE.2016.328&quot;,&quot;ISSN&quot;:&quot;0899-823X&quot;,&quot;PMID&quot;:&quot;28118861&quot;,&quot;abstract&quot;:&quot;OBJECTIVETo detail the activities of the Veterans Health Administration (VHA) Antimicrobial Stewardship Initiative and evaluate outcomes of the program.DESIGNObservational analysis.SETTINGThe VHA is a large integrated healthcare system serving approximately 6 million individuals annually at more than 140 medical facilities.METHODSUtilization of nationally developed resources, proportional distribution of antibiotics, changes in stewardship practices and patient safety measures were reported. In addition, inpatient antimicrobial use was evaluated before and after implementation of national stewardship activities.RESULTSNationally developed stewardship resources were well utilized, and many stewardship practices significantly increased, including development of written stewardship policies at 92% of facilities by 2015 (P&amp;lt;.05). While the proportional distribution of antibiotics did not change, inpatient antibiotic use significantly decreased after VHA Antimicrobial Stewardship Initiative activities began (P&amp;lt;.0001). A 12% decrease in antibiotic use was noted overall. The VHA has also noted significantly declining use of antimicrobials prescribed for resistant Gram-negative organisms, including carbapenems, as well as declining hospital readmission and mortality rates. Concurrently, the VHA reported decreasing rates of Clostridium difficile infection.CONCLUSIONSThe VHA National Antimicrobial Stewardship Initiative includes continuing education, disease-specific guidelines, and development of example policies in addition to other highly utilized resources. While no specific ideal level of antimicrobial utilization has been established, the VHA has shown that improving antimicrobial usage in a large healthcare system may be achieved through national guidance and resources with local implementation of antimicrobial stewardship programs.Infect Control Hosp Epidemiol 2017;38:513–520&quot;,&quot;author&quot;:[{&quot;dropping-particle&quot;:&quot;&quot;,&quot;family&quot;:&quot;Kelly&quot;,&quot;given&quot;:&quot;Allison A.&quot;,&quot;non-dropping-particle&quot;:&quot;&quot;,&quot;parse-names&quot;:false,&quot;suffix&quot;:&quot;&quot;},{&quot;dropping-particle&quot;:&quot;&quot;,&quot;family&quot;:&quot;Jones&quot;,&quot;given&quot;:&quot;Makoto M.&quot;,&quot;non-dropping-particle&quot;:&quot;&quot;,&quot;parse-names&quot;:false,&quot;suffix&quot;:&quot;&quot;},{&quot;dropping-particle&quot;:&quot;&quot;,&quot;family&quot;:&quot;Echevarria&quot;,&quot;given&quot;:&quot;Kelly L.&quot;,&quot;non-dropping-particle&quot;:&quot;&quot;,&quot;parse-names&quot;:false,&quot;suffix&quot;:&quot;&quot;},{&quot;dropping-particle&quot;:&quot;&quot;,&quot;family&quot;:&quot;Kralovic&quot;,&quot;given&quot;:&quot;Stephen M.&quot;,&quot;non-dropping-particle&quot;:&quot;&quot;,&quot;parse-names&quot;:false,&quot;suffix&quot;:&quot;&quot;},{&quot;dropping-particle&quot;:&quot;&quot;,&quot;family&quot;:&quot;Samore&quot;,&quot;given&quot;:&quot;Matthew H.&quot;,&quot;non-dropping-particle&quot;:&quot;&quot;,&quot;parse-names&quot;:false,&quot;suffix&quot;:&quot;&quot;},{&quot;dropping-particle&quot;:&quot;&quot;,&quot;family&quot;:&quot;Goetz&quot;,&quot;given&quot;:&quot;Matthew B.&quot;,&quot;non-dropping-particle&quot;:&quot;&quot;,&quot;parse-names&quot;:false,&quot;suffix&quot;:&quot;&quot;},{&quot;dropping-particle&quot;:&quot;&quot;,&quot;family&quot;:&quot;Madaras-Kelly&quot;,&quot;given&quot;:&quot;Karl J.&quot;,&quot;non-dropping-particle&quot;:&quot;&quot;,&quot;parse-names&quot;:false,&quot;suffix&quot;:&quot;&quot;},{&quot;dropping-particle&quot;:&quot;&quot;,&quot;family&quot;:&quot;Simbartl&quot;,&quot;given&quot;:&quot;Loretta A.&quot;,&quot;non-dropping-particle&quot;:&quot;&quot;,&quot;parse-names&quot;:false,&quot;suffix&quot;:&quot;&quot;},{&quot;dropping-particle&quot;:&quot;&quot;,&quot;family&quot;:&quot;Morreale&quot;,&quot;given&quot;:&quot;Anthony P.&quot;,&quot;non-dropping-particle&quot;:&quot;&quot;,&quot;parse-names&quot;:false,&quot;suffix&quot;:&quot;&quot;},{&quot;dropping-particle&quot;:&quot;&quot;,&quot;family&quot;:&quot;Neuhauser&quot;,&quot;given&quot;:&quot;Melinda M.&quot;,&quot;non-dropping-particle&quot;:&quot;&quot;,&quot;parse-names&quot;:false,&quot;suffix&quot;:&quot;&quot;},{&quot;dropping-particle&quot;:&quot;&quot;,&quot;family&quot;:&quot;Roselle&quot;,&quot;given&quot;:&quot;Gary A.&quot;,&quot;non-dropping-particle&quot;:&quot;&quot;,&quot;parse-names&quot;:false,&quot;suffix&quot;:&quot;&quot;}],&quot;container-title&quot;:&quot;Infection Control &amp; Hospital Epidemiology&quot;,&quot;id&quot;:&quot;e21cdbb6-dac3-5420-9c33-2b25f374c8e6&quot;,&quot;issue&quot;:&quot;5&quot;,&quot;issued&quot;:{&quot;date-parts&quot;:[[&quot;2017&quot;,&quot;5&quot;,&quot;1&quot;]]},&quot;page&quot;:&quot;513-520&quot;,&quot;publisher&quot;:&quot;Cambridge University Press&quot;,&quot;title&quot;:&quot;A Report of the Efforts of the Veterans Health Administration National Antimicrobial Stewardship Initiative&quot;,&quot;type&quot;:&quot;article-journal&quot;,&quot;volume&quot;:&quot;38&quot;,&quot;container-title-short&quot;:&quot;Infect Control Hosp Epidemiol&quot;},&quot;uris&quot;:[&quot;http://www.mendeley.com/documents/?uuid=8cd66f00-4059-37e0-86b8-bfff67557281&quot;],&quot;isTemporary&quot;:false,&quot;legacyDesktopId&quot;:&quot;8cd66f00-4059-37e0-86b8-bfff67557281&quot;}]},{&quot;citationID&quot;:&quot;MENDELEY_CITATION_264521e2-a819-42fd-8c08-7a2d39898f59&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&quot;,&quot;citationItems&quot;:[{&quot;id&quot;:&quot;1783955f-b637-32ca-9800-5df9a0268b65&quot;,&quot;itemData&quot;:{&quot;type&quot;:&quot;article-journal&quot;,&quot;id&quot;:&quot;1783955f-b637-32ca-9800-5df9a0268b65&quot;,&quot;title&quot;:&quot;Longitudinal data analysis using generalized linear models&quot;,&quot;author&quot;:[{&quot;family&quot;:&quot;Liang&quot;,&quot;given&quot;:&quot;Kung Yee&quot;,&quot;parse-names&quot;:false,&quot;dropping-particle&quot;:&quot;&quot;,&quot;non-dropping-particle&quot;:&quot;&quot;},{&quot;family&quot;:&quot;Zeger&quot;,&quot;given&quot;:&quot;Scott L.&quot;,&quot;parse-names&quot;:false,&quot;dropping-particle&quot;:&quot;&quot;,&quot;non-dropping-particle&quot;:&quot;&quot;}],&quot;container-title&quot;:&quot;Biometrika&quot;,&quot;container-title-short&quot;:&quot;Biometrika&quot;,&quot;accessed&quot;:{&quot;date-parts&quot;:[[2024,2,8]]},&quot;DOI&quot;:&quot;10.1093/BIOMET/73.1.13&quot;,&quot;ISSN&quot;:&quot;0006-3444&quot;,&quot;URL&quot;:&quot;https://dx.doi.org/10.1093/biomet/73.1.13&quot;,&quot;issued&quot;:{&quot;date-parts&quot;:[[1986,4,1]]},&quot;page&quot;:&quot;13-22&quot;,&quot;abstract&quot;:&quot;This paper proposes an extension of generalized linear models to the analysis of longitudinal data. We introduce a class of estimating equations that give consistent estimates of the regression parameters and of their variance under mild assumptions about the time dependence. The estimating equations are derived without specifying the joint distribution of a subject's observations yet they reduce to the score equations for niultivariate Gaussian outcomes. Asymptotic theory is presented for the general class of estimators. Specific cases in which we assume independence, m-dependence and exchangeable correlation structures from each subject are discussed. Efficiency of the pioposecl estimators in two simple situations is considered. The approach is closely related to quasi-likelihood. © 1986 Biometrika Trust.&quot;,&quot;publisher&quot;:&quot;Oxford Academic&quot;,&quot;issue&quot;:&quot;1&quot;,&quot;volume&quot;:&quot;73&quot;},&quot;isTemporary&quot;:false}]},{&quot;citationID&quot;:&quot;MENDELEY_CITATION_ff480a30-f04d-4cf0-9e37-e92766625ec9&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&quot;,&quot;citationItems&quot;:[{&quot;id&quot;:&quot;bd1737c6-aca9-3529-9e71-06d942fb18bf&quot;,&quot;itemData&quot;:{&quot;type&quot;:&quot;webpage&quot;,&quot;id&quot;:&quot;bd1737c6-aca9-3529-9e71-06d942fb18bf&quot;,&quot;title&quot;:&quot;R: The R Project for Statistical Computing&quot;,&quot;groupId&quot;:&quot;662de721-4932-3d16-b437-a9883fd9e6e7&quot;,&quot;accessed&quot;:{&quot;date-parts&quot;:[[2023,10,22]]},&quot;URL&quot;:&quot;https://www.r-project.org/&quot;,&quot;container-title-short&quot;:&quot;&quot;},&quot;isTemporary&quot;:false}]},{&quot;citationID&quot;:&quot;MENDELEY_CITATION_97d5c8b3-b8e1-4ee8-a654-2d474fe55d96&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&quot;,&quot;citationItems&quot;:[{&quot;id&quot;:&quot;fd6c04d9-334f-3794-9805-b4be5fa073a8&quot;,&quot;itemData&quot;:{&quot;type&quot;:&quot;article-journal&quot;,&quot;id&quot;:&quot;fd6c04d9-334f-3794-9805-b4be5fa073a8&quot;,&quot;title&quot;:&quot;The Impact Of The COVID-19 Pandemic On Hospital Admissions In The United States&quot;,&quot;author&quot;:[{&quot;family&quot;:&quot;Birkmeyer&quot;,&quot;given&quot;:&quot;John D.&quot;,&quot;parse-names&quot;:false,&quot;dropping-particle&quot;:&quot;&quot;,&quot;non-dropping-particle&quot;:&quot;&quot;},{&quot;family&quot;:&quot;Barnato&quot;,&quot;given&quot;:&quot;Amber&quot;,&quot;parse-names&quot;:false,&quot;dropping-particle&quot;:&quot;&quot;,&quot;non-dropping-particle&quot;:&quot;&quot;},{&quot;family&quot;:&quot;Birkmeyer&quot;,&quot;given&quot;:&quot;Nancy&quot;,&quot;parse-names&quot;:false,&quot;dropping-particle&quot;:&quot;&quot;,&quot;non-dropping-particle&quot;:&quot;&quot;},{&quot;family&quot;:&quot;Bessler&quot;,&quot;given&quot;:&quot;Robert&quot;,&quot;parse-names&quot;:false,&quot;dropping-particle&quot;:&quot;&quot;,&quot;non-dropping-particle&quot;:&quot;&quot;},{&quot;family&quot;:&quot;Skinner&quot;,&quot;given&quot;:&quot;Jonathan&quot;,&quot;parse-names&quot;:false,&quot;dropping-particle&quot;:&quot;&quot;,&quot;non-dropping-particle&quot;:&quot;&quot;}],&quot;container-title&quot;:&quot;Health affairs (Project Hope)&quot;,&quot;container-title-short&quot;:&quot;Health Aff (Millwood)&quot;,&quot;accessed&quot;:{&quot;date-parts&quot;:[[2023,11,28]]},&quot;DOI&quot;:&quot;10.1377/HLTHAFF.2020.00980&quot;,&quot;ISSN&quot;:&quot;15445208&quot;,&quot;PMID&quot;:&quot;32970495&quot;,&quot;URL&quot;:&quot;/pmc/articles/PMC7769002/&quot;,&quot;issued&quot;:{&quot;date-parts&quot;:[[2020,11,1]]},&quot;page&quot;:&quot;2010&quot;,&quot;abstract&quot;:&quot;Hospital admissions in the US fell dramatically with the onset of the coronavirus disease 2019 (COVID-19) pandemic. However, little is known about differences in admissions patterns among patient groups or the extent of the rebound. In this study of approximately one million medical admissions from a large, nationally representative hospitalist group, we found that declines in non-COVID-19 admissions from February to April 2020 were generally similar across patient demographic subgroups and exceeded 20 percent for all primary admission diagnoses. By late June/early July 2020, overall non-COVID-19 admissions had rebounded to 16 percent below prepandemic baseline volume (8 percent including COVID-19 admissions). Non-COVID-19 admissions were substantially lower for patients residing in majority-Hispanic neighborhoods (32 percent below baseline) and remained well below baseline for patients with pneumonia (−44 percent), chronic obstructive pulmonary disease/asthma (−40 percent), sepsis (−25 percent), urinary tract infection (−24 percent), and acute ST-elevation myocardial infarction (−22 percent). Health system leaders and public health authorities should focus on efforts to ensure that patients with acute medical illnesses can obtain hospital care as needed during the pandemic to avoid adverse outcomes.&quot;,&quot;publisher&quot;:&quot;NIH Public Access&quot;,&quot;issue&quot;:&quot;11&quot;,&quot;volume&quot;:&quot;39&quot;},&quot;isTemporary&quot;:false}]}]"/>
    <we:property name="MENDELEY_CITATIONS_LOCALE_CODE" value="&quot;en-GB&quot;"/>
    <we:property name="MENDELEY_CITATIONS_STYLE" value="{&quot;id&quot;:&quot;https://www.zotero.org/styles/nature&quot;,&quot;title&quot;:&quot;Nature&quot;,&quot;format&quot;:&quot;numeric&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57A18-1050-4B4C-9FE4-1A11A4F90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9994</Words>
  <Characters>56967</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Pham, Thi Mui</cp:lastModifiedBy>
  <cp:revision>2</cp:revision>
  <cp:lastPrinted>2024-05-06T20:33:00Z</cp:lastPrinted>
  <dcterms:created xsi:type="dcterms:W3CDTF">2024-06-25T18:33:00Z</dcterms:created>
  <dcterms:modified xsi:type="dcterms:W3CDTF">2024-06-25T18:33:00Z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