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2B48"/>
          <w:sz w:val="26"/>
        </w:rPr>
        <w:t>BHARATI VIDYAPEETH’S COLLEGE OF ENGINEERING, NEW DELHI</w:t>
        <w:br/>
      </w:r>
      <w:r>
        <w:rPr>
          <w:b/>
          <w:sz w:val="22"/>
        </w:rPr>
        <w:t>Department of CSE - AIML</w:t>
        <w:br/>
      </w:r>
      <w:r>
        <w:rPr>
          <w:b/>
          <w:sz w:val="24"/>
        </w:rPr>
        <w:t>MICRO PROJECT PROGRESS REPORT</w:t>
      </w:r>
    </w:p>
    <w:p>
      <w:pPr>
        <w:spacing w:before="160" w:after="280"/>
        <w:jc w:val="center"/>
      </w:pPr>
      <w:r>
        <w:rPr>
          <w:b/>
          <w:sz w:val="21"/>
        </w:rPr>
        <w:t>Period of Report from 27/08/2026 to 28/09/2026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fill="EBF2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Sr. No.</w:t>
            </w:r>
          </w:p>
        </w:tc>
        <w:tc>
          <w:tcPr>
            <w:tcW w:type="dxa" w:w="4896"/>
            <w:shd w:fill="EBF2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type="dxa" w:w="3888"/>
            <w:shd w:fill="EBF2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Enrollment Number</w:t>
            </w:r>
          </w:p>
        </w:tc>
      </w:tr>
      <w:t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1.</w:t>
            </w:r>
          </w:p>
        </w:tc>
        <w:tc>
          <w:tcPr>
            <w:tcW w:type="dxa" w:w="48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Kaashvi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01411515624</w:t>
            </w:r>
          </w:p>
        </w:tc>
      </w:tr>
      <w:t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2.</w:t>
            </w:r>
          </w:p>
        </w:tc>
        <w:tc>
          <w:tcPr>
            <w:tcW w:type="dxa" w:w="48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Tanvi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01611515624</w:t>
            </w:r>
          </w:p>
        </w:tc>
      </w:tr>
      <w:t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3.</w:t>
            </w:r>
          </w:p>
        </w:tc>
        <w:tc>
          <w:tcPr>
            <w:tcW w:type="dxa" w:w="48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Khushi Choudhary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sz w:val="19"/>
              </w:rPr>
              <w:t>01911515624</w:t>
            </w:r>
          </w:p>
        </w:tc>
      </w:tr>
    </w:tbl>
    <w:p>
      <w:pPr>
        <w:spacing w:before="440" w:after="160"/>
        <w:jc w:val="center"/>
      </w:pPr>
      <w:r>
        <w:rPr>
          <w:b/>
          <w:sz w:val="22"/>
        </w:rPr>
        <w:t>Attendance and Feedback By Mentor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shd w:fill="EBF2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Enrollment no.</w:t>
            </w:r>
          </w:p>
        </w:tc>
        <w:tc>
          <w:tcPr>
            <w:tcW w:type="dxa" w:w="2736"/>
            <w:shd w:fill="EBF2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1872"/>
            <w:shd w:fill="EBF2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Attendance out of 5</w:t>
            </w:r>
          </w:p>
        </w:tc>
        <w:tc>
          <w:tcPr>
            <w:tcW w:type="dxa" w:w="2592"/>
            <w:shd w:fill="EBF2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Feedback/Suggestion</w:t>
            </w:r>
          </w:p>
        </w:tc>
        <w:tc>
          <w:tcPr>
            <w:tcW w:type="dxa" w:w="1296"/>
            <w:shd w:fill="EBF2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Signature</w:t>
            </w:r>
          </w:p>
        </w:tc>
      </w:tr>
      <w:tr>
        <w:tc>
          <w:tcPr>
            <w:tcW w:type="dxa" w:w="1728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Kaashvi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00" w:type="dxa"/>
              <w:right w:w="100" w:type="dxa"/>
            </w:tcMar>
          </w:tcPr>
          <w:p/>
        </w:tc>
        <w:tc>
          <w:tcPr>
            <w:tcW w:type="dxa" w:w="2592"/>
            <w:tcMar>
              <w:top w:w="140" w:type="dxa"/>
              <w:bottom w:w="140" w:type="dxa"/>
              <w:left w:w="100" w:type="dxa"/>
              <w:right w:w="100" w:type="dxa"/>
            </w:tcMar>
          </w:tcPr>
          <w:p/>
        </w:tc>
        <w:tc>
          <w:tcPr>
            <w:tcW w:type="dxa" w:w="1296"/>
            <w:tcMar>
              <w:top w:w="140" w:type="dxa"/>
              <w:bottom w:w="140" w:type="dxa"/>
              <w:left w:w="100" w:type="dxa"/>
              <w:right w:w="100" w:type="dxa"/>
            </w:tcMar>
          </w:tcPr>
          <w:p/>
        </w:tc>
      </w:tr>
      <w:tr>
        <w:tc>
          <w:tcPr>
            <w:tcW w:type="dxa" w:w="1728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Tanvi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00" w:type="dxa"/>
              <w:right w:w="100" w:type="dxa"/>
            </w:tcMar>
          </w:tcPr>
          <w:p/>
        </w:tc>
        <w:tc>
          <w:tcPr>
            <w:tcW w:type="dxa" w:w="2592"/>
            <w:tcMar>
              <w:top w:w="140" w:type="dxa"/>
              <w:bottom w:w="140" w:type="dxa"/>
              <w:left w:w="100" w:type="dxa"/>
              <w:right w:w="100" w:type="dxa"/>
            </w:tcMar>
          </w:tcPr>
          <w:p/>
        </w:tc>
        <w:tc>
          <w:tcPr>
            <w:tcW w:type="dxa" w:w="1296"/>
            <w:tcMar>
              <w:top w:w="140" w:type="dxa"/>
              <w:bottom w:w="140" w:type="dxa"/>
              <w:left w:w="100" w:type="dxa"/>
              <w:right w:w="100" w:type="dxa"/>
            </w:tcMar>
          </w:tcPr>
          <w:p/>
        </w:tc>
      </w:tr>
      <w:tr>
        <w:tc>
          <w:tcPr>
            <w:tcW w:type="dxa" w:w="1728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736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Khushi Choudhary</w:t>
            </w:r>
          </w:p>
        </w:tc>
        <w:tc>
          <w:tcPr>
            <w:tcW w:type="dxa" w:w="1872"/>
            <w:tcMar>
              <w:top w:w="140" w:type="dxa"/>
              <w:bottom w:w="140" w:type="dxa"/>
              <w:left w:w="100" w:type="dxa"/>
              <w:right w:w="100" w:type="dxa"/>
            </w:tcMar>
          </w:tcPr>
          <w:p/>
        </w:tc>
        <w:tc>
          <w:tcPr>
            <w:tcW w:type="dxa" w:w="2592"/>
            <w:tcMar>
              <w:top w:w="140" w:type="dxa"/>
              <w:bottom w:w="140" w:type="dxa"/>
              <w:left w:w="100" w:type="dxa"/>
              <w:right w:w="100" w:type="dxa"/>
            </w:tcMar>
          </w:tcPr>
          <w:p/>
        </w:tc>
        <w:tc>
          <w:tcPr>
            <w:tcW w:type="dxa" w:w="1296"/>
            <w:tcMar>
              <w:top w:w="140" w:type="dxa"/>
              <w:bottom w:w="140" w:type="dxa"/>
              <w:left w:w="100" w:type="dxa"/>
              <w:right w:w="100" w:type="dxa"/>
            </w:tcMar>
          </w:tcPr>
          <w:p/>
        </w:tc>
      </w:tr>
    </w:tbl>
    <w:p>
      <w:r>
        <w:br w:type="page"/>
      </w:r>
    </w:p>
    <w:p>
      <w:pPr>
        <w:spacing w:after="40"/>
      </w:pPr>
      <w:r>
        <w:rPr>
          <w:b/>
          <w:sz w:val="20"/>
        </w:rPr>
        <w:t xml:space="preserve">Mentor Name: </w:t>
      </w:r>
      <w:r>
        <w:rPr>
          <w:sz w:val="20"/>
        </w:rPr>
        <w:t>Dr. Kavita Bhatt</w:t>
        <w:br/>
      </w:r>
      <w:r>
        <w:rPr>
          <w:b/>
          <w:sz w:val="20"/>
        </w:rPr>
        <w:t xml:space="preserve">Approved Project Topic: </w:t>
      </w:r>
      <w:r>
        <w:rPr>
          <w:sz w:val="20"/>
        </w:rPr>
        <w:t>AI-Based Respiratory Sound Screening: A Robustness-Oriented Pipeline for Noise-Aware Classification and Explainability Validation</w:t>
      </w:r>
    </w:p>
    <w:p>
      <w:pPr>
        <w:spacing w:before="120" w:after="60"/>
      </w:pPr>
      <w:r>
        <w:rPr>
          <w:b/>
          <w:sz w:val="21"/>
        </w:rPr>
        <w:t>WORK DONE DURING THE PERIOD:</w:t>
      </w:r>
    </w:p>
    <w:p>
      <w:pPr>
        <w:spacing w:before="60" w:after="20"/>
      </w:pPr>
      <w:r>
        <w:rPr>
          <w:b/>
          <w:sz w:val="19"/>
        </w:rPr>
        <w:t>Data Preparation and Preprocessing:</w:t>
      </w:r>
    </w:p>
    <w:p>
      <w:pPr>
        <w:pStyle w:val="ListBullet"/>
        <w:spacing w:after="20"/>
      </w:pPr>
      <w:r>
        <w:rPr>
          <w:sz w:val="17"/>
        </w:rPr>
        <w:t>Ingested the complete official ICBHI 2017 Respiratory Sound Database (~2.0 GB, 920 recordings, 6,898 extracted respiratory cycles).</w:t>
      </w:r>
    </w:p>
    <w:p>
      <w:pPr>
        <w:pStyle w:val="ListBullet"/>
        <w:spacing w:after="20"/>
      </w:pPr>
      <w:r>
        <w:rPr>
          <w:sz w:val="17"/>
        </w:rPr>
        <w:t>Enforced strict Patient-Independent GroupKFold cross-validation (5,401 train / 1,497 val) to prevent diagnostic leakage across splits.</w:t>
      </w:r>
    </w:p>
    <w:p>
      <w:pPr>
        <w:pStyle w:val="ListBullet"/>
        <w:spacing w:after="40"/>
      </w:pPr>
      <w:r>
        <w:rPr>
          <w:sz w:val="17"/>
        </w:rPr>
        <w:t>Extracted 128-band Log-Mel Spectrograms at 16 kHz (STFT window=1024, hop=512) capturing adventitious crackles and wheezes (50–8000 Hz):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426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logm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2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rPr>
          <w:b/>
          <w:sz w:val="19"/>
        </w:rPr>
        <w:t>Model Architecture &amp; Imbalance Optimization:</w:t>
      </w:r>
    </w:p>
    <w:p>
      <w:pPr>
        <w:pStyle w:val="ListBullet"/>
        <w:spacing w:after="20"/>
      </w:pPr>
      <w:r>
        <w:rPr>
          <w:sz w:val="17"/>
        </w:rPr>
        <w:t>Engineered a 4-stage convolutional backbone with Temporal Attention Pooling to dynamically weight transient 10–20 ms crackle bursts: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560320" cy="408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atten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08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7"/>
        </w:rPr>
        <w:t>Trained using SpecAugment and Focal Loss (gamma=2.0) with inverse frequency weighting to counteract severe class imbalance (Normal: 54%, Crackle: 33%, Wheeze: 8%, Both: 4%):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466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o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6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rPr>
          <w:b/>
          <w:sz w:val="19"/>
        </w:rPr>
        <w:t>Dual Explainability (XAI) &amp; Joint Reliability Index (JRI):</w:t>
      </w:r>
    </w:p>
    <w:p>
      <w:pPr>
        <w:pStyle w:val="ListBullet"/>
        <w:spacing w:after="20"/>
      </w:pPr>
      <w:r>
        <w:rPr>
          <w:sz w:val="17"/>
        </w:rPr>
        <w:t>Integrated dual attributions combining coarse spatial activation (Grad-CAM) with game-theoretic pixel attributions (SHAP GradientExplainer) decomposed into Low (50–500 Hz), Mid (500–2 kHz), and High (2–8 kHz) frequency bands.</w:t>
      </w:r>
    </w:p>
    <w:p>
      <w:pPr>
        <w:pStyle w:val="ListBullet"/>
        <w:spacing w:after="20"/>
      </w:pPr>
      <w:r>
        <w:rPr>
          <w:sz w:val="17"/>
        </w:rPr>
        <w:t>Formulated the Joint Reliability Index as the harmonic mean of predictive robustness (R) and explanation stability (S via SSIM):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49039" cy="4501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jr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450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sz w:val="20"/>
        </w:rPr>
        <w:t>STATUS / STAGE OF THE PROJECT: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28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_timeline_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b/>
          <w:sz w:val="21"/>
        </w:rPr>
        <w:t>NEXT PHASE: IMPLEMENTATION AND EXPERIMENTATION</w:t>
      </w:r>
    </w:p>
    <w:p>
      <w:pPr>
        <w:spacing w:after="60"/>
      </w:pPr>
      <w:r>
        <w:rPr>
          <w:sz w:val="17"/>
        </w:rPr>
        <w:t>The next phase of the project will focus on expanding the validated baseline into advanced experimental validation:</w:t>
      </w:r>
    </w:p>
    <w:p>
      <w:pPr>
        <w:spacing w:after="30"/>
      </w:pPr>
      <w:r>
        <w:rPr>
          <w:b/>
          <w:sz w:val="17"/>
        </w:rPr>
        <w:t xml:space="preserve">1. Advanced Audio Backbones — </w:t>
      </w:r>
      <w:r>
        <w:rPr>
          <w:sz w:val="17"/>
        </w:rPr>
        <w:t>benchmarking self-supervised foundation audio models (AST, PaSST, PANNs CNN14) to improve recall on minority classes (Wheeze &amp; Both).</w:t>
      </w:r>
    </w:p>
    <w:p>
      <w:pPr>
        <w:spacing w:after="30"/>
      </w:pPr>
      <w:r>
        <w:rPr>
          <w:b/>
          <w:sz w:val="17"/>
        </w:rPr>
        <w:t xml:space="preserve">2. Supervised Contrastive Learning — </w:t>
      </w:r>
      <w:r>
        <w:rPr>
          <w:sz w:val="17"/>
        </w:rPr>
        <w:t>incorporating SupCon loss on acoustic embeddings to improve topological boundary separation between faint wheezes and regular breathing.</w:t>
      </w:r>
    </w:p>
    <w:p>
      <w:pPr>
        <w:spacing w:after="30"/>
      </w:pPr>
      <w:r>
        <w:rPr>
          <w:b/>
          <w:sz w:val="17"/>
        </w:rPr>
        <w:t xml:space="preserve">3. Noise-Aware Multi-SNR Training — </w:t>
      </w:r>
      <w:r>
        <w:rPr>
          <w:sz w:val="17"/>
        </w:rPr>
        <w:t>training with dynamic on-the-fly SNR injection to demonstrate measurable empirical improvements in the Joint Reliability Index.</w:t>
      </w:r>
    </w:p>
    <w:p>
      <w:pPr>
        <w:spacing w:after="30"/>
      </w:pPr>
      <w:r>
        <w:rPr>
          <w:b/>
          <w:sz w:val="17"/>
        </w:rPr>
        <w:t xml:space="preserve">4. Hospital Acoustic Artifacts — </w:t>
      </w:r>
      <w:r>
        <w:rPr>
          <w:sz w:val="17"/>
        </w:rPr>
        <w:t>evaluating non-stationary hospital soundscapes (ICU monitors, stethoscope friction, ambient chatter) from the ESC-50 dataset.</w:t>
      </w:r>
    </w:p>
    <w:p>
      <w:pPr>
        <w:spacing w:after="30"/>
      </w:pPr>
      <w:r>
        <w:rPr>
          <w:b/>
          <w:sz w:val="17"/>
        </w:rPr>
        <w:t xml:space="preserve">5. Cross-Corpus Generalization — </w:t>
      </w:r>
      <w:r>
        <w:rPr>
          <w:sz w:val="17"/>
        </w:rPr>
        <w:t>conducting zero-shot evaluations on external public databases (HF_Lung_V1) to quantify the clinical generalization gap across varying diagnostic recording hardware.</w:t>
      </w:r>
    </w:p>
    <w:p>
      <w:pPr>
        <w:spacing w:after="30"/>
      </w:pPr>
      <w:r>
        <w:rPr>
          <w:b/>
          <w:sz w:val="17"/>
        </w:rPr>
        <w:t xml:space="preserve">6. Point-of-Care Edge Optimization — </w:t>
      </w:r>
      <w:r>
        <w:rPr>
          <w:sz w:val="17"/>
        </w:rPr>
        <w:t>exporting the pipeline via ONNX Runtime and TorchScript to evaluate latency and memory limits for digital stethoscope integration.</w:t>
      </w:r>
    </w:p>
    <w:p>
      <w:pPr>
        <w:spacing w:before="160" w:after="40"/>
      </w:pPr>
      <w:r>
        <w:rPr>
          <w:b/>
          <w:sz w:val="19"/>
        </w:rPr>
        <w:t>REAL SYSTEM EXPLAINABILITY OUTPUTS: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512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xai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1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</w:tcPr>
          <w:p>
            <w:r>
              <w:rPr>
                <w:b/>
              </w:rPr>
              <w:t>_________________________</w:t>
              <w:br/>
            </w:r>
            <w:r>
              <w:rPr>
                <w:b/>
              </w:rPr>
              <w:t>Dr. Kavita Bhatt</w:t>
              <w:br/>
            </w:r>
            <w:r>
              <w:rPr>
                <w:sz w:val="17"/>
              </w:rPr>
              <w:t>Project Mentor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_________________________</w:t>
              <w:br/>
            </w:r>
            <w:r>
              <w:rPr>
                <w:b/>
              </w:rPr>
              <w:t>Dr. Deepika Kumar</w:t>
              <w:br/>
            </w:r>
            <w:r>
              <w:rPr>
                <w:sz w:val="17"/>
              </w:rPr>
              <w:t>Head of Department (CSE-AIML)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