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Research Methodology, Implementation &amp; Validation Plan</w:t>
      </w:r>
    </w:p>
    <w:p>
      <w:pPr>
        <w:spacing w:after="240"/>
      </w:pPr>
      <w:r>
        <w:rPr>
          <w:i/>
          <w:iCs/>
        </w:rPr>
        <w:t xml:space="preserve">AI-Based Respiratory Sound Screening — Noise-Aware Classification &amp; Explainability Validation</w:t>
      </w:r>
    </w:p>
    <w:p>
      <w:pPr>
        <w:spacing w:after="160"/>
      </w:pPr>
      <w:r>
        <w:t xml:space="preserve">This document turns the synopsis into a working plan across three layers: </w:t>
      </w:r>
      <w:r>
        <w:rPr>
          <w:b/>
          <w:bCs/>
        </w:rPr>
        <w:t xml:space="preserve">(1)</w:t>
      </w:r>
      <w:r>
        <w:t xml:space="preserve"> how to write and sequence the actual research paper, </w:t>
      </w:r>
      <w:r>
        <w:rPr>
          <w:b/>
          <w:bCs/>
        </w:rPr>
        <w:t xml:space="preserve">(2)</w:t>
      </w:r>
      <w:r>
        <w:t xml:space="preserve"> how to build the system with current, defensible tooling, and </w:t>
      </w:r>
      <w:r>
        <w:rPr>
          <w:b/>
          <w:bCs/>
        </w:rPr>
        <w:t xml:space="preserve">(3)</w:t>
      </w:r>
      <w:r>
        <w:t xml:space="preserve"> the mathematics, graphs, and validation protocol that make the "joint robustness + explainability" claim measurable rather than assumed.</w:t>
      </w:r>
    </w:p>
    <w:p>
      <w:pPr>
        <w:pBdr>
          <w:bottom w:val="single" w:color="999999" w:sz="6" w:space="4"/>
        </w:pBdr>
        <w:spacing w:after="240"/>
      </w:pPr>
    </w:p>
    <w:p>
      <w:pPr>
        <w:pStyle w:val="Heading1"/>
        <w:spacing w:after="160" w:before="360"/>
      </w:pPr>
      <w:r>
        <w:t xml:space="preserve">PART 1 — Research Paper Methodology: Section-by-Section Workup and Flow</w:t>
      </w:r>
    </w:p>
    <w:p>
      <w:pPr>
        <w:pStyle w:val="Heading2"/>
        <w:spacing w:after="120" w:before="280"/>
      </w:pPr>
      <w:r>
        <w:t xml:space="preserve">1.0 What kind of research this is (state this explicitly in the paper)</w:t>
      </w:r>
    </w:p>
    <w:p>
      <w:pPr>
        <w:spacing w:after="160"/>
      </w:pPr>
      <w:r>
        <w:t xml:space="preserve">This is </w:t>
      </w:r>
      <w:r>
        <w:rPr>
          <w:b/>
          <w:bCs/>
        </w:rPr>
        <w:t xml:space="preserve">applied experimental research with a design-science (build-and-evaluate) component</w:t>
      </w:r>
      <w:r>
        <w:t xml:space="preserve">: you are not just testing a hypothesis on existing data — you are </w:t>
      </w:r>
      <w:r>
        <w:rPr>
          <w:b/>
          <w:bCs/>
        </w:rPr>
        <w:t xml:space="preserve">building</w:t>
      </w:r>
      <w:r>
        <w:t xml:space="preserve"> a pipeline and then empirically evaluating it under controlled, systematically varied conditions (noise level). Say this plainly in your methodology section; reviewers reward clarity about research type.</w:t>
      </w:r>
    </w:p>
    <w:p>
      <w:pPr>
        <w:pStyle w:val="Heading2"/>
        <w:spacing w:after="120" w:before="280"/>
      </w:pPr>
      <w:r>
        <w:t xml:space="preserve">1.1 Overall paper logic (write this flow, then fill it in)</w:t>
      </w:r>
    </w:p>
    <w:p>
      <w:pPr>
        <w:shd w:fill="F0F0F0" w:val="clear"/>
        <w:spacing w:after="0" w:before="0"/>
      </w:pPr>
      <w:r>
        <w:rPr>
          <w:rFonts w:ascii="Courier New" w:cs="Courier New" w:eastAsia="Courier New" w:hAnsi="Courier New"/>
          <w:sz w:val="19"/>
          <w:szCs w:val="19"/>
        </w:rPr>
        <w:t xml:space="preserve">Abstract</w:t>
      </w:r>
    </w:p>
    <w:p>
      <w:pPr>
        <w:shd w:fill="F0F0F0" w:val="clear"/>
        <w:spacing w:after="0" w:before="0"/>
      </w:pPr>
      <w:r>
        <w:rPr>
          <w:rFonts w:ascii="Courier New" w:cs="Courier New" w:eastAsia="Courier New" w:hAnsi="Courier New"/>
          <w:sz w:val="19"/>
          <w:szCs w:val="19"/>
        </w:rPr>
        <w:t xml:space="preserve">  -&gt; Introduction: motivation, 2 problems, gap, SDG3</w:t>
      </w:r>
    </w:p>
    <w:p>
      <w:pPr>
        <w:shd w:fill="F0F0F0" w:val="clear"/>
        <w:spacing w:after="0" w:before="0"/>
      </w:pPr>
      <w:r>
        <w:rPr>
          <w:rFonts w:ascii="Courier New" w:cs="Courier New" w:eastAsia="Courier New" w:hAnsi="Courier New"/>
          <w:sz w:val="19"/>
          <w:szCs w:val="19"/>
        </w:rPr>
        <w:t xml:space="preserve">  -&gt; Related Work: axis table - robustness only / XAI only / neither jointly evaluated</w:t>
      </w:r>
    </w:p>
    <w:p>
      <w:pPr>
        <w:shd w:fill="F0F0F0" w:val="clear"/>
        <w:spacing w:after="0" w:before="0"/>
      </w:pPr>
      <w:r>
        <w:rPr>
          <w:rFonts w:ascii="Courier New" w:cs="Courier New" w:eastAsia="Courier New" w:hAnsi="Courier New"/>
          <w:sz w:val="19"/>
          <w:szCs w:val="19"/>
        </w:rPr>
        <w:t xml:space="preserve">  -&gt; Problem Statement + Research Questions + Hypotheses</w:t>
      </w:r>
    </w:p>
    <w:p>
      <w:pPr>
        <w:shd w:fill="F0F0F0" w:val="clear"/>
        <w:spacing w:after="0" w:before="0"/>
      </w:pPr>
      <w:r>
        <w:rPr>
          <w:rFonts w:ascii="Courier New" w:cs="Courier New" w:eastAsia="Courier New" w:hAnsi="Courier New"/>
          <w:sz w:val="19"/>
          <w:szCs w:val="19"/>
        </w:rPr>
        <w:t xml:space="preserve">  -&gt; Proposed Methodology: architecture + formal problem definition</w:t>
      </w:r>
    </w:p>
    <w:p>
      <w:pPr>
        <w:shd w:fill="F0F0F0" w:val="clear"/>
        <w:spacing w:after="0" w:before="0"/>
      </w:pPr>
      <w:r>
        <w:rPr>
          <w:rFonts w:ascii="Courier New" w:cs="Courier New" w:eastAsia="Courier New" w:hAnsi="Courier New"/>
          <w:sz w:val="19"/>
          <w:szCs w:val="19"/>
        </w:rPr>
        <w:t xml:space="preserve">  -&gt; Experimental Setup: data, splits, training config</w:t>
      </w:r>
    </w:p>
    <w:p>
      <w:pPr>
        <w:shd w:fill="F0F0F0" w:val="clear"/>
        <w:spacing w:after="0" w:before="0"/>
      </w:pPr>
      <w:r>
        <w:rPr>
          <w:rFonts w:ascii="Courier New" w:cs="Courier New" w:eastAsia="Courier New" w:hAnsi="Courier New"/>
          <w:sz w:val="19"/>
          <w:szCs w:val="19"/>
        </w:rPr>
        <w:t xml:space="preserve">  -&gt; Results: robustness curves, stability, faithfulness, JRI</w:t>
      </w:r>
    </w:p>
    <w:p>
      <w:pPr>
        <w:shd w:fill="F0F0F0" w:val="clear"/>
        <w:spacing w:after="0" w:before="0"/>
      </w:pPr>
      <w:r>
        <w:rPr>
          <w:rFonts w:ascii="Courier New" w:cs="Courier New" w:eastAsia="Courier New" w:hAnsi="Courier New"/>
          <w:sz w:val="19"/>
          <w:szCs w:val="19"/>
        </w:rPr>
        <w:t xml:space="preserve">  -&gt; Discussion: answer RQs, compare to Table in Related Work, limitations</w:t>
      </w:r>
    </w:p>
    <w:p>
      <w:pPr>
        <w:shd w:fill="F0F0F0" w:val="clear"/>
        <w:spacing w:after="0" w:before="0"/>
      </w:pPr>
      <w:r>
        <w:rPr>
          <w:rFonts w:ascii="Courier New" w:cs="Courier New" w:eastAsia="Courier New" w:hAnsi="Courier New"/>
          <w:sz w:val="19"/>
          <w:szCs w:val="19"/>
        </w:rPr>
        <w:t xml:space="preserve">  -&gt; Conclusion + Future Work</w:t>
      </w:r>
    </w:p>
    <w:p>
      <w:pPr>
        <w:spacing w:after="160"/>
      </w:pPr>
      <w:r>
        <w:t xml:space="preserve"> </w:t>
      </w:r>
    </w:p>
    <w:p>
      <w:pPr>
        <w:spacing w:after="160"/>
      </w:pPr>
      <w:r>
        <w:t xml:space="preserve">Each downstream section should </w:t>
      </w:r>
      <w:r>
        <w:rPr>
          <w:b/>
          <w:bCs/>
        </w:rPr>
        <w:t xml:space="preserve">only</w:t>
      </w:r>
      <w:r>
        <w:t xml:space="preserve"> contain what the upstream section promised — this is the single biggest thing examiners/reviewers check for (does the paper deliver on its own claims).</w:t>
      </w:r>
    </w:p>
    <w:p>
      <w:pPr>
        <w:pStyle w:val="Heading2"/>
        <w:spacing w:after="120" w:before="280"/>
      </w:pPr>
      <w:r>
        <w:t xml:space="preserve">1.2 Section-by-section workup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400"/>
        <w:gridCol w:w="2000"/>
        <w:gridCol w:w="1600"/>
      </w:tblGrid>
      <w:tr>
        <w:trPr>
          <w:tblHeader/>
        </w:trPr>
        <w:tc>
          <w:tcPr>
            <w:tcW w:type="dxa" w:w="400"/>
            <w:shd w:fill="DDE3EA" w:val="clear"/>
          </w:tcPr>
          <w:p>
            <w:r>
              <w:t xml:space="preserve">#</w:t>
            </w:r>
          </w:p>
        </w:tc>
        <w:tc>
          <w:tcPr>
            <w:tcW w:type="dxa" w:w="1600"/>
            <w:shd w:fill="DDE3EA" w:val="clear"/>
          </w:tcPr>
          <w:p>
            <w:r>
              <w:t xml:space="preserve">Section</w:t>
            </w:r>
          </w:p>
        </w:tc>
        <w:tc>
          <w:tcPr>
            <w:tcW w:type="dxa" w:w="3400"/>
            <w:shd w:fill="DDE3EA" w:val="clear"/>
          </w:tcPr>
          <w:p>
            <w:r>
              <w:t xml:space="preserve">What goes in it</w:t>
            </w:r>
          </w:p>
        </w:tc>
        <w:tc>
          <w:tcPr>
            <w:tcW w:type="dxa" w:w="2000"/>
            <w:shd w:fill="DDE3EA" w:val="clear"/>
          </w:tcPr>
          <w:p>
            <w:r>
              <w:t xml:space="preserve">Built from</w:t>
            </w:r>
          </w:p>
        </w:tc>
        <w:tc>
          <w:tcPr>
            <w:tcW w:type="dxa" w:w="1600"/>
            <w:shd w:fill="DDE3EA" w:val="clear"/>
          </w:tcPr>
          <w:p>
            <w:r>
              <w:t xml:space="preserve">Write it…</w:t>
            </w:r>
          </w:p>
        </w:tc>
      </w:tr>
      <w:tr>
        <w:tc>
          <w:tcPr>
            <w:tcW w:type="dxa" w:w="400"/>
          </w:tcPr>
          <w:p>
            <w:r>
              <w:t xml:space="preserve">1</w:t>
            </w:r>
          </w:p>
        </w:tc>
        <w:tc>
          <w:tcPr>
            <w:tcW w:type="dxa" w:w="1600"/>
          </w:tcPr>
          <w:p>
            <w:r>
              <w:t xml:space="preserve">Abstract</w:t>
            </w:r>
          </w:p>
        </w:tc>
        <w:tc>
          <w:tcPr>
            <w:tcW w:type="dxa" w:w="3400"/>
          </w:tcPr>
          <w:p>
            <w:r>
              <w:t xml:space="preserve">Problem (2 sentences) → gap (1 sentence) → method (2 sentences) → headline quantitative result (1–2 sentences, e.g. "F1 dropped X% under Y dB SNR baseline vs. Z% for the noise-aware pipeline; explanation stability (SSIM) fell from 0.9→0.4 for baseline vs. 0.9→0.7 for ours") → 1-line contribution</w:t>
            </w:r>
          </w:p>
        </w:tc>
        <w:tc>
          <w:tcPr>
            <w:tcW w:type="dxa" w:w="2000"/>
          </w:tcPr>
          <w:p>
            <w:r>
              <w:t xml:space="preserve">Everything else</w:t>
            </w:r>
          </w:p>
        </w:tc>
        <w:tc>
          <w:tcPr>
            <w:tcW w:type="dxa" w:w="1600"/>
          </w:tcPr>
          <w:p>
            <w:r>
              <w:t xml:space="preserve">Last, after results exist</w:t>
            </w:r>
          </w:p>
        </w:tc>
      </w:tr>
      <w:tr>
        <w:tc>
          <w:tcPr>
            <w:tcW w:type="dxa" w:w="400"/>
          </w:tcPr>
          <w:p>
            <w:r>
              <w:t xml:space="preserve">2</w:t>
            </w:r>
          </w:p>
        </w:tc>
        <w:tc>
          <w:tcPr>
            <w:tcW w:type="dxa" w:w="1600"/>
          </w:tcPr>
          <w:p>
            <w:r>
              <w:t xml:space="preserve">Introduction</w:t>
            </w:r>
          </w:p>
        </w:tc>
        <w:tc>
          <w:tcPr>
            <w:tcW w:type="dxa" w:w="3400"/>
          </w:tcPr>
          <w:p>
            <w:r>
              <w:t xml:space="preserve">Automated auscultation context → two problems (noise, explainability) stated separately → the gap: they're never studied jointly → your reframing as one reliability problem → SDG3 → 3-bullet contribution list → 1-paragraph roadmap</w:t>
            </w:r>
          </w:p>
        </w:tc>
        <w:tc>
          <w:tcPr>
            <w:tcW w:type="dxa" w:w="2000"/>
          </w:tcPr>
          <w:p>
            <w:r>
              <w:t xml:space="preserve">Synopsis Sec 1, sharpened with numbers once available</w:t>
            </w:r>
          </w:p>
        </w:tc>
        <w:tc>
          <w:tcPr>
            <w:tcW w:type="dxa" w:w="1600"/>
          </w:tcPr>
          <w:p>
            <w:r>
              <w:t xml:space="preserve">Early draft, revise after abstract</w:t>
            </w:r>
          </w:p>
        </w:tc>
      </w:tr>
      <w:tr>
        <w:tc>
          <w:tcPr>
            <w:tcW w:type="dxa" w:w="400"/>
          </w:tcPr>
          <w:p>
            <w:r>
              <w:t xml:space="preserve">3</w:t>
            </w:r>
          </w:p>
        </w:tc>
        <w:tc>
          <w:tcPr>
            <w:tcW w:type="dxa" w:w="1600"/>
          </w:tcPr>
          <w:p>
            <w:r>
              <w:t xml:space="preserve">Related Work</w:t>
            </w:r>
          </w:p>
        </w:tc>
        <w:tc>
          <w:tcPr>
            <w:tcW w:type="dxa" w:w="3400"/>
          </w:tcPr>
          <w:p>
            <w:r>
              <w:t xml:space="preserve">Keep your comparison table (Study / Task / Robustness approach / XAI method / whether jointly evaluated) but add a "jointly evaluated?" column — this single column is your gap, visually</w:t>
            </w:r>
          </w:p>
        </w:tc>
        <w:tc>
          <w:tcPr>
            <w:tcW w:type="dxa" w:w="2000"/>
          </w:tcPr>
          <w:p>
            <w:r>
              <w:t xml:space="preserve">Synopsis Sec 3</w:t>
            </w:r>
          </w:p>
        </w:tc>
        <w:tc>
          <w:tcPr>
            <w:tcW w:type="dxa" w:w="1600"/>
          </w:tcPr>
          <w:p>
            <w:r>
              <w:t xml:space="preserve">Early — this doesn't change much</w:t>
            </w:r>
          </w:p>
        </w:tc>
      </w:tr>
      <w:tr>
        <w:tc>
          <w:tcPr>
            <w:tcW w:type="dxa" w:w="400"/>
          </w:tcPr>
          <w:p>
            <w:r>
              <w:t xml:space="preserve">4</w:t>
            </w:r>
          </w:p>
        </w:tc>
        <w:tc>
          <w:tcPr>
            <w:tcW w:type="dxa" w:w="1600"/>
          </w:tcPr>
          <w:p>
            <w:r>
              <w:t xml:space="preserve">Problem Statement &amp; Research Questions</w:t>
            </w:r>
          </w:p>
        </w:tc>
        <w:tc>
          <w:tcPr>
            <w:tcW w:type="dxa" w:w="3400"/>
          </w:tcPr>
          <w:p>
            <w:r>
              <w:t xml:space="preserve">Convert the synopsis's narrative RQ into 2–3 formal, testable RQs and matching hypotheses (see below)</w:t>
            </w:r>
          </w:p>
        </w:tc>
        <w:tc>
          <w:tcPr>
            <w:tcW w:type="dxa" w:w="2000"/>
          </w:tcPr>
          <w:p>
            <w:r>
              <w:t xml:space="preserve">Synopsis Sec 2</w:t>
            </w:r>
          </w:p>
        </w:tc>
        <w:tc>
          <w:tcPr>
            <w:tcW w:type="dxa" w:w="1600"/>
          </w:tcPr>
          <w:p>
            <w:r>
              <w:t xml:space="preserve">Early</w:t>
            </w:r>
          </w:p>
        </w:tc>
      </w:tr>
      <w:tr>
        <w:tc>
          <w:tcPr>
            <w:tcW w:type="dxa" w:w="400"/>
          </w:tcPr>
          <w:p>
            <w:r>
              <w:t xml:space="preserve">5</w:t>
            </w:r>
          </w:p>
        </w:tc>
        <w:tc>
          <w:tcPr>
            <w:tcW w:type="dxa" w:w="1600"/>
          </w:tcPr>
          <w:p>
            <w:r>
              <w:t xml:space="preserve">Proposed Methodology</w:t>
            </w:r>
          </w:p>
        </w:tc>
        <w:tc>
          <w:tcPr>
            <w:tcW w:type="dxa" w:w="3400"/>
          </w:tcPr>
          <w:p>
            <w:r>
              <w:t xml:space="preserve">Formal problem definition (notation for classifier, noise model, explanation function — Part 3 below), architecture diagram, description of each of the 7 stages, why each design choice was made (cite Part 2 tech choices)</w:t>
            </w:r>
          </w:p>
        </w:tc>
        <w:tc>
          <w:tcPr>
            <w:tcW w:type="dxa" w:w="2000"/>
          </w:tcPr>
          <w:p>
            <w:r>
              <w:t xml:space="preserve">Synopsis Sec 5 + Part 2/3 of this doc</w:t>
            </w:r>
          </w:p>
        </w:tc>
        <w:tc>
          <w:tcPr>
            <w:tcW w:type="dxa" w:w="1600"/>
          </w:tcPr>
          <w:p>
            <w:r>
              <w:t xml:space="preserve">Mid-project, once architecture is fixed</w:t>
            </w:r>
          </w:p>
        </w:tc>
      </w:tr>
      <w:tr>
        <w:tc>
          <w:tcPr>
            <w:tcW w:type="dxa" w:w="400"/>
          </w:tcPr>
          <w:p>
            <w:r>
              <w:t xml:space="preserve">6</w:t>
            </w:r>
          </w:p>
        </w:tc>
        <w:tc>
          <w:tcPr>
            <w:tcW w:type="dxa" w:w="1600"/>
          </w:tcPr>
          <w:p>
            <w:r>
              <w:t xml:space="preserve">Experimental Setup</w:t>
            </w:r>
          </w:p>
        </w:tc>
        <w:tc>
          <w:tcPr>
            <w:tcW w:type="dxa" w:w="3400"/>
          </w:tcPr>
          <w:p>
            <w:r>
              <w:t xml:space="preserve">Dataset(s), preprocessing params, model hyperparameters, train/val/test protocol, noise injection protocol, hardware, reproducibility statement (seeds, code/data availability)</w:t>
            </w:r>
          </w:p>
        </w:tc>
        <w:tc>
          <w:tcPr>
            <w:tcW w:type="dxa" w:w="2000"/>
          </w:tcPr>
          <w:p>
            <w:r>
              <w:t xml:space="preserve">Part 2 of this doc</w:t>
            </w:r>
          </w:p>
        </w:tc>
        <w:tc>
          <w:tcPr>
            <w:tcW w:type="dxa" w:w="1600"/>
          </w:tcPr>
          <w:p>
            <w:r>
              <w:t xml:space="preserve">Once experiments start (freeze before running final experiments)</w:t>
            </w:r>
          </w:p>
        </w:tc>
      </w:tr>
      <w:tr>
        <w:tc>
          <w:tcPr>
            <w:tcW w:type="dxa" w:w="400"/>
          </w:tcPr>
          <w:p>
            <w:r>
              <w:t xml:space="preserve">7</w:t>
            </w:r>
          </w:p>
        </w:tc>
        <w:tc>
          <w:tcPr>
            <w:tcW w:type="dxa" w:w="1600"/>
          </w:tcPr>
          <w:p>
            <w:r>
              <w:t xml:space="preserve">Results &amp; Analysis</w:t>
            </w:r>
          </w:p>
        </w:tc>
        <w:tc>
          <w:tcPr>
            <w:tcW w:type="dxa" w:w="3400"/>
          </w:tcPr>
          <w:p>
            <w:r>
              <w:t xml:space="preserve">Ordered: (a) baseline clean-data performance, (b) robustness curves baseline vs. proposed, (c) calibration, (d) explanation stability, (e) explanation faithfulness, (f) the joint reliability index, (g) ablations, (h) statistical significance, (i) qualitative case studies (2–3 heatmap examples)</w:t>
            </w:r>
          </w:p>
        </w:tc>
        <w:tc>
          <w:tcPr>
            <w:tcW w:type="dxa" w:w="2000"/>
          </w:tcPr>
          <w:p>
            <w:r>
              <w:t xml:space="preserve">Part 3 experiments</w:t>
            </w:r>
          </w:p>
        </w:tc>
        <w:tc>
          <w:tcPr>
            <w:tcW w:type="dxa" w:w="1600"/>
          </w:tcPr>
          <w:p>
            <w:r>
              <w:t xml:space="preserve">Last, as results come in</w:t>
            </w:r>
          </w:p>
        </w:tc>
      </w:tr>
      <w:tr>
        <w:tc>
          <w:tcPr>
            <w:tcW w:type="dxa" w:w="400"/>
          </w:tcPr>
          <w:p>
            <w:r>
              <w:t xml:space="preserve">8</w:t>
            </w:r>
          </w:p>
        </w:tc>
        <w:tc>
          <w:tcPr>
            <w:tcW w:type="dxa" w:w="1600"/>
          </w:tcPr>
          <w:p>
            <w:r>
              <w:t xml:space="preserve">Discussion</w:t>
            </w:r>
          </w:p>
        </w:tc>
        <w:tc>
          <w:tcPr>
            <w:tcW w:type="dxa" w:w="3400"/>
          </w:tcPr>
          <w:p>
            <w:r>
              <w:t xml:space="preserve">Answer each RQ/hypothesis explicitly ("RQ1 is supported because…"), re-open the Related-Work table and state where you sit on it, name concrete limitations (dataset size, no real clinical validation, synthetic vs. real noise gap), threats to validity</w:t>
            </w:r>
          </w:p>
        </w:tc>
        <w:tc>
          <w:tcPr>
            <w:tcW w:type="dxa" w:w="2000"/>
          </w:tcPr>
          <w:p>
            <w:r>
              <w:t xml:space="preserve">Sections 3, 4, 7</w:t>
            </w:r>
          </w:p>
        </w:tc>
        <w:tc>
          <w:tcPr>
            <w:tcW w:type="dxa" w:w="1600"/>
          </w:tcPr>
          <w:p>
            <w:r>
              <w:t xml:space="preserve">After results</w:t>
            </w:r>
          </w:p>
        </w:tc>
      </w:tr>
      <w:tr>
        <w:tc>
          <w:tcPr>
            <w:tcW w:type="dxa" w:w="400"/>
          </w:tcPr>
          <w:p>
            <w:r>
              <w:t xml:space="preserve">9</w:t>
            </w:r>
          </w:p>
        </w:tc>
        <w:tc>
          <w:tcPr>
            <w:tcW w:type="dxa" w:w="1600"/>
          </w:tcPr>
          <w:p>
            <w:r>
              <w:t xml:space="preserve">Conclusion &amp; Future Work</w:t>
            </w:r>
          </w:p>
        </w:tc>
        <w:tc>
          <w:tcPr>
            <w:tcW w:type="dxa" w:w="3400"/>
          </w:tcPr>
          <w:p>
            <w:r>
              <w:t xml:space="preserve">3–4 sentence summary, then future work should map directly to your own "Planned Enhancements" row (transformer comparison, full SNR sweep, calibration)</w:t>
            </w:r>
          </w:p>
        </w:tc>
        <w:tc>
          <w:tcPr>
            <w:tcW w:type="dxa" w:w="2000"/>
          </w:tcPr>
          <w:p>
            <w:r>
              <w:t xml:space="preserve">Synopsis Sec 5.4</w:t>
            </w:r>
          </w:p>
        </w:tc>
        <w:tc>
          <w:tcPr>
            <w:tcW w:type="dxa" w:w="1600"/>
          </w:tcPr>
          <w:p>
            <w:r>
              <w:t xml:space="preserve">Last</w:t>
            </w:r>
          </w:p>
        </w:tc>
      </w:tr>
      <w:tr>
        <w:tc>
          <w:tcPr>
            <w:tcW w:type="dxa" w:w="400"/>
          </w:tcPr>
          <w:p>
            <w:r>
              <w:t xml:space="preserve">10</w:t>
            </w:r>
          </w:p>
        </w:tc>
        <w:tc>
          <w:tcPr>
            <w:tcW w:type="dxa" w:w="1600"/>
          </w:tcPr>
          <w:p>
            <w:r>
              <w:t xml:space="preserve">Reproducibility/Ethics note</w:t>
            </w:r>
          </w:p>
        </w:tc>
        <w:tc>
          <w:tcPr>
            <w:tcW w:type="dxa" w:w="3400"/>
          </w:tcPr>
          <w:p>
            <w:r>
              <w:t xml:space="preserve">Dataset license (ICBHI etc.), explicit "not a diagnostic tool" statement, code availability</w:t>
            </w:r>
          </w:p>
        </w:tc>
        <w:tc>
          <w:tcPr>
            <w:tcW w:type="dxa" w:w="2000"/>
          </w:tcPr>
          <w:p>
            <w:r>
              <w:t xml:space="preserve">—</w:t>
            </w:r>
          </w:p>
        </w:tc>
        <w:tc>
          <w:tcPr>
            <w:tcW w:type="dxa" w:w="1600"/>
          </w:tcPr>
          <w:p>
            <w:r>
              <w:t xml:space="preserve">Last</w:t>
            </w:r>
          </w:p>
        </w:tc>
      </w:tr>
    </w:tbl>
    <w:p>
      <w:pPr>
        <w:pStyle w:val="Heading2"/>
        <w:spacing w:after="120" w:before="280"/>
      </w:pPr>
      <w:r>
        <w:t xml:space="preserve">1.3 Formal Research Questions &amp; Hypotheses (use these instead of the narrative version)</w:t>
      </w:r>
    </w:p>
    <w:p>
      <w:pPr>
        <w:pStyle w:val="ListParagraph"/>
        <w:numPr>
          <w:ilvl w:val="0"/>
          <w:numId w:val="2"/>
        </w:numPr>
        <w:spacing w:after="100"/>
      </w:pPr>
      <w:r>
        <w:rPr>
          <w:b/>
          <w:bCs/>
        </w:rPr>
        <w:t xml:space="preserve">RQ1 (Robustness):</w:t>
      </w:r>
      <w:r>
        <w:t xml:space="preserve"> Does noise-aware preprocessing significantly reduce the classification-performance degradation caused by additive environmental/device noise, across a controlled SNR sweep? → </w:t>
      </w:r>
      <w:r>
        <w:rPr>
          <w:b/>
          <w:bCs/>
        </w:rPr>
        <w:t xml:space="preserve">H1:</w:t>
      </w:r>
      <w:r>
        <w:t xml:space="preserve"> F1-score degradation (ΔF1 = F1_clean − F1_SNR) is significantly smaller for the noise-aware pipeline than the baseline, at each tested SNR level.</w:t>
      </w:r>
    </w:p>
    <w:p>
      <w:pPr>
        <w:pStyle w:val="ListParagraph"/>
        <w:numPr>
          <w:ilvl w:val="0"/>
          <w:numId w:val="2"/>
        </w:numPr>
        <w:spacing w:after="100"/>
      </w:pPr>
      <w:r>
        <w:rPr>
          <w:b/>
          <w:bCs/>
        </w:rPr>
        <w:t xml:space="preserve">RQ2 (Explanation stability):</w:t>
      </w:r>
      <w:r>
        <w:t xml:space="preserve"> Do saliency-based explanations for the same clip remain spatially consistent as noise increases? → </w:t>
      </w:r>
      <w:r>
        <w:rPr>
          <w:b/>
          <w:bCs/>
        </w:rPr>
        <w:t xml:space="preserve">H2:</w:t>
      </w:r>
      <w:r>
        <w:t xml:space="preserve"> Heatmap similarity between clean and noisy explanations decreases with decreasing SNR, and this decrease is significantly smaller for the noise-aware pipeline.</w:t>
      </w:r>
    </w:p>
    <w:p>
      <w:pPr>
        <w:pStyle w:val="ListParagraph"/>
        <w:numPr>
          <w:ilvl w:val="0"/>
          <w:numId w:val="2"/>
        </w:numPr>
        <w:spacing w:after="100"/>
      </w:pPr>
      <w:r>
        <w:rPr>
          <w:b/>
          <w:bCs/>
        </w:rPr>
        <w:t xml:space="preserve">RQ3 (Joint reliability):</w:t>
      </w:r>
      <w:r>
        <w:t xml:space="preserve"> Can robustness and explanation reliability be combined into one measurable index that behaves consistently across noise levels? → </w:t>
      </w:r>
      <w:r>
        <w:rPr>
          <w:b/>
          <w:bCs/>
        </w:rPr>
        <w:t xml:space="preserve">H3:</w:t>
      </w:r>
      <w:r>
        <w:t xml:space="preserve"> A combined Joint Reliability Index (Part 3.8) is significantly higher for the noise-aware pipeline across the SNR sweep than for the baseline, with the gap widening as noise increases.</w:t>
      </w:r>
    </w:p>
    <w:p>
      <w:pPr>
        <w:spacing w:after="160"/>
      </w:pPr>
      <w:r>
        <w:t xml:space="preserve">Having explicit, falsifiable hypotheses is what separates this from "basic CNN → predict" — every experiment in Part 3 exists to test one of these three.</w:t>
      </w:r>
    </w:p>
    <w:p>
      <w:pPr>
        <w:pBdr>
          <w:bottom w:val="single" w:color="999999" w:sz="6" w:space="4"/>
        </w:pBdr>
        <w:spacing w:after="240"/>
      </w:pPr>
    </w:p>
    <w:p>
      <w:pPr>
        <w:pStyle w:val="Heading1"/>
        <w:spacing w:after="160" w:before="360"/>
      </w:pPr>
      <w:r>
        <w:t xml:space="preserve">PART 2 — Implementation Plan, Feature Workup &amp; Modern Tooling</w:t>
      </w:r>
    </w:p>
    <w:p>
      <w:pPr>
        <w:pStyle w:val="Heading2"/>
        <w:spacing w:after="120" w:before="280"/>
      </w:pPr>
      <w:r>
        <w:t xml:space="preserve">2.1 Recommended tech stack (with justification, not just names)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tblHeader/>
        </w:trPr>
        <w:tc>
          <w:tcPr>
            <w:tcW w:type="dxa" w:w="1440"/>
            <w:shd w:fill="DDE3EA" w:val="clear"/>
          </w:tcPr>
          <w:p>
            <w:r>
              <w:t xml:space="preserve">Component</w:t>
            </w:r>
          </w:p>
        </w:tc>
        <w:tc>
          <w:tcPr>
            <w:tcW w:type="dxa" w:w="3780"/>
            <w:shd w:fill="DDE3EA" w:val="clear"/>
          </w:tcPr>
          <w:p>
            <w:r>
              <w:t xml:space="preserve">Recommended</w:t>
            </w:r>
          </w:p>
        </w:tc>
        <w:tc>
          <w:tcPr>
            <w:tcW w:type="dxa" w:w="3780"/>
            <w:shd w:fill="DDE3EA" w:val="clear"/>
          </w:tcPr>
          <w:p>
            <w:r>
              <w:t xml:space="preserve">Why this, specifically</w:t>
            </w:r>
          </w:p>
        </w:tc>
      </w:tr>
      <w:tr>
        <w:tc>
          <w:tcPr>
            <w:tcW w:type="dxa" w:w="1440"/>
          </w:tcPr>
          <w:p>
            <w:r>
              <w:t xml:space="preserve">Audio I/O / DSP</w:t>
            </w:r>
          </w:p>
        </w:tc>
        <w:tc>
          <w:tcPr>
            <w:tcW w:type="dxa" w:w="3780"/>
          </w:tcPr>
          <w:p>
            <w:r>
              <w:rPr>
                <w:rFonts w:ascii="Courier New" w:cs="Courier New" w:eastAsia="Courier New" w:hAnsi="Courier New"/>
              </w:rPr>
              <w:t xml:space="preserve">torchaudio</w:t>
            </w:r>
            <w:r>
              <w:t xml:space="preserve">, </w:t>
            </w:r>
            <w:r>
              <w:rPr>
                <w:rFonts w:ascii="Courier New" w:cs="Courier New" w:eastAsia="Courier New" w:hAnsi="Courier New"/>
              </w:rPr>
              <w:t xml:space="preserve">librosa</w:t>
            </w:r>
            <w:r>
              <w:t xml:space="preserve">, </w:t>
            </w:r>
            <w:r>
              <w:rPr>
                <w:rFonts w:ascii="Courier New" w:cs="Courier New" w:eastAsia="Courier New" w:hAnsi="Courier New"/>
              </w:rPr>
              <w:t xml:space="preserve">soundfile</w:t>
            </w:r>
          </w:p>
        </w:tc>
        <w:tc>
          <w:tcPr>
            <w:tcW w:type="dxa" w:w="3780"/>
          </w:tcPr>
          <w:p>
            <w:r>
              <w:t xml:space="preserve">GPU-batched spectrogram transforms in </w:t>
            </w:r>
            <w:r>
              <w:rPr>
                <w:rFonts w:ascii="Courier New" w:cs="Courier New" w:eastAsia="Courier New" w:hAnsi="Courier New"/>
              </w:rPr>
              <w:t xml:space="preserve">torchaudio</w:t>
            </w:r>
            <w:r>
              <w:t xml:space="preserve"> are far faster than per-file </w:t>
            </w:r>
            <w:r>
              <w:rPr>
                <w:rFonts w:ascii="Courier New" w:cs="Courier New" w:eastAsia="Courier New" w:hAnsi="Courier New"/>
              </w:rPr>
              <w:t xml:space="preserve">librosa</w:t>
            </w:r>
            <w:r>
              <w:t xml:space="preserve"> calls at training scale</w:t>
            </w:r>
          </w:p>
        </w:tc>
      </w:tr>
      <w:tr>
        <w:tc>
          <w:tcPr>
            <w:tcW w:type="dxa" w:w="1440"/>
          </w:tcPr>
          <w:p>
            <w:r>
              <w:t xml:space="preserve">Primary dataset</w:t>
            </w:r>
          </w:p>
        </w:tc>
        <w:tc>
          <w:tcPr>
            <w:tcW w:type="dxa" w:w="3780"/>
          </w:tcPr>
          <w:p>
            <w:r>
              <w:t xml:space="preserve">ICBHI 2017 Respiratory Sound Database</w:t>
            </w:r>
          </w:p>
        </w:tc>
        <w:tc>
          <w:tcPr>
            <w:tcW w:type="dxa" w:w="3780"/>
          </w:tcPr>
          <w:p>
            <w:r>
              <w:t xml:space="preserve">Standard, has patient IDs (enables patient-independent splits), most comparable to your literature review</w:t>
            </w:r>
          </w:p>
        </w:tc>
      </w:tr>
      <w:tr>
        <w:tc>
          <w:tcPr>
            <w:tcW w:type="dxa" w:w="1440"/>
          </w:tcPr>
          <w:p>
            <w:r>
              <w:t xml:space="preserve">Secondary/cross-corpus dataset</w:t>
            </w:r>
          </w:p>
        </w:tc>
        <w:tc>
          <w:tcPr>
            <w:tcW w:type="dxa" w:w="3780"/>
          </w:tcPr>
          <w:p>
            <w:r>
              <w:t xml:space="preserve">HF_Lung_V1 or a second public corpus</w:t>
            </w:r>
          </w:p>
        </w:tc>
        <w:tc>
          <w:tcPr>
            <w:tcW w:type="dxa" w:w="3780"/>
          </w:tcPr>
          <w:p>
            <w:r>
              <w:t xml:space="preserve">Needed for the </w:t>
            </w:r>
            <w:r>
              <w:rPr>
                <w:b/>
                <w:bCs/>
              </w:rPr>
              <w:t xml:space="preserve">external validation</w:t>
            </w:r>
            <w:r>
              <w:t xml:space="preserve"> your own literature review (Seidaliyeva et al., 2026) flags as a field-wide weakness</w:t>
            </w:r>
          </w:p>
        </w:tc>
      </w:tr>
      <w:tr>
        <w:tc>
          <w:tcPr>
            <w:tcW w:type="dxa" w:w="1440"/>
          </w:tcPr>
          <w:p>
            <w:r>
              <w:t xml:space="preserve">Noise sources</w:t>
            </w:r>
          </w:p>
        </w:tc>
        <w:tc>
          <w:tcPr>
            <w:tcW w:type="dxa" w:w="3780"/>
          </w:tcPr>
          <w:p>
            <w:r>
              <w:t xml:space="preserve">MUSAN, ESC-50 (environmental), DEMAND (device/room noise), plus 2–3 real hospital-ambient clips if obtainable</w:t>
            </w:r>
          </w:p>
        </w:tc>
        <w:tc>
          <w:tcPr>
            <w:tcW w:type="dxa" w:w="3780"/>
          </w:tcPr>
          <w:p>
            <w:r>
              <w:t xml:space="preserve">Mixing synthetic + at least some real-world noise strengthens the robustness claim beyond pure synthetic SNR sweeps</w:t>
            </w:r>
          </w:p>
        </w:tc>
      </w:tr>
      <w:tr>
        <w:tc>
          <w:tcPr>
            <w:tcW w:type="dxa" w:w="1440"/>
          </w:tcPr>
          <w:p>
            <w:r>
              <w:t xml:space="preserve">Feature representation</w:t>
            </w:r>
          </w:p>
        </w:tc>
        <w:tc>
          <w:tcPr>
            <w:tcW w:type="dxa" w:w="3780"/>
          </w:tcPr>
          <w:p>
            <w:r>
              <w:t xml:space="preserve">Log-Mel spectrogram (64–128 mels) </w:t>
            </w:r>
            <w:r>
              <w:rPr>
                <w:b/>
                <w:bCs/>
              </w:rPr>
              <w:t xml:space="preserve">plus</w:t>
            </w:r>
            <w:r>
              <w:t xml:space="preserve"> embeddings from an AudioSet-pretrained CNN (PANNs CNN14/CNN10)</w:t>
            </w:r>
          </w:p>
        </w:tc>
        <w:tc>
          <w:tcPr>
            <w:tcW w:type="dxa" w:w="3780"/>
          </w:tcPr>
          <w:p>
            <w:r>
              <w:t xml:space="preserve">Recent 2025–2026 work on both respiratory-audio foundation models and related biomedical audio tasks finds AudioSet-pretrained general-audio models </w:t>
            </w:r>
            <w:r>
              <w:rPr>
                <w:b/>
                <w:bCs/>
              </w:rPr>
              <w:t xml:space="preserve">outperform</w:t>
            </w:r>
            <w:r>
              <w:t xml:space="preserve"> models pretrained specifically on small respiratory corpora, and that fine-tuning a pretrained backbone beats training from scratch when data is limited — directly relevant to a small ICBHI-scale project</w:t>
            </w:r>
          </w:p>
        </w:tc>
      </w:tr>
      <w:tr>
        <w:tc>
          <w:tcPr>
            <w:tcW w:type="dxa" w:w="1440"/>
          </w:tcPr>
          <w:p>
            <w:r>
              <w:t xml:space="preserve">Baseline classifier</w:t>
            </w:r>
          </w:p>
        </w:tc>
        <w:tc>
          <w:tcPr>
            <w:tcW w:type="dxa" w:w="3780"/>
          </w:tcPr>
          <w:p>
            <w:r>
              <w:t xml:space="preserve">CNN + attention pooling trained from scratch on log-Mel (as in your synopsis)</w:t>
            </w:r>
          </w:p>
        </w:tc>
        <w:tc>
          <w:tcPr>
            <w:tcW w:type="dxa" w:w="3780"/>
          </w:tcPr>
          <w:p>
            <w:r>
              <w:t xml:space="preserve">Keeps a clean, interpretable baseline</w:t>
            </w:r>
          </w:p>
        </w:tc>
      </w:tr>
      <w:tr>
        <w:tc>
          <w:tcPr>
            <w:tcW w:type="dxa" w:w="1440"/>
          </w:tcPr>
          <w:p>
            <w:r>
              <w:t xml:space="preserve">Upgraded classifier</w:t>
            </w:r>
          </w:p>
        </w:tc>
        <w:tc>
          <w:tcPr>
            <w:tcW w:type="dxa" w:w="3780"/>
          </w:tcPr>
          <w:p>
            <w:r>
              <w:t xml:space="preserve">Fine-tuned PANNs CNN14 (or a compact Audio Spectrogram Transformer) with an attention/attention-pooling head</w:t>
            </w:r>
          </w:p>
        </w:tc>
        <w:tc>
          <w:tcPr>
            <w:tcW w:type="dxa" w:w="3780"/>
          </w:tcPr>
          <w:p>
            <w:r>
              <w:t xml:space="preserve">This is your "modern tech" lever — transfer learning is the single highest-leverage change available at this project's scale</w:t>
            </w:r>
          </w:p>
        </w:tc>
      </w:tr>
      <w:tr>
        <w:tc>
          <w:tcPr>
            <w:tcW w:type="dxa" w:w="1440"/>
          </w:tcPr>
          <w:p>
            <w:r>
              <w:t xml:space="preserve">Robust training</w:t>
            </w:r>
          </w:p>
        </w:tc>
        <w:tc>
          <w:tcPr>
            <w:tcW w:type="dxa" w:w="3780"/>
          </w:tcPr>
          <w:p>
            <w:r>
              <w:t xml:space="preserve">SpecAugment (time/freq masking) + mixup + </w:t>
            </w:r>
            <w:r>
              <w:rPr>
                <w:b/>
                <w:bCs/>
              </w:rPr>
              <w:t xml:space="preserve">on-the-fly randomized-SNR noise injection during training</w:t>
            </w:r>
            <w:r>
              <w:t xml:space="preserve"> (not just at test time) + optional CMGAN-style lightweight enhancement front-end</w:t>
            </w:r>
          </w:p>
        </w:tc>
        <w:tc>
          <w:tcPr>
            <w:tcW w:type="dxa" w:w="3780"/>
          </w:tcPr>
          <w:p>
            <w:r>
              <w:t xml:space="preserve">Training on noise, not only evaluating on it, is what actually produces the "noise-aware" claim; augmentation-only robustness (per your own Kim et al. review) is weaker than trained-in enhancement (per Tzeng et al.)</w:t>
            </w:r>
          </w:p>
        </w:tc>
      </w:tr>
      <w:tr>
        <w:tc>
          <w:tcPr>
            <w:tcW w:type="dxa" w:w="1440"/>
          </w:tcPr>
          <w:p>
            <w:r>
              <w:t xml:space="preserve">Explainability</w:t>
            </w:r>
          </w:p>
        </w:tc>
        <w:tc>
          <w:tcPr>
            <w:tcW w:type="dxa" w:w="3780"/>
          </w:tcPr>
          <w:p>
            <w:r>
              <w:rPr>
                <w:rFonts w:ascii="Courier New" w:cs="Courier New" w:eastAsia="Courier New" w:hAnsi="Courier New"/>
              </w:rPr>
              <w:t xml:space="preserve">captum</w:t>
            </w:r>
            <w:r>
              <w:t xml:space="preserve"> (Integrated Gradients, Occlusion, Grad-CAM), custom Grad-CAM++/Score-CAM for CNN layers, attention-rollout for transformer variant</w:t>
            </w:r>
          </w:p>
        </w:tc>
        <w:tc>
          <w:tcPr>
            <w:tcW w:type="dxa" w:w="3780"/>
          </w:tcPr>
          <w:p>
            <w:r>
              <w:t xml:space="preserve">Captum is the maintained standard for PyTorch; implementing 2 CNN-based + 1 attention-based method lets you compare method-level stability, not just one XAI method</w:t>
            </w:r>
          </w:p>
        </w:tc>
      </w:tr>
      <w:tr>
        <w:tc>
          <w:tcPr>
            <w:tcW w:type="dxa" w:w="1440"/>
          </w:tcPr>
          <w:p>
            <w:r>
              <w:t xml:space="preserve">XAI evaluation</w:t>
            </w:r>
          </w:p>
        </w:tc>
        <w:tc>
          <w:tcPr>
            <w:tcW w:type="dxa" w:w="3780"/>
          </w:tcPr>
          <w:p>
            <w:r>
              <w:rPr>
                <w:rFonts w:ascii="Courier New" w:cs="Courier New" w:eastAsia="Courier New" w:hAnsi="Courier New"/>
              </w:rPr>
              <w:t xml:space="preserve">Quantus</w:t>
            </w:r>
            <w:r>
              <w:t xml:space="preserve"> toolkit (35+ metrics across faithfulness, robustness/stability, localization)</w:t>
            </w:r>
          </w:p>
        </w:tc>
        <w:tc>
          <w:tcPr>
            <w:tcW w:type="dxa" w:w="3780"/>
          </w:tcPr>
          <w:p>
            <w:r>
              <w:t xml:space="preserve">This is the tool that lets you quantify explanation degradation under noise systematically instead of eyeballing heatmaps — directly closes the gap your literature review identifies</w:t>
            </w:r>
          </w:p>
        </w:tc>
      </w:tr>
      <w:tr>
        <w:tc>
          <w:tcPr>
            <w:tcW w:type="dxa" w:w="1440"/>
          </w:tcPr>
          <w:p>
            <w:r>
              <w:t xml:space="preserve">Experiment tracking</w:t>
            </w:r>
          </w:p>
        </w:tc>
        <w:tc>
          <w:tcPr>
            <w:tcW w:type="dxa" w:w="3780"/>
          </w:tcPr>
          <w:p>
            <w:r>
              <w:t xml:space="preserve">Weights &amp; Biases (or MLflow if offline/free-tier constraints matter)</w:t>
            </w:r>
          </w:p>
        </w:tc>
        <w:tc>
          <w:tcPr>
            <w:tcW w:type="dxa" w:w="3780"/>
          </w:tcPr>
          <w:p>
            <w:r>
              <w:t xml:space="preserve">Needed once you're running an SNR × model × XAI-method grid — you will lose track otherwise</w:t>
            </w:r>
          </w:p>
        </w:tc>
      </w:tr>
      <w:tr>
        <w:tc>
          <w:tcPr>
            <w:tcW w:type="dxa" w:w="1440"/>
          </w:tcPr>
          <w:p>
            <w:r>
              <w:t xml:space="preserve">Config management</w:t>
            </w:r>
          </w:p>
        </w:tc>
        <w:tc>
          <w:tcPr>
            <w:tcW w:type="dxa" w:w="3780"/>
          </w:tcPr>
          <w:p>
            <w:r>
              <w:t xml:space="preserve">Hydra / structured YAML</w:t>
            </w:r>
          </w:p>
        </w:tc>
        <w:tc>
          <w:tcPr>
            <w:tcW w:type="dxa" w:w="3780"/>
          </w:tcPr>
          <w:p>
            <w:r>
              <w:t xml:space="preserve">Lets you rerun the exact SNR-sweep/ablation grid reproducibly</w:t>
            </w:r>
          </w:p>
        </w:tc>
      </w:tr>
      <w:tr>
        <w:tc>
          <w:tcPr>
            <w:tcW w:type="dxa" w:w="1440"/>
          </w:tcPr>
          <w:p>
            <w:r>
              <w:t xml:space="preserve">Data/version control</w:t>
            </w:r>
          </w:p>
        </w:tc>
        <w:tc>
          <w:tcPr>
            <w:tcW w:type="dxa" w:w="3780"/>
          </w:tcPr>
          <w:p>
            <w:r>
              <w:t xml:space="preserve">DVC (or a simple manifest + checksums if DVC is overkill for a 3-person team)</w:t>
            </w:r>
          </w:p>
        </w:tc>
        <w:tc>
          <w:tcPr>
            <w:tcW w:type="dxa" w:w="3780"/>
          </w:tcPr>
          <w:p>
            <w:r>
              <w:t xml:space="preserve">Reviewers increasingly expect a reproducibility statement</w:t>
            </w:r>
          </w:p>
        </w:tc>
      </w:tr>
      <w:tr>
        <w:tc>
          <w:tcPr>
            <w:tcW w:type="dxa" w:w="1440"/>
          </w:tcPr>
          <w:p>
            <w:r>
              <w:t xml:space="preserve">Dashboard</w:t>
            </w:r>
          </w:p>
        </w:tc>
        <w:tc>
          <w:tcPr>
            <w:tcW w:type="dxa" w:w="3780"/>
          </w:tcPr>
          <w:p>
            <w:r>
              <w:t xml:space="preserve">Streamlit (as planned) + Plotly for interactive robustness/JRI curves</w:t>
            </w:r>
          </w:p>
        </w:tc>
        <w:tc>
          <w:tcPr>
            <w:tcW w:type="dxa" w:w="3780"/>
          </w:tcPr>
          <w:p>
            <w:r>
              <w:t xml:space="preserve">Matches your synopsis; Plotly gives interactive SNR-sweep exploration for free</w:t>
            </w:r>
          </w:p>
        </w:tc>
      </w:tr>
      <w:tr>
        <w:tc>
          <w:tcPr>
            <w:tcW w:type="dxa" w:w="1440"/>
          </w:tcPr>
          <w:p>
            <w:r>
              <w:t xml:space="preserve">Inference optimization</w:t>
            </w:r>
          </w:p>
        </w:tc>
        <w:tc>
          <w:tcPr>
            <w:tcW w:type="dxa" w:w="3780"/>
          </w:tcPr>
          <w:p>
            <w:r>
              <w:t xml:space="preserve">Export to ONNX (</w:t>
            </w:r>
            <w:r>
              <w:rPr>
                <w:rFonts w:ascii="Courier New" w:cs="Courier New" w:eastAsia="Courier New" w:hAnsi="Courier New"/>
              </w:rPr>
              <w:t xml:space="preserve">onnxruntime</w:t>
            </w:r>
            <w:r>
              <w:t xml:space="preserve">)</w:t>
            </w:r>
          </w:p>
        </w:tc>
        <w:tc>
          <w:tcPr>
            <w:tcW w:type="dxa" w:w="3780"/>
          </w:tcPr>
          <w:p>
            <w:r>
              <w:t xml:space="preserve">Supports the "resource-limited setting" motivation from your intro — show it runs fast on CPU</w:t>
            </w:r>
          </w:p>
        </w:tc>
      </w:tr>
      <w:tr>
        <w:tc>
          <w:tcPr>
            <w:tcW w:type="dxa" w:w="1440"/>
          </w:tcPr>
          <w:p>
            <w:r>
              <w:t xml:space="preserve">Testing</w:t>
            </w:r>
          </w:p>
        </w:tc>
        <w:tc>
          <w:tcPr>
            <w:tcW w:type="dxa" w:w="3780"/>
          </w:tcPr>
          <w:p>
            <w:r>
              <w:rPr>
                <w:rFonts w:ascii="Courier New" w:cs="Courier New" w:eastAsia="Courier New" w:hAnsi="Courier New"/>
              </w:rPr>
              <w:t xml:space="preserve">pytest</w:t>
            </w:r>
            <w:r>
              <w:t xml:space="preserve"> for each pipeline stage (quality-check, denoise, feature extraction, inference, explainability)</w:t>
            </w:r>
          </w:p>
        </w:tc>
        <w:tc>
          <w:tcPr>
            <w:tcW w:type="dxa" w:w="3780"/>
          </w:tcPr>
          <w:p>
            <w:r>
              <w:t xml:space="preserve">Prototype validation (Part 3.12) needs this</w:t>
            </w:r>
          </w:p>
        </w:tc>
      </w:tr>
      <w:tr>
        <w:tc>
          <w:tcPr>
            <w:tcW w:type="dxa" w:w="1440"/>
          </w:tcPr>
          <w:p>
            <w:r>
              <w:t xml:space="preserve">Stats</w:t>
            </w:r>
          </w:p>
        </w:tc>
        <w:tc>
          <w:tcPr>
            <w:tcW w:type="dxa" w:w="3780"/>
          </w:tcPr>
          <w:p>
            <w:r>
              <w:rPr>
                <w:rFonts w:ascii="Courier New" w:cs="Courier New" w:eastAsia="Courier New" w:hAnsi="Courier New"/>
              </w:rPr>
              <w:t xml:space="preserve">scipy.stats</w:t>
            </w:r>
            <w:r>
              <w:t xml:space="preserve">, </w:t>
            </w:r>
            <w:r>
              <w:rPr>
                <w:rFonts w:ascii="Courier New" w:cs="Courier New" w:eastAsia="Courier New" w:hAnsi="Courier New"/>
              </w:rPr>
              <w:t xml:space="preserve">statsmodels</w:t>
            </w:r>
            <w:r>
              <w:t xml:space="preserve">, </w:t>
            </w:r>
            <w:r>
              <w:rPr>
                <w:rFonts w:ascii="Courier New" w:cs="Courier New" w:eastAsia="Courier New" w:hAnsi="Courier New"/>
              </w:rPr>
              <w:t xml:space="preserve">scikit-learn.metrics</w:t>
            </w:r>
          </w:p>
        </w:tc>
        <w:tc>
          <w:tcPr>
            <w:tcW w:type="dxa" w:w="3780"/>
          </w:tcPr>
          <w:p>
            <w:r>
              <w:t xml:space="preserve">For all significance tests in Part 3.9</w:t>
            </w:r>
          </w:p>
        </w:tc>
      </w:tr>
    </w:tbl>
    <w:p>
      <w:pPr>
        <w:pStyle w:val="Heading2"/>
        <w:spacing w:after="120" w:before="280"/>
      </w:pPr>
      <w:r>
        <w:t xml:space="preserve">2.2 Feature/engineering workup — the actual build order</w:t>
      </w:r>
    </w:p>
    <w:p>
      <w:pPr>
        <w:pStyle w:val="ListParagraph"/>
        <w:numPr>
          <w:ilvl w:val="0"/>
          <w:numId w:val="3"/>
        </w:numPr>
        <w:spacing w:after="100"/>
      </w:pPr>
      <w:r>
        <w:rPr>
          <w:b/>
          <w:bCs/>
        </w:rPr>
        <w:t xml:space="preserve">Data &amp; splits first, before any modeling.</w:t>
      </w:r>
      <w:r>
        <w:t xml:space="preserve"> Load ICBHI metadata, build </w:t>
      </w:r>
      <w:r>
        <w:rPr>
          <w:b/>
          <w:bCs/>
        </w:rPr>
        <w:t xml:space="preserve">patient-independent</w:t>
      </w:r>
      <w:r>
        <w:t xml:space="preserve"> stratified train/val/test splits (this alone prevents the "looks great, doesn't generalize" failure mode your Life-journal citation warns about). Freeze the split file — never re-split later.</w:t>
      </w:r>
    </w:p>
    <w:p>
      <w:pPr>
        <w:pStyle w:val="ListParagraph"/>
        <w:numPr>
          <w:ilvl w:val="0"/>
          <w:numId w:val="3"/>
        </w:numPr>
        <w:spacing w:after="100"/>
      </w:pPr>
      <w:r>
        <w:rPr>
          <w:b/>
          <w:bCs/>
        </w:rPr>
        <w:t xml:space="preserve">Noise bank construction.</w:t>
      </w:r>
      <w:r>
        <w:t xml:space="preserve"> Curate MUSAN/ESC-50/DEMAND clips, compute their energy profiles, write a noise-mixing utility that adds noise at an </w:t>
      </w:r>
      <w:r>
        <w:rPr>
          <w:b/>
          <w:bCs/>
        </w:rPr>
        <w:t xml:space="preserve">exact</w:t>
      </w:r>
      <w:r>
        <w:t xml:space="preserve"> target SNR (formula in Part 3.2) — this utility is reused everywhere (training augmentation, test-time SNR sweep, and the dashboard's "simulate noisy input" demo feature).</w:t>
      </w:r>
    </w:p>
    <w:p>
      <w:pPr>
        <w:pStyle w:val="ListParagraph"/>
        <w:numPr>
          <w:ilvl w:val="0"/>
          <w:numId w:val="3"/>
        </w:numPr>
        <w:spacing w:after="100"/>
      </w:pPr>
      <w:r>
        <w:rPr>
          <w:b/>
          <w:bCs/>
        </w:rPr>
        <w:t xml:space="preserve">Feature extraction pipeline.</w:t>
      </w:r>
      <w:r>
        <w:t xml:space="preserve"> Log-Mel spectrogram extraction with fixed parameters (document them: sample rate, window, hop, n_mels) + a parallel branch that extracts PANNs embeddings — build both, decide empirically which backbone wins on validation data.</w:t>
      </w:r>
    </w:p>
    <w:p>
      <w:pPr>
        <w:pStyle w:val="ListParagraph"/>
        <w:numPr>
          <w:ilvl w:val="0"/>
          <w:numId w:val="3"/>
        </w:numPr>
        <w:spacing w:after="100"/>
      </w:pPr>
      <w:r>
        <w:rPr>
          <w:b/>
          <w:bCs/>
        </w:rPr>
        <w:t xml:space="preserve">Baseline model.</w:t>
      </w:r>
      <w:r>
        <w:t xml:space="preserve"> Train the from-scratch CNN+attention on clean data only. This is your control condition — do not skip it, it's what proves the noise-aware version actually helps.</w:t>
      </w:r>
    </w:p>
    <w:p>
      <w:pPr>
        <w:pStyle w:val="ListParagraph"/>
        <w:numPr>
          <w:ilvl w:val="0"/>
          <w:numId w:val="3"/>
        </w:numPr>
        <w:spacing w:after="100"/>
      </w:pPr>
      <w:r>
        <w:rPr>
          <w:b/>
          <w:bCs/>
        </w:rPr>
        <w:t xml:space="preserve">Noise-aware model.</w:t>
      </w:r>
      <w:r>
        <w:t xml:space="preserve"> Fine-tune the pretrained backbone </w:t>
      </w:r>
      <w:r>
        <w:rPr>
          <w:b/>
          <w:bCs/>
        </w:rPr>
        <w:t xml:space="preserve">with</w:t>
      </w:r>
      <w:r>
        <w:t xml:space="preserve"> on-the-fly SNR-randomized augmentation + SpecAugment/mixup. Keep everything else (splits, epochs budget, optimizer) identical to the baseline so the comparison is fair.</w:t>
      </w:r>
    </w:p>
    <w:p>
      <w:pPr>
        <w:pStyle w:val="ListParagraph"/>
        <w:numPr>
          <w:ilvl w:val="0"/>
          <w:numId w:val="3"/>
        </w:numPr>
        <w:spacing w:after="100"/>
      </w:pPr>
      <w:r>
        <w:rPr>
          <w:b/>
          <w:bCs/>
        </w:rPr>
        <w:t xml:space="preserve">Explainability module.</w:t>
      </w:r>
      <w:r>
        <w:t xml:space="preserve"> Implement Grad-CAM/Score-CAM/Integrated-Gradients wrappers around both trained models. Verify qualitatively on a handful of clean clips before touching noise.</w:t>
      </w:r>
    </w:p>
    <w:p>
      <w:pPr>
        <w:pStyle w:val="ListParagraph"/>
        <w:numPr>
          <w:ilvl w:val="0"/>
          <w:numId w:val="3"/>
        </w:numPr>
        <w:spacing w:after="100"/>
      </w:pPr>
      <w:r>
        <w:rPr>
          <w:b/>
          <w:bCs/>
        </w:rPr>
        <w:t xml:space="preserve">Reliability evaluation module.</w:t>
      </w:r>
      <w:r>
        <w:t xml:space="preserve"> Implement the stability/faithfulness/JRI metrics (Part 3) as a standalone, testable module — run it across the frozen test set at each SNR level for both models.</w:t>
      </w:r>
    </w:p>
    <w:p>
      <w:pPr>
        <w:pStyle w:val="ListParagraph"/>
        <w:numPr>
          <w:ilvl w:val="0"/>
          <w:numId w:val="3"/>
        </w:numPr>
        <w:spacing w:after="100"/>
      </w:pPr>
      <w:r>
        <w:rPr>
          <w:b/>
          <w:bCs/>
        </w:rPr>
        <w:t xml:space="preserve">Dashboard last.</w:t>
      </w:r>
      <w:r>
        <w:t xml:space="preserve"> Wire the trained models + reliability module into Streamlit once the underlying numbers are trustworthy — building the UI first and retrofitting metrics later is the most common way these projects run out of time.</w:t>
      </w:r>
    </w:p>
    <w:p>
      <w:pPr>
        <w:pStyle w:val="Heading2"/>
        <w:spacing w:after="120" w:before="280"/>
      </w:pPr>
      <w:r>
        <w:t xml:space="preserve">2.3 Suggested phased timeline (for a 3-person team)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8"/>
        <w:gridCol w:w="1174"/>
        <w:gridCol w:w="4500"/>
        <w:gridCol w:w="2348"/>
      </w:tblGrid>
      <w:tr>
        <w:trPr>
          <w:tblHeader/>
        </w:trPr>
        <w:tc>
          <w:tcPr>
            <w:tcW w:type="dxa" w:w="978"/>
            <w:shd w:fill="DDE3EA" w:val="clear"/>
          </w:tcPr>
          <w:p>
            <w:r>
              <w:t xml:space="preserve">Phase</w:t>
            </w:r>
          </w:p>
        </w:tc>
        <w:tc>
          <w:tcPr>
            <w:tcW w:type="dxa" w:w="1174"/>
            <w:shd w:fill="DDE3EA" w:val="clear"/>
          </w:tcPr>
          <w:p>
            <w:r>
              <w:t xml:space="preserve">Weeks</w:t>
            </w:r>
          </w:p>
        </w:tc>
        <w:tc>
          <w:tcPr>
            <w:tcW w:type="dxa" w:w="4500"/>
            <w:shd w:fill="DDE3EA" w:val="clear"/>
          </w:tcPr>
          <w:p>
            <w:r>
              <w:t xml:space="preserve">Focus</w:t>
            </w:r>
          </w:p>
        </w:tc>
        <w:tc>
          <w:tcPr>
            <w:tcW w:type="dxa" w:w="2348"/>
            <w:shd w:fill="DDE3EA" w:val="clear"/>
          </w:tcPr>
          <w:p>
            <w:r>
              <w:t xml:space="preserve">Owner split suggestion</w:t>
            </w:r>
          </w:p>
        </w:tc>
      </w:tr>
      <w:tr>
        <w:tc>
          <w:tcPr>
            <w:tcW w:type="dxa" w:w="978"/>
          </w:tcPr>
          <w:p>
            <w:r>
              <w:t xml:space="preserve">0</w:t>
            </w:r>
          </w:p>
        </w:tc>
        <w:tc>
          <w:tcPr>
            <w:tcW w:type="dxa" w:w="1174"/>
          </w:tcPr>
          <w:p>
            <w:r>
              <w:t xml:space="preserve">1</w:t>
            </w:r>
          </w:p>
        </w:tc>
        <w:tc>
          <w:tcPr>
            <w:tcW w:type="dxa" w:w="4500"/>
          </w:tcPr>
          <w:p>
            <w:r>
              <w:t xml:space="preserve">Data audit, patient-independent split, noise-bank build</w:t>
            </w:r>
          </w:p>
        </w:tc>
        <w:tc>
          <w:tcPr>
            <w:tcW w:type="dxa" w:w="2348"/>
          </w:tcPr>
          <w:p>
            <w:r>
              <w:t xml:space="preserve">Shared</w:t>
            </w:r>
          </w:p>
        </w:tc>
      </w:tr>
      <w:tr>
        <w:tc>
          <w:tcPr>
            <w:tcW w:type="dxa" w:w="978"/>
          </w:tcPr>
          <w:p>
            <w:r>
              <w:t xml:space="preserve">1</w:t>
            </w:r>
          </w:p>
        </w:tc>
        <w:tc>
          <w:tcPr>
            <w:tcW w:type="dxa" w:w="1174"/>
          </w:tcPr>
          <w:p>
            <w:r>
              <w:t xml:space="preserve">2–3</w:t>
            </w:r>
          </w:p>
        </w:tc>
        <w:tc>
          <w:tcPr>
            <w:tcW w:type="dxa" w:w="4500"/>
          </w:tcPr>
          <w:p>
            <w:r>
              <w:t xml:space="preserve">Feature extraction + baseline CNN training</w:t>
            </w:r>
          </w:p>
        </w:tc>
        <w:tc>
          <w:tcPr>
            <w:tcW w:type="dxa" w:w="2348"/>
          </w:tcPr>
          <w:p>
            <w:r>
              <w:t xml:space="preserve">Member A</w:t>
            </w:r>
          </w:p>
        </w:tc>
      </w:tr>
      <w:tr>
        <w:tc>
          <w:tcPr>
            <w:tcW w:type="dxa" w:w="978"/>
          </w:tcPr>
          <w:p>
            <w:r>
              <w:t xml:space="preserve">2</w:t>
            </w:r>
          </w:p>
        </w:tc>
        <w:tc>
          <w:tcPr>
            <w:tcW w:type="dxa" w:w="1174"/>
          </w:tcPr>
          <w:p>
            <w:r>
              <w:t xml:space="preserve">3–5</w:t>
            </w:r>
          </w:p>
        </w:tc>
        <w:tc>
          <w:tcPr>
            <w:tcW w:type="dxa" w:w="4500"/>
          </w:tcPr>
          <w:p>
            <w:r>
              <w:t xml:space="preserve">Pretrained-backbone fine-tuning + noise-aware augmentation</w:t>
            </w:r>
          </w:p>
        </w:tc>
        <w:tc>
          <w:tcPr>
            <w:tcW w:type="dxa" w:w="2348"/>
          </w:tcPr>
          <w:p>
            <w:r>
              <w:t xml:space="preserve">Member A + B</w:t>
            </w:r>
          </w:p>
        </w:tc>
      </w:tr>
      <w:tr>
        <w:tc>
          <w:tcPr>
            <w:tcW w:type="dxa" w:w="978"/>
          </w:tcPr>
          <w:p>
            <w:r>
              <w:t xml:space="preserve">3</w:t>
            </w:r>
          </w:p>
        </w:tc>
        <w:tc>
          <w:tcPr>
            <w:tcW w:type="dxa" w:w="1174"/>
          </w:tcPr>
          <w:p>
            <w:r>
              <w:t xml:space="preserve">4–6</w:t>
            </w:r>
          </w:p>
        </w:tc>
        <w:tc>
          <w:tcPr>
            <w:tcW w:type="dxa" w:w="4500"/>
          </w:tcPr>
          <w:p>
            <w:r>
              <w:t xml:space="preserve">Explainability wrappers (Grad-CAM/Score-CAM/IG)</w:t>
            </w:r>
          </w:p>
        </w:tc>
        <w:tc>
          <w:tcPr>
            <w:tcW w:type="dxa" w:w="2348"/>
          </w:tcPr>
          <w:p>
            <w:r>
              <w:t xml:space="preserve">Member B</w:t>
            </w:r>
          </w:p>
        </w:tc>
      </w:tr>
      <w:tr>
        <w:tc>
          <w:tcPr>
            <w:tcW w:type="dxa" w:w="978"/>
          </w:tcPr>
          <w:p>
            <w:r>
              <w:t xml:space="preserve">4</w:t>
            </w:r>
          </w:p>
        </w:tc>
        <w:tc>
          <w:tcPr>
            <w:tcW w:type="dxa" w:w="1174"/>
          </w:tcPr>
          <w:p>
            <w:r>
              <w:t xml:space="preserve">5–7</w:t>
            </w:r>
          </w:p>
        </w:tc>
        <w:tc>
          <w:tcPr>
            <w:tcW w:type="dxa" w:w="4500"/>
          </w:tcPr>
          <w:p>
            <w:r>
              <w:t xml:space="preserve">Reliability metrics module (stability, faithfulness, JRI) + Quantus integration</w:t>
            </w:r>
          </w:p>
        </w:tc>
        <w:tc>
          <w:tcPr>
            <w:tcW w:type="dxa" w:w="2348"/>
          </w:tcPr>
          <w:p>
            <w:r>
              <w:t xml:space="preserve">Member C</w:t>
            </w:r>
          </w:p>
        </w:tc>
      </w:tr>
      <w:tr>
        <w:tc>
          <w:tcPr>
            <w:tcW w:type="dxa" w:w="978"/>
          </w:tcPr>
          <w:p>
            <w:r>
              <w:t xml:space="preserve">5</w:t>
            </w:r>
          </w:p>
        </w:tc>
        <w:tc>
          <w:tcPr>
            <w:tcW w:type="dxa" w:w="1174"/>
          </w:tcPr>
          <w:p>
            <w:r>
              <w:t xml:space="preserve">7–8</w:t>
            </w:r>
          </w:p>
        </w:tc>
        <w:tc>
          <w:tcPr>
            <w:tcW w:type="dxa" w:w="4500"/>
          </w:tcPr>
          <w:p>
            <w:r>
              <w:t xml:space="preserve">SNR-sweep experiment grid, statistical testing, ablations</w:t>
            </w:r>
          </w:p>
        </w:tc>
        <w:tc>
          <w:tcPr>
            <w:tcW w:type="dxa" w:w="2348"/>
          </w:tcPr>
          <w:p>
            <w:r>
              <w:t xml:space="preserve">Shared</w:t>
            </w:r>
          </w:p>
        </w:tc>
      </w:tr>
      <w:tr>
        <w:tc>
          <w:tcPr>
            <w:tcW w:type="dxa" w:w="978"/>
          </w:tcPr>
          <w:p>
            <w:r>
              <w:t xml:space="preserve">6</w:t>
            </w:r>
          </w:p>
        </w:tc>
        <w:tc>
          <w:tcPr>
            <w:tcW w:type="dxa" w:w="1174"/>
          </w:tcPr>
          <w:p>
            <w:r>
              <w:t xml:space="preserve">8–9</w:t>
            </w:r>
          </w:p>
        </w:tc>
        <w:tc>
          <w:tcPr>
            <w:tcW w:type="dxa" w:w="4500"/>
          </w:tcPr>
          <w:p>
            <w:r>
              <w:t xml:space="preserve">Dashboard integration</w:t>
            </w:r>
          </w:p>
        </w:tc>
        <w:tc>
          <w:tcPr>
            <w:tcW w:type="dxa" w:w="2348"/>
          </w:tcPr>
          <w:p>
            <w:r>
              <w:t xml:space="preserve">Member C</w:t>
            </w:r>
          </w:p>
        </w:tc>
      </w:tr>
      <w:tr>
        <w:tc>
          <w:tcPr>
            <w:tcW w:type="dxa" w:w="978"/>
          </w:tcPr>
          <w:p>
            <w:r>
              <w:t xml:space="preserve">7</w:t>
            </w:r>
          </w:p>
        </w:tc>
        <w:tc>
          <w:tcPr>
            <w:tcW w:type="dxa" w:w="1174"/>
          </w:tcPr>
          <w:p>
            <w:r>
              <w:t xml:space="preserve">9–10</w:t>
            </w:r>
          </w:p>
        </w:tc>
        <w:tc>
          <w:tcPr>
            <w:tcW w:type="dxa" w:w="4500"/>
          </w:tcPr>
          <w:p>
            <w:r>
              <w:t xml:space="preserve">Paper writing (Results → Discussion → Abstract)</w:t>
            </w:r>
          </w:p>
        </w:tc>
        <w:tc>
          <w:tcPr>
            <w:tcW w:type="dxa" w:w="2348"/>
          </w:tcPr>
          <w:p>
            <w:r>
              <w:t xml:space="preserve">Shared</w:t>
            </w:r>
          </w:p>
        </w:tc>
      </w:tr>
    </w:tbl>
    <w:p>
      <w:pPr>
        <w:pBdr>
          <w:bottom w:val="single" w:color="999999" w:sz="6" w:space="4"/>
        </w:pBdr>
        <w:spacing w:after="240"/>
      </w:pPr>
    </w:p>
    <w:p>
      <w:pPr>
        <w:pStyle w:val="Heading1"/>
        <w:spacing w:after="160" w:before="360"/>
      </w:pPr>
      <w:r>
        <w:t xml:space="preserve">PART 3 — Mathematics, Graphical Studies &amp; Validation Protocol</w:t>
      </w:r>
    </w:p>
    <w:p>
      <w:pPr>
        <w:spacing w:after="160"/>
      </w:pPr>
      <w:r>
        <w:t xml:space="preserve">This is the part that stops the project from being "basic." Every quantity below is something you actually compute and plot, not just describe.</w:t>
      </w:r>
    </w:p>
    <w:p>
      <w:pPr>
        <w:pStyle w:val="Heading2"/>
        <w:spacing w:after="120" w:before="280"/>
      </w:pPr>
      <w:r>
        <w:t xml:space="preserve">3.1 Signal processing formalism (Methodology section notation)</w:t>
      </w:r>
    </w:p>
    <w:p>
      <w:pPr>
        <w:pStyle w:val="ListParagraph"/>
        <w:numPr>
          <w:ilvl w:val="0"/>
          <w:numId w:val="2"/>
        </w:numPr>
        <w:spacing w:after="100"/>
      </w:pPr>
      <w:r>
        <w:t xml:space="preserve">Short-Time Fourier Transform: </w:t>
      </w:r>
      <w:r>
        <w:rPr>
          <w:rFonts w:ascii="Courier New" w:cs="Courier New" w:eastAsia="Courier New" w:hAnsi="Courier New"/>
        </w:rPr>
        <w:t xml:space="preserve">X(t,f) = Σ_n x[n]·w[n−tH]·e^(−j2πfn/N)</w:t>
      </w:r>
      <w:r>
        <w:t xml:space="preserve">, window length W, hop H.</w:t>
      </w:r>
    </w:p>
    <w:p>
      <w:pPr>
        <w:pStyle w:val="ListParagraph"/>
        <w:numPr>
          <w:ilvl w:val="0"/>
          <w:numId w:val="2"/>
        </w:numPr>
        <w:spacing w:after="100"/>
      </w:pPr>
      <w:r>
        <w:t xml:space="preserve">Mel filterbank energy: </w:t>
      </w:r>
      <w:r>
        <w:rPr>
          <w:rFonts w:ascii="Courier New" w:cs="Courier New" w:eastAsia="Courier New" w:hAnsi="Courier New"/>
        </w:rPr>
        <w:t xml:space="preserve">M[t,m] = Σ_f |X(t,f)|² · H_m(f)</w:t>
      </w:r>
      <w:r>
        <w:t xml:space="preserve">, where </w:t>
      </w:r>
      <w:r>
        <w:rPr>
          <w:rFonts w:ascii="Courier New" w:cs="Courier New" w:eastAsia="Courier New" w:hAnsi="Courier New"/>
        </w:rPr>
        <w:t xml:space="preserve">H_m</w:t>
      </w:r>
      <w:r>
        <w:t xml:space="preserve"> is the m-th triangular Mel filter.</w:t>
      </w:r>
    </w:p>
    <w:p>
      <w:pPr>
        <w:pStyle w:val="ListParagraph"/>
        <w:numPr>
          <w:ilvl w:val="0"/>
          <w:numId w:val="2"/>
        </w:numPr>
        <w:spacing w:after="100"/>
      </w:pPr>
      <w:r>
        <w:t xml:space="preserve">Log-Mel feature: </w:t>
      </w:r>
      <w:r>
        <w:rPr>
          <w:rFonts w:ascii="Courier New" w:cs="Courier New" w:eastAsia="Courier New" w:hAnsi="Courier New"/>
        </w:rPr>
        <w:t xml:space="preserve">S[t,m] = log(M[t,m] + ε)</w:t>
      </w:r>
      <w:r>
        <w:t xml:space="preserve">.</w:t>
      </w:r>
    </w:p>
    <w:p>
      <w:pPr>
        <w:pStyle w:val="Heading2"/>
        <w:spacing w:after="120" w:before="280"/>
      </w:pPr>
      <w:r>
        <w:t xml:space="preserve">3.2 Controlled noise injection (the exact formula your "SNR sweep" depends on)</w:t>
      </w:r>
    </w:p>
    <w:p>
      <w:pPr>
        <w:spacing w:after="160"/>
      </w:pPr>
      <w:r>
        <w:t xml:space="preserve">Given clean signal x and noise n, scale noise to hit a target SNR:</w:t>
      </w:r>
    </w:p>
    <w:p>
      <w:pPr>
        <w:shd w:fill="F0F0F0" w:val="clear"/>
        <w:spacing w:after="0" w:before="0"/>
      </w:pPr>
      <w:r>
        <w:rPr>
          <w:rFonts w:ascii="Courier New" w:cs="Courier New" w:eastAsia="Courier New" w:hAnsi="Courier New"/>
          <w:sz w:val="19"/>
          <w:szCs w:val="19"/>
        </w:rPr>
        <w:t xml:space="preserve">SNR_dB = 10 · log10( P_signal / P_noise ),  where P = mean(x²)</w:t>
      </w:r>
    </w:p>
    <w:p>
      <w:pPr>
        <w:shd w:fill="F0F0F0" w:val="clear"/>
        <w:spacing w:after="0" w:before="0"/>
      </w:pPr>
      <w:r>
        <w:rPr>
          <w:rFonts w:ascii="Courier New" w:cs="Courier New" w:eastAsia="Courier New" w:hAnsi="Courier New"/>
          <w:sz w:val="19"/>
          <w:szCs w:val="19"/>
        </w:rPr>
        <w:t xml:space="preserve">noise_scaled = n · sqrt( P_x / (P_n · 10^(SNR_dB/10)) )</w:t>
      </w:r>
    </w:p>
    <w:p>
      <w:pPr>
        <w:shd w:fill="F0F0F0" w:val="clear"/>
        <w:spacing w:after="0" w:before="0"/>
      </w:pPr>
      <w:r>
        <w:rPr>
          <w:rFonts w:ascii="Courier New" w:cs="Courier New" w:eastAsia="Courier New" w:hAnsi="Courier New"/>
          <w:sz w:val="19"/>
          <w:szCs w:val="19"/>
        </w:rPr>
        <w:t xml:space="preserve">x_noisy = x + noise_scaled</w:t>
      </w:r>
    </w:p>
    <w:p>
      <w:pPr>
        <w:spacing w:after="160"/>
      </w:pPr>
      <w:r>
        <w:t xml:space="preserve"> </w:t>
      </w:r>
    </w:p>
    <w:p>
      <w:pPr>
        <w:spacing w:after="160"/>
      </w:pPr>
      <w:r>
        <w:t xml:space="preserve">Use this to generate </w:t>
      </w:r>
      <w:r>
        <w:rPr>
          <w:b/>
          <w:bCs/>
        </w:rPr>
        <w:t xml:space="preserve">clean / mild (≈15 dB) / moderate (≈5 dB) / heavy (≈0 dB or below)</w:t>
      </w:r>
      <w:r>
        <w:t xml:space="preserve"> test conditions consistently across every experiment.</w:t>
      </w:r>
    </w:p>
    <w:p>
      <w:pPr>
        <w:pStyle w:val="Heading2"/>
        <w:spacing w:after="120" w:before="280"/>
      </w:pPr>
      <w:r>
        <w:t xml:space="preserve">3.3 Classification objective</w:t>
      </w:r>
    </w:p>
    <w:p>
      <w:pPr>
        <w:spacing w:after="160"/>
      </w:pPr>
      <w:r>
        <w:t xml:space="preserve">Model f_θ: X → ŷ ∈ ℝ^C (C classes: normal/wheeze/crackle/other). Train with class-weighted or focal loss to handle the class imbalance your literature review flags:</w:t>
      </w:r>
    </w:p>
    <w:p>
      <w:pPr>
        <w:shd w:fill="F0F0F0" w:val="clear"/>
        <w:spacing w:after="0" w:before="0"/>
      </w:pPr>
      <w:r>
        <w:rPr>
          <w:rFonts w:ascii="Courier New" w:cs="Courier New" w:eastAsia="Courier New" w:hAnsi="Courier New"/>
          <w:sz w:val="19"/>
          <w:szCs w:val="19"/>
        </w:rPr>
        <w:t xml:space="preserve">FocalLoss = − α_c · (1 − p_c)^γ · log(p_c)</w:t>
      </w:r>
    </w:p>
    <w:p>
      <w:pPr>
        <w:spacing w:after="160"/>
      </w:pPr>
      <w:r>
        <w:t xml:space="preserve"> </w:t>
      </w:r>
    </w:p>
    <w:p>
      <w:pPr>
        <w:pStyle w:val="Heading2"/>
        <w:spacing w:after="120" w:before="280"/>
      </w:pPr>
      <w:r>
        <w:t xml:space="preserve">3.4 Core classification metrics (report per class and macro-averaged)</w:t>
      </w:r>
    </w:p>
    <w:p>
      <w:pPr>
        <w:shd w:fill="F0F0F0" w:val="clear"/>
        <w:spacing w:after="0" w:before="0"/>
      </w:pPr>
      <w:r>
        <w:rPr>
          <w:rFonts w:ascii="Courier New" w:cs="Courier New" w:eastAsia="Courier New" w:hAnsi="Courier New"/>
          <w:sz w:val="19"/>
          <w:szCs w:val="19"/>
        </w:rPr>
        <w:t xml:space="preserve">Precision = TP/(TP+FP)   Recall(Sensitivity) = TP/(TP+FN)</w:t>
      </w:r>
    </w:p>
    <w:p>
      <w:pPr>
        <w:shd w:fill="F0F0F0" w:val="clear"/>
        <w:spacing w:after="0" w:before="0"/>
      </w:pPr>
      <w:r>
        <w:rPr>
          <w:rFonts w:ascii="Courier New" w:cs="Courier New" w:eastAsia="Courier New" w:hAnsi="Courier New"/>
          <w:sz w:val="19"/>
          <w:szCs w:val="19"/>
        </w:rPr>
        <w:t xml:space="preserve">Specificity = TN/(TN+FP)</w:t>
      </w:r>
    </w:p>
    <w:p>
      <w:pPr>
        <w:shd w:fill="F0F0F0" w:val="clear"/>
        <w:spacing w:after="0" w:before="0"/>
      </w:pPr>
      <w:r>
        <w:rPr>
          <w:rFonts w:ascii="Courier New" w:cs="Courier New" w:eastAsia="Courier New" w:hAnsi="Courier New"/>
          <w:sz w:val="19"/>
          <w:szCs w:val="19"/>
        </w:rPr>
        <w:t xml:space="preserve">F1 = 2·Precision·Recall/(Precision+Recall)</w:t>
      </w:r>
    </w:p>
    <w:p>
      <w:pPr>
        <w:shd w:fill="F0F0F0" w:val="clear"/>
        <w:spacing w:after="0" w:before="0"/>
      </w:pPr>
      <w:r>
        <w:rPr>
          <w:rFonts w:ascii="Courier New" w:cs="Courier New" w:eastAsia="Courier New" w:hAnsi="Courier New"/>
          <w:sz w:val="19"/>
          <w:szCs w:val="19"/>
        </w:rPr>
        <w:t xml:space="preserve">Balanced Accuracy = (Sensitivity+Specificity)/2</w:t>
      </w:r>
    </w:p>
    <w:p>
      <w:pPr>
        <w:shd w:fill="F0F0F0" w:val="clear"/>
        <w:spacing w:after="0" w:before="0"/>
      </w:pPr>
      <w:r>
        <w:rPr>
          <w:rFonts w:ascii="Courier New" w:cs="Courier New" w:eastAsia="Courier New" w:hAnsi="Courier New"/>
          <w:sz w:val="19"/>
          <w:szCs w:val="19"/>
        </w:rPr>
        <w:t xml:space="preserve">AUROC, AUPRC  (one-vs-rest per class)</w:t>
      </w:r>
    </w:p>
    <w:p>
      <w:pPr>
        <w:spacing w:after="160"/>
      </w:pPr>
      <w:r>
        <w:t xml:space="preserve"> </w:t>
      </w:r>
    </w:p>
    <w:p>
      <w:pPr>
        <w:pStyle w:val="Heading2"/>
        <w:spacing w:after="120" w:before="280"/>
      </w:pPr>
      <w:r>
        <w:t xml:space="preserve">3.5 Confidence calibration (you promised this in Objective 4 — implement it, don't skip it)</w:t>
      </w:r>
    </w:p>
    <w:p>
      <w:pPr>
        <w:shd w:fill="F0F0F0" w:val="clear"/>
        <w:spacing w:after="0" w:before="0"/>
      </w:pPr>
      <w:r>
        <w:rPr>
          <w:rFonts w:ascii="Courier New" w:cs="Courier New" w:eastAsia="Courier New" w:hAnsi="Courier New"/>
          <w:sz w:val="19"/>
          <w:szCs w:val="19"/>
        </w:rPr>
        <w:t xml:space="preserve">Expected Calibration Error:  ECE = Σ_b (|B_b|/N) · |acc(B_b) − conf(B_b)|</w:t>
      </w:r>
    </w:p>
    <w:p>
      <w:pPr>
        <w:shd w:fill="F0F0F0" w:val="clear"/>
        <w:spacing w:after="0" w:before="0"/>
      </w:pPr>
      <w:r>
        <w:rPr>
          <w:rFonts w:ascii="Courier New" w:cs="Courier New" w:eastAsia="Courier New" w:hAnsi="Courier New"/>
          <w:sz w:val="19"/>
          <w:szCs w:val="19"/>
        </w:rPr>
        <w:t xml:space="preserve">Brier Score = (1/N) Σ (p_i − y_i)²</w:t>
      </w:r>
    </w:p>
    <w:p>
      <w:pPr>
        <w:spacing w:after="160"/>
      </w:pPr>
      <w:r>
        <w:t xml:space="preserve"> </w:t>
      </w:r>
    </w:p>
    <w:p>
      <w:pPr>
        <w:spacing w:after="160"/>
      </w:pPr>
      <w:r>
        <w:t xml:space="preserve">Plot a </w:t>
      </w:r>
      <w:r>
        <w:rPr>
          <w:b/>
          <w:bCs/>
        </w:rPr>
        <w:t xml:space="preserve">reliability diagram</w:t>
      </w:r>
      <w:r>
        <w:t xml:space="preserve"> (predicted confidence bin vs. observed accuracy) at each SNR level — this alone is a result most comparable projects skip.</w:t>
      </w:r>
    </w:p>
    <w:p>
      <w:pPr>
        <w:pStyle w:val="Heading2"/>
        <w:spacing w:after="120" w:before="280"/>
      </w:pPr>
      <w:r>
        <w:t xml:space="preserve">3.6 Explanation stability (this operationalizes "does the heatmap survive noise")</w:t>
      </w:r>
    </w:p>
    <w:p>
      <w:pPr>
        <w:spacing w:after="160"/>
      </w:pPr>
      <w:r>
        <w:t xml:space="preserve">For explanation maps A_clean and A_noisy of the same underlying clip:</w:t>
      </w:r>
    </w:p>
    <w:p>
      <w:pPr>
        <w:shd w:fill="F0F0F0" w:val="clear"/>
        <w:spacing w:after="0" w:before="0"/>
      </w:pPr>
      <w:r>
        <w:rPr>
          <w:rFonts w:ascii="Courier New" w:cs="Courier New" w:eastAsia="Courier New" w:hAnsi="Courier New"/>
          <w:sz w:val="19"/>
          <w:szCs w:val="19"/>
        </w:rPr>
        <w:t xml:space="preserve">SSIM(A_clean, A_noisy)                      — structural similarity</w:t>
      </w:r>
    </w:p>
    <w:p>
      <w:pPr>
        <w:shd w:fill="F0F0F0" w:val="clear"/>
        <w:spacing w:after="0" w:before="0"/>
      </w:pPr>
      <w:r>
        <w:rPr>
          <w:rFonts w:ascii="Courier New" w:cs="Courier New" w:eastAsia="Courier New" w:hAnsi="Courier New"/>
          <w:sz w:val="19"/>
          <w:szCs w:val="19"/>
        </w:rPr>
        <w:t xml:space="preserve">Spearman ρ(flatten(A_clean), flatten(A_noisy))  — rank correlation</w:t>
      </w:r>
    </w:p>
    <w:p>
      <w:pPr>
        <w:shd w:fill="F0F0F0" w:val="clear"/>
        <w:spacing w:after="0" w:before="0"/>
      </w:pPr>
      <w:r>
        <w:rPr>
          <w:rFonts w:ascii="Courier New" w:cs="Courier New" w:eastAsia="Courier New" w:hAnsi="Courier New"/>
          <w:sz w:val="19"/>
          <w:szCs w:val="19"/>
        </w:rPr>
        <w:t xml:space="preserve">IoU_top-k = |top-k(A_clean) ∩ top-k(A_noisy)| / |top-k(A_clean) ∪ top-k(A_noisy)|</w:t>
      </w:r>
    </w:p>
    <w:p>
      <w:pPr>
        <w:spacing w:after="160"/>
      </w:pPr>
      <w:r>
        <w:t xml:space="preserve"> </w:t>
      </w:r>
    </w:p>
    <w:p>
      <w:pPr>
        <w:spacing w:after="160"/>
      </w:pPr>
      <w:r>
        <w:t xml:space="preserve">Define </w:t>
      </w:r>
      <w:r>
        <w:rPr>
          <w:b/>
          <w:bCs/>
        </w:rPr>
        <w:t xml:space="preserve">Stability(SNR) = mean similarity across the test set at that SNR</w:t>
      </w:r>
      <w:r>
        <w:t xml:space="preserve">, for both models.</w:t>
      </w:r>
    </w:p>
    <w:p>
      <w:pPr>
        <w:pStyle w:val="Heading2"/>
        <w:spacing w:after="120" w:before="280"/>
      </w:pPr>
      <w:r>
        <w:t xml:space="preserve">3.7 Explanation faithfulness (does the heatmap actually reflect the model's decision, not just look plausible)</w:t>
      </w:r>
    </w:p>
    <w:p>
      <w:pPr>
        <w:pStyle w:val="ListParagraph"/>
        <w:numPr>
          <w:ilvl w:val="0"/>
          <w:numId w:val="2"/>
        </w:numPr>
        <w:spacing w:after="100"/>
      </w:pPr>
      <w:r>
        <w:rPr>
          <w:b/>
          <w:bCs/>
        </w:rPr>
        <w:t xml:space="preserve">Insertion/Deletion AUC:</w:t>
      </w:r>
      <w:r>
        <w:t xml:space="preserve"> progressively insert (or delete) time-frequency regions in order of attribution rank and track the class-probability curve; faithful explanations show a sharp rise (insertion) / drop (deletion).</w:t>
      </w:r>
    </w:p>
    <w:p>
      <w:pPr>
        <w:pStyle w:val="ListParagraph"/>
        <w:numPr>
          <w:ilvl w:val="0"/>
          <w:numId w:val="2"/>
        </w:numPr>
        <w:spacing w:after="100"/>
      </w:pPr>
      <w:r>
        <w:rPr>
          <w:b/>
          <w:bCs/>
        </w:rPr>
        <w:t xml:space="preserve">AOPC (Area Over the Perturbation Curve):</w:t>
      </w:r>
      <w:r>
        <w:t xml:space="preserve"> </w:t>
      </w:r>
      <w:r>
        <w:rPr>
          <w:rFonts w:ascii="Courier New" w:cs="Courier New" w:eastAsia="Courier New" w:hAnsi="Courier New"/>
        </w:rPr>
        <w:t xml:space="preserve">AOPC = (1/K) Σ_{k=1}^{K} [f(x) − f(x_perturbed_k)]</w:t>
      </w:r>
    </w:p>
    <w:p>
      <w:pPr>
        <w:pStyle w:val="ListParagraph"/>
        <w:numPr>
          <w:ilvl w:val="0"/>
          <w:numId w:val="2"/>
        </w:numPr>
        <w:spacing w:after="100"/>
      </w:pPr>
      <w:r>
        <w:t xml:space="preserve">Implement both via </w:t>
      </w:r>
      <w:r>
        <w:rPr>
          <w:rFonts w:ascii="Courier New" w:cs="Courier New" w:eastAsia="Courier New" w:hAnsi="Courier New"/>
        </w:rPr>
        <w:t xml:space="preserve">Quantus</w:t>
      </w:r>
      <w:r>
        <w:t xml:space="preserve"> rather than hand-rolling — it also gives you Faithfulness Correlation and Pixel-Flipping for free, and a standard citation for your methods section.</w:t>
      </w:r>
    </w:p>
    <w:p>
      <w:pPr>
        <w:pStyle w:val="Heading2"/>
        <w:spacing w:after="120" w:before="280"/>
      </w:pPr>
      <w:r>
        <w:t xml:space="preserve">3.8 The paper's actual novel contribution: a Joint Reliability Index (JRI)</w:t>
      </w:r>
    </w:p>
    <w:p>
      <w:pPr>
        <w:spacing w:after="160"/>
      </w:pPr>
      <w:r>
        <w:t xml:space="preserve">This is what turns "we measured two things" into "we combined them into one validated construct" — the exact gap your own literature review states nobody has closed.</w:t>
      </w:r>
    </w:p>
    <w:p>
      <w:pPr>
        <w:shd w:fill="F0F0F0" w:val="clear"/>
        <w:spacing w:after="0" w:before="0"/>
      </w:pPr>
      <w:r>
        <w:rPr>
          <w:rFonts w:ascii="Courier New" w:cs="Courier New" w:eastAsia="Courier New" w:hAnsi="Courier New"/>
          <w:sz w:val="19"/>
          <w:szCs w:val="19"/>
        </w:rPr>
        <w:t xml:space="preserve">R(SNR) = F1(SNR) / F1(clean)                         — normalized robustness, ∈[0,1]</w:t>
      </w:r>
    </w:p>
    <w:p>
      <w:pPr>
        <w:shd w:fill="F0F0F0" w:val="clear"/>
        <w:spacing w:after="0" w:before="0"/>
      </w:pPr>
      <w:r>
        <w:rPr>
          <w:rFonts w:ascii="Courier New" w:cs="Courier New" w:eastAsia="Courier New" w:hAnsi="Courier New"/>
          <w:sz w:val="19"/>
          <w:szCs w:val="19"/>
        </w:rPr>
        <w:t xml:space="preserve">S(SNR) = Stability(SNR)                               — normalized explanation stability, ∈[0,1]</w:t>
      </w:r>
    </w:p>
    <w:p>
      <w:pPr>
        <w:shd w:fill="F0F0F0" w:val="clear"/>
        <w:spacing w:after="0" w:before="0"/>
      </w:pPr>
      <w:r>
        <w:rPr>
          <w:rFonts w:ascii="Courier New" w:cs="Courier New" w:eastAsia="Courier New" w:hAnsi="Courier New"/>
          <w:sz w:val="19"/>
          <w:szCs w:val="19"/>
        </w:rPr>
        <w:t xml:space="preserve"> </w:t>
      </w:r>
    </w:p>
    <w:p>
      <w:pPr>
        <w:shd w:fill="F0F0F0" w:val="clear"/>
        <w:spacing w:after="0" w:before="0"/>
      </w:pPr>
      <w:r>
        <w:rPr>
          <w:rFonts w:ascii="Courier New" w:cs="Courier New" w:eastAsia="Courier New" w:hAnsi="Courier New"/>
          <w:sz w:val="19"/>
          <w:szCs w:val="19"/>
        </w:rPr>
        <w:t xml:space="preserve">JRI(SNR) = 2 · R(SNR) · S(SNR) / (R(SNR) + S(SNR))    — harmonic mean (like F1 over precision/recall)</w:t>
      </w:r>
    </w:p>
    <w:p>
      <w:pPr>
        <w:shd w:fill="F0F0F0" w:val="clear"/>
        <w:spacing w:after="0" w:before="0"/>
      </w:pPr>
      <w:r>
        <w:rPr>
          <w:rFonts w:ascii="Courier New" w:cs="Courier New" w:eastAsia="Courier New" w:hAnsi="Courier New"/>
          <w:sz w:val="19"/>
          <w:szCs w:val="19"/>
        </w:rPr>
        <w:t xml:space="preserve"> </w:t>
      </w:r>
    </w:p>
    <w:p>
      <w:pPr>
        <w:shd w:fill="F0F0F0" w:val="clear"/>
        <w:spacing w:after="0" w:before="0"/>
      </w:pPr>
      <w:r>
        <w:rPr>
          <w:rFonts w:ascii="Courier New" w:cs="Courier New" w:eastAsia="Courier New" w:hAnsi="Courier New"/>
          <w:sz w:val="19"/>
          <w:szCs w:val="19"/>
        </w:rPr>
        <w:t xml:space="preserve">AURC = (1/N) Σ_i JRI(SNR_i)                           — Area Under the Reliability Curve, single headline number</w:t>
      </w:r>
    </w:p>
    <w:p>
      <w:pPr>
        <w:spacing w:after="160"/>
      </w:pPr>
      <w:r>
        <w:t xml:space="preserve"> </w:t>
      </w:r>
    </w:p>
    <w:p>
      <w:pPr>
        <w:spacing w:after="160"/>
      </w:pPr>
      <w:r>
        <w:t xml:space="preserve">Report </w:t>
      </w:r>
      <w:r>
        <w:rPr>
          <w:b/>
          <w:bCs/>
        </w:rPr>
        <w:t xml:space="preserve">AURC(baseline) vs. AURC(noise-aware pipeline)</w:t>
      </w:r>
      <w:r>
        <w:t xml:space="preserve"> as your single most important sentence in the abstract. The harmonic mean is deliberate: a model that is robust but has collapsing explanations (or vice-versa) should score low, not be masked by averaging.</w:t>
      </w:r>
    </w:p>
    <w:p>
      <w:pPr>
        <w:pStyle w:val="Heading2"/>
        <w:spacing w:after="120" w:before="280"/>
      </w:pPr>
      <w:r>
        <w:t xml:space="preserve">3.9 Statistical validation (do not report a single number without one of these)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DDE3EA" w:val="clear"/>
          </w:tcPr>
          <w:p>
            <w:r>
              <w:t xml:space="preserve">Test</w:t>
            </w:r>
          </w:p>
        </w:tc>
        <w:tc>
          <w:tcPr>
            <w:tcW w:type="dxa" w:w="6300"/>
            <w:shd w:fill="DDE3EA" w:val="clear"/>
          </w:tcPr>
          <w:p>
            <w:r>
              <w:t xml:space="preserve">Used for</w:t>
            </w:r>
          </w:p>
        </w:tc>
      </w:tr>
      <w:tr>
        <w:tc>
          <w:tcPr>
            <w:tcW w:type="dxa" w:w="2700"/>
          </w:tcPr>
          <w:p>
            <w:r>
              <w:t xml:space="preserve">Wilcoxon signed-rank test</w:t>
            </w:r>
          </w:p>
        </w:tc>
        <w:tc>
          <w:tcPr>
            <w:tcW w:type="dxa" w:w="6300"/>
          </w:tcPr>
          <w:p>
            <w:r>
              <w:t xml:space="preserve">Paired comparison of baseline vs. proposed JRI/F1 across the same test clips at each SNR</w:t>
            </w:r>
          </w:p>
        </w:tc>
      </w:tr>
      <w:tr>
        <w:tc>
          <w:tcPr>
            <w:tcW w:type="dxa" w:w="2700"/>
          </w:tcPr>
          <w:p>
            <w:r>
              <w:t xml:space="preserve">McNemar's test</w:t>
            </w:r>
          </w:p>
        </w:tc>
        <w:tc>
          <w:tcPr>
            <w:tcW w:type="dxa" w:w="6300"/>
          </w:tcPr>
          <w:p>
            <w:r>
              <w:t xml:space="preserve">Paired comparison of correct/incorrect classification decisions, baseline vs. proposed, on identical clips</w:t>
            </w:r>
          </w:p>
        </w:tc>
      </w:tr>
      <w:tr>
        <w:tc>
          <w:tcPr>
            <w:tcW w:type="dxa" w:w="2700"/>
          </w:tcPr>
          <w:p>
            <w:r>
              <w:t xml:space="preserve">Bootstrap 95% CI (1000+ resamples)</w:t>
            </w:r>
          </w:p>
        </w:tc>
        <w:tc>
          <w:tcPr>
            <w:tcW w:type="dxa" w:w="6300"/>
          </w:tcPr>
          <w:p>
            <w:r>
              <w:t xml:space="preserve">Confidence interval on every reported metric (F1, stability, JRI)</w:t>
            </w:r>
          </w:p>
        </w:tc>
      </w:tr>
      <w:tr>
        <w:tc>
          <w:tcPr>
            <w:tcW w:type="dxa" w:w="2700"/>
          </w:tcPr>
          <w:p>
            <w:r>
              <w:t xml:space="preserve">Friedman test + Nemenyi post-hoc</w:t>
            </w:r>
          </w:p>
        </w:tc>
        <w:tc>
          <w:tcPr>
            <w:tcW w:type="dxa" w:w="6300"/>
          </w:tcPr>
          <w:p>
            <w:r>
              <w:t xml:space="preserve">Comparing performance across &gt;2 SNR levels simultaneously</w:t>
            </w:r>
          </w:p>
        </w:tc>
      </w:tr>
      <w:tr>
        <w:tc>
          <w:tcPr>
            <w:tcW w:type="dxa" w:w="2700"/>
          </w:tcPr>
          <w:p>
            <w:r>
              <w:t xml:space="preserve">Cohen's d</w:t>
            </w:r>
          </w:p>
        </w:tc>
        <w:tc>
          <w:tcPr>
            <w:tcW w:type="dxa" w:w="6300"/>
          </w:tcPr>
          <w:p>
            <w:r>
              <w:t xml:space="preserve">Effect size for the robustness gap and the stability gap, not just p-values</w:t>
            </w:r>
          </w:p>
        </w:tc>
      </w:tr>
    </w:tbl>
    <w:p>
      <w:pPr>
        <w:pStyle w:val="Heading2"/>
        <w:spacing w:after="120" w:before="280"/>
      </w:pPr>
      <w:r>
        <w:t xml:space="preserve">3.10 Graphs to produce (the actual figure list for your Results section)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1620"/>
        <w:gridCol w:w="3960"/>
      </w:tblGrid>
      <w:tr>
        <w:trPr>
          <w:tblHeader/>
        </w:trPr>
        <w:tc>
          <w:tcPr>
            <w:tcW w:type="dxa" w:w="1800"/>
            <w:shd w:fill="DDE3EA" w:val="clear"/>
          </w:tcPr>
          <w:p>
            <w:r>
              <w:t xml:space="preserve">Figure</w:t>
            </w:r>
          </w:p>
        </w:tc>
        <w:tc>
          <w:tcPr>
            <w:tcW w:type="dxa" w:w="1620"/>
            <w:shd w:fill="DDE3EA" w:val="clear"/>
          </w:tcPr>
          <w:p>
            <w:r>
              <w:t xml:space="preserve">X-axis</w:t>
            </w:r>
          </w:p>
        </w:tc>
        <w:tc>
          <w:tcPr>
            <w:tcW w:type="dxa" w:w="1620"/>
            <w:shd w:fill="DDE3EA" w:val="clear"/>
          </w:tcPr>
          <w:p>
            <w:r>
              <w:t xml:space="preserve">Y-axis</w:t>
            </w:r>
          </w:p>
        </w:tc>
        <w:tc>
          <w:tcPr>
            <w:tcW w:type="dxa" w:w="3960"/>
            <w:shd w:fill="DDE3EA" w:val="clear"/>
          </w:tcPr>
          <w:p>
            <w:r>
              <w:t xml:space="preserve">What it proves</w:t>
            </w:r>
          </w:p>
        </w:tc>
      </w:tr>
      <w:tr>
        <w:tc>
          <w:tcPr>
            <w:tcW w:type="dxa" w:w="1800"/>
          </w:tcPr>
          <w:p>
            <w:r>
              <w:t xml:space="preserve">Robustness curve</w:t>
            </w:r>
          </w:p>
        </w:tc>
        <w:tc>
          <w:tcPr>
            <w:tcW w:type="dxa" w:w="1620"/>
          </w:tcPr>
          <w:p>
            <w:r>
              <w:t xml:space="preserve">SNR (dB)</w:t>
            </w:r>
          </w:p>
        </w:tc>
        <w:tc>
          <w:tcPr>
            <w:tcW w:type="dxa" w:w="1620"/>
          </w:tcPr>
          <w:p>
            <w:r>
              <w:t xml:space="preserve">F1 / Balanced Accuracy</w:t>
            </w:r>
          </w:p>
        </w:tc>
        <w:tc>
          <w:tcPr>
            <w:tcW w:type="dxa" w:w="3960"/>
          </w:tcPr>
          <w:p>
            <w:r>
              <w:t xml:space="preserve">Core robustness claim</w:t>
            </w:r>
          </w:p>
        </w:tc>
      </w:tr>
      <w:tr>
        <w:tc>
          <w:tcPr>
            <w:tcW w:type="dxa" w:w="1800"/>
          </w:tcPr>
          <w:p>
            <w:r>
              <w:t xml:space="preserve">Reliability diagram</w:t>
            </w:r>
          </w:p>
        </w:tc>
        <w:tc>
          <w:tcPr>
            <w:tcW w:type="dxa" w:w="1620"/>
          </w:tcPr>
          <w:p>
            <w:r>
              <w:t xml:space="preserve">Predicted confidence bins</w:t>
            </w:r>
          </w:p>
        </w:tc>
        <w:tc>
          <w:tcPr>
            <w:tcW w:type="dxa" w:w="1620"/>
          </w:tcPr>
          <w:p>
            <w:r>
              <w:t xml:space="preserve">Observed accuracy</w:t>
            </w:r>
          </w:p>
        </w:tc>
        <w:tc>
          <w:tcPr>
            <w:tcW w:type="dxa" w:w="3960"/>
          </w:tcPr>
          <w:p>
            <w:r>
              <w:t xml:space="preserve">Calibration (Objective 4)</w:t>
            </w:r>
          </w:p>
        </w:tc>
      </w:tr>
      <w:tr>
        <w:tc>
          <w:tcPr>
            <w:tcW w:type="dxa" w:w="1800"/>
          </w:tcPr>
          <w:p>
            <w:r>
              <w:t xml:space="preserve">Stability curve</w:t>
            </w:r>
          </w:p>
        </w:tc>
        <w:tc>
          <w:tcPr>
            <w:tcW w:type="dxa" w:w="1620"/>
          </w:tcPr>
          <w:p>
            <w:r>
              <w:t xml:space="preserve">SNR (dB)</w:t>
            </w:r>
          </w:p>
        </w:tc>
        <w:tc>
          <w:tcPr>
            <w:tcW w:type="dxa" w:w="1620"/>
          </w:tcPr>
          <w:p>
            <w:r>
              <w:t xml:space="preserve">SSIM / IoU of heatmaps</w:t>
            </w:r>
          </w:p>
        </w:tc>
        <w:tc>
          <w:tcPr>
            <w:tcW w:type="dxa" w:w="3960"/>
          </w:tcPr>
          <w:p>
            <w:r>
              <w:t xml:space="preserve">Core explainability claim</w:t>
            </w:r>
          </w:p>
        </w:tc>
      </w:tr>
      <w:tr>
        <w:tc>
          <w:tcPr>
            <w:tcW w:type="dxa" w:w="1800"/>
          </w:tcPr>
          <w:p>
            <w:r>
              <w:t xml:space="preserve">JRI curve</w:t>
            </w:r>
          </w:p>
        </w:tc>
        <w:tc>
          <w:tcPr>
            <w:tcW w:type="dxa" w:w="1620"/>
          </w:tcPr>
          <w:p>
            <w:r>
              <w:t xml:space="preserve">SNR (dB)</w:t>
            </w:r>
          </w:p>
        </w:tc>
        <w:tc>
          <w:tcPr>
            <w:tcW w:type="dxa" w:w="1620"/>
          </w:tcPr>
          <w:p>
            <w:r>
              <w:t xml:space="preserve">JRI</w:t>
            </w:r>
          </w:p>
        </w:tc>
        <w:tc>
          <w:tcPr>
            <w:tcW w:type="dxa" w:w="3960"/>
          </w:tcPr>
          <w:p>
            <w:r>
              <w:t xml:space="preserve">Headline combined result</w:t>
            </w:r>
          </w:p>
        </w:tc>
      </w:tr>
      <w:tr>
        <w:tc>
          <w:tcPr>
            <w:tcW w:type="dxa" w:w="1800"/>
          </w:tcPr>
          <w:p>
            <w:r>
              <w:t xml:space="preserve">Confusion matrices</w:t>
            </w:r>
          </w:p>
        </w:tc>
        <w:tc>
          <w:tcPr>
            <w:tcW w:type="dxa" w:w="1620"/>
          </w:tcPr>
          <w:p>
            <w:r>
              <w:t xml:space="preserve">—</w:t>
            </w:r>
          </w:p>
        </w:tc>
        <w:tc>
          <w:tcPr>
            <w:tcW w:type="dxa" w:w="1620"/>
          </w:tcPr>
          <w:p>
            <w:r>
              <w:t xml:space="preserve">—</w:t>
            </w:r>
          </w:p>
        </w:tc>
        <w:tc>
          <w:tcPr>
            <w:tcW w:type="dxa" w:w="3960"/>
          </w:tcPr>
          <w:p>
            <w:r>
              <w:t xml:space="preserve">One per SNR level, baseline vs. proposed side by side</w:t>
            </w:r>
          </w:p>
        </w:tc>
      </w:tr>
      <w:tr>
        <w:tc>
          <w:tcPr>
            <w:tcW w:type="dxa" w:w="1800"/>
          </w:tcPr>
          <w:p>
            <w:r>
              <w:t xml:space="preserve">ROC/PR curves</w:t>
            </w:r>
          </w:p>
        </w:tc>
        <w:tc>
          <w:tcPr>
            <w:tcW w:type="dxa" w:w="1620"/>
          </w:tcPr>
          <w:p>
            <w:r>
              <w:t xml:space="preserve">FPR / Recall</w:t>
            </w:r>
          </w:p>
        </w:tc>
        <w:tc>
          <w:tcPr>
            <w:tcW w:type="dxa" w:w="1620"/>
          </w:tcPr>
          <w:p>
            <w:r>
              <w:t xml:space="preserve">TPR / Precision</w:t>
            </w:r>
          </w:p>
        </w:tc>
        <w:tc>
          <w:tcPr>
            <w:tcW w:type="dxa" w:w="3960"/>
          </w:tcPr>
          <w:p>
            <w:r>
              <w:t xml:space="preserve">Per class, at clean vs. heavy noise</w:t>
            </w:r>
          </w:p>
        </w:tc>
      </w:tr>
      <w:tr>
        <w:tc>
          <w:tcPr>
            <w:tcW w:type="dxa" w:w="1800"/>
          </w:tcPr>
          <w:p>
            <w:r>
              <w:t xml:space="preserve">Heatmap gallery</w:t>
            </w:r>
          </w:p>
        </w:tc>
        <w:tc>
          <w:tcPr>
            <w:tcW w:type="dxa" w:w="1620"/>
          </w:tcPr>
          <w:p>
            <w:r>
              <w:t xml:space="preserve">—</w:t>
            </w:r>
          </w:p>
        </w:tc>
        <w:tc>
          <w:tcPr>
            <w:tcW w:type="dxa" w:w="1620"/>
          </w:tcPr>
          <w:p>
            <w:r>
              <w:t xml:space="preserve">—</w:t>
            </w:r>
          </w:p>
        </w:tc>
        <w:tc>
          <w:tcPr>
            <w:tcW w:type="dxa" w:w="3960"/>
          </w:tcPr>
          <w:p>
            <w:r>
              <w:t xml:space="preserve">2–3 representative clips, clean vs. noisy Grad-CAM overlay, both models</w:t>
            </w:r>
          </w:p>
        </w:tc>
      </w:tr>
      <w:tr>
        <w:tc>
          <w:tcPr>
            <w:tcW w:type="dxa" w:w="1800"/>
          </w:tcPr>
          <w:p>
            <w:r>
              <w:t xml:space="preserve">Stability by class (violin/box plot)</w:t>
            </w:r>
          </w:p>
        </w:tc>
        <w:tc>
          <w:tcPr>
            <w:tcW w:type="dxa" w:w="1620"/>
          </w:tcPr>
          <w:p>
            <w:r>
              <w:t xml:space="preserve">Class</w:t>
            </w:r>
          </w:p>
        </w:tc>
        <w:tc>
          <w:tcPr>
            <w:tcW w:type="dxa" w:w="1620"/>
          </w:tcPr>
          <w:p>
            <w:r>
              <w:t xml:space="preserve">Stability score</w:t>
            </w:r>
          </w:p>
        </w:tc>
        <w:tc>
          <w:tcPr>
            <w:tcW w:type="dxa" w:w="3960"/>
          </w:tcPr>
          <w:p>
            <w:r>
              <w:t xml:space="preserve">Shows whether some classes' explanations are more fragile</w:t>
            </w:r>
          </w:p>
        </w:tc>
      </w:tr>
      <w:tr>
        <w:tc>
          <w:tcPr>
            <w:tcW w:type="dxa" w:w="1800"/>
          </w:tcPr>
          <w:p>
            <w:r>
              <w:t xml:space="preserve">Ablation bar chart</w:t>
            </w:r>
          </w:p>
        </w:tc>
        <w:tc>
          <w:tcPr>
            <w:tcW w:type="dxa" w:w="1620"/>
          </w:tcPr>
          <w:p>
            <w:r>
              <w:t xml:space="preserve">Component removed</w:t>
            </w:r>
          </w:p>
        </w:tc>
        <w:tc>
          <w:tcPr>
            <w:tcW w:type="dxa" w:w="1620"/>
          </w:tcPr>
          <w:p>
            <w:r>
              <w:t xml:space="preserve">F1 / JRI</w:t>
            </w:r>
          </w:p>
        </w:tc>
        <w:tc>
          <w:tcPr>
            <w:tcW w:type="dxa" w:w="3960"/>
          </w:tcPr>
          <w:p>
            <w:r>
              <w:t xml:space="preserve">Contribution of augmentation vs. enhancement vs. attention</w:t>
            </w:r>
          </w:p>
        </w:tc>
      </w:tr>
      <w:tr>
        <w:tc>
          <w:tcPr>
            <w:tcW w:type="dxa" w:w="1800"/>
          </w:tcPr>
          <w:p>
            <w:r>
              <w:t xml:space="preserve">Embedding drift (t-SNE/UMAP)</w:t>
            </w:r>
          </w:p>
        </w:tc>
        <w:tc>
          <w:tcPr>
            <w:tcW w:type="dxa" w:w="1620"/>
          </w:tcPr>
          <w:p>
            <w:r>
              <w:t xml:space="preserve">—</w:t>
            </w:r>
          </w:p>
        </w:tc>
        <w:tc>
          <w:tcPr>
            <w:tcW w:type="dxa" w:w="1620"/>
          </w:tcPr>
          <w:p>
            <w:r>
              <w:t xml:space="preserve">—</w:t>
            </w:r>
          </w:p>
        </w:tc>
        <w:tc>
          <w:tcPr>
            <w:tcW w:type="dxa" w:w="3960"/>
          </w:tcPr>
          <w:p>
            <w:r>
              <w:t xml:space="preserve">Visualizes how noise pushes clean-audio embeddings across decision boundaries</w:t>
            </w:r>
          </w:p>
        </w:tc>
      </w:tr>
      <w:tr>
        <w:tc>
          <w:tcPr>
            <w:tcW w:type="dxa" w:w="1800"/>
          </w:tcPr>
          <w:p>
            <w:r>
              <w:t xml:space="preserve">Latency/throughput bar chart</w:t>
            </w:r>
          </w:p>
        </w:tc>
        <w:tc>
          <w:tcPr>
            <w:tcW w:type="dxa" w:w="1620"/>
          </w:tcPr>
          <w:p>
            <w:r>
              <w:t xml:space="preserve">Model variant</w:t>
            </w:r>
          </w:p>
        </w:tc>
        <w:tc>
          <w:tcPr>
            <w:tcW w:type="dxa" w:w="1620"/>
          </w:tcPr>
          <w:p>
            <w:r>
              <w:t xml:space="preserve">ms/inference</w:t>
            </w:r>
          </w:p>
        </w:tc>
        <w:tc>
          <w:tcPr>
            <w:tcW w:type="dxa" w:w="3960"/>
          </w:tcPr>
          <w:p>
            <w:r>
              <w:t xml:space="preserve">Supports the "resource-limited setting" deployment claim</w:t>
            </w:r>
          </w:p>
        </w:tc>
      </w:tr>
    </w:tbl>
    <w:p>
      <w:pPr>
        <w:pStyle w:val="Heading2"/>
        <w:spacing w:after="120" w:before="280"/>
      </w:pPr>
      <w:r>
        <w:t xml:space="preserve">3.11 Validation protocol — for the research paper's claims</w:t>
      </w:r>
    </w:p>
    <w:p>
      <w:pPr>
        <w:pStyle w:val="ListParagraph"/>
        <w:numPr>
          <w:ilvl w:val="0"/>
          <w:numId w:val="4"/>
        </w:numPr>
        <w:spacing w:after="100"/>
      </w:pPr>
      <w:r>
        <w:t xml:space="preserve">Patient-independent k-fold (k=5) cross-validation, not a single train/test split — report mean ± std for every metric.</w:t>
      </w:r>
    </w:p>
    <w:p>
      <w:pPr>
        <w:pStyle w:val="ListParagraph"/>
        <w:numPr>
          <w:ilvl w:val="0"/>
          <w:numId w:val="4"/>
        </w:numPr>
        <w:spacing w:after="100"/>
      </w:pPr>
      <w:r>
        <w:t xml:space="preserve">Re-implement (at least a simplified version of) 1–2 baselines from your literature table (e.g., the ICU band-pass-filter approach) on your own data split, so your comparison numbers are apples-to-apples rather than copied from other papers' different datasets.</w:t>
      </w:r>
    </w:p>
    <w:p>
      <w:pPr>
        <w:pStyle w:val="ListParagraph"/>
        <w:numPr>
          <w:ilvl w:val="0"/>
          <w:numId w:val="4"/>
        </w:numPr>
        <w:spacing w:after="100"/>
      </w:pPr>
      <w:r>
        <w:rPr>
          <w:b/>
          <w:bCs/>
        </w:rPr>
        <w:t xml:space="preserve">External/cross-corpus validation</w:t>
      </w:r>
      <w:r>
        <w:t xml:space="preserve">: evaluate your trained model on a second public dataset without retraining, to directly test the generalization gap your literature review (Seidaliyeva et al.; Saky et al.) flags as a field-wide weakness.</w:t>
      </w:r>
    </w:p>
    <w:p>
      <w:pPr>
        <w:pStyle w:val="ListParagraph"/>
        <w:numPr>
          <w:ilvl w:val="0"/>
          <w:numId w:val="4"/>
        </w:numPr>
        <w:spacing w:after="100"/>
      </w:pPr>
      <w:r>
        <w:t xml:space="preserve">Ablation study isolating: (a) pretrained backbone vs. from-scratch, (b) SpecAugment/mixup on/off, (c) noise-aware training on/off, (d) each XAI method's relative stability.</w:t>
      </w:r>
    </w:p>
    <w:p>
      <w:pPr>
        <w:pStyle w:val="ListParagraph"/>
        <w:numPr>
          <w:ilvl w:val="0"/>
          <w:numId w:val="4"/>
        </w:numPr>
        <w:spacing w:after="100"/>
      </w:pPr>
      <w:r>
        <w:t xml:space="preserve">All headline numbers reported with statistical tests from 3.9, not point estimates alone.</w:t>
      </w:r>
    </w:p>
    <w:p>
      <w:pPr>
        <w:pStyle w:val="Heading2"/>
        <w:spacing w:after="120" w:before="280"/>
      </w:pPr>
      <w:r>
        <w:t xml:space="preserve">3.12 Validation protocol — for the prototype/dashboard</w:t>
      </w:r>
    </w:p>
    <w:p>
      <w:pPr>
        <w:pStyle w:val="ListParagraph"/>
        <w:numPr>
          <w:ilvl w:val="0"/>
          <w:numId w:val="5"/>
        </w:numPr>
        <w:spacing w:after="100"/>
      </w:pPr>
      <w:r>
        <w:t xml:space="preserve">Unit tests (</w:t>
      </w:r>
      <w:r>
        <w:rPr>
          <w:rFonts w:ascii="Courier New" w:cs="Courier New" w:eastAsia="Courier New" w:hAnsi="Courier New"/>
        </w:rPr>
        <w:t xml:space="preserve">pytest</w:t>
      </w:r>
      <w:r>
        <w:t xml:space="preserve">) for each of the 7 pipeline stages independently (quality-check accept/reject logic, denoiser output shape, feature extractor output shape, model output shape, explanation map shape).</w:t>
      </w:r>
    </w:p>
    <w:p>
      <w:pPr>
        <w:pStyle w:val="ListParagraph"/>
        <w:numPr>
          <w:ilvl w:val="0"/>
          <w:numId w:val="5"/>
        </w:numPr>
        <w:spacing w:after="100"/>
      </w:pPr>
      <w:r>
        <w:t xml:space="preserve">Integration test: full pipeline on a held-out clip end-to-end, asserting output schema (label, confidence, heatmap, JRI-style reliability flag) is always well-formed, including for edge cases — silence, clipped audio, multi-noise-source input.</w:t>
      </w:r>
    </w:p>
    <w:p>
      <w:pPr>
        <w:pStyle w:val="ListParagraph"/>
        <w:numPr>
          <w:ilvl w:val="0"/>
          <w:numId w:val="5"/>
        </w:numPr>
        <w:spacing w:after="100"/>
      </w:pPr>
      <w:r>
        <w:t xml:space="preserve">Latency/throughput benchmarking on CPU (relevant to your own "resource-limited settings" motivation) — report ms/inference and memory footprint.</w:t>
      </w:r>
    </w:p>
    <w:p>
      <w:pPr>
        <w:pStyle w:val="ListParagraph"/>
        <w:numPr>
          <w:ilvl w:val="0"/>
          <w:numId w:val="5"/>
        </w:numPr>
        <w:spacing w:after="100"/>
      </w:pPr>
      <w:r>
        <w:t xml:space="preserve">Reproducibility check: fixed random seeds, pinned dependency versions, documented environment — rerun the full pipeline once from a clean checkout to confirm identical (or statistically equivalent) results.</w:t>
      </w:r>
    </w:p>
    <w:p>
      <w:pPr>
        <w:pStyle w:val="ListParagraph"/>
        <w:numPr>
          <w:ilvl w:val="0"/>
          <w:numId w:val="5"/>
        </w:numPr>
        <w:spacing w:after="100"/>
      </w:pPr>
      <w:r>
        <w:t xml:space="preserve">Lightweight usability/heuristic evaluation with your mentor or a domain-adjacent reviewer (explicitly </w:t>
      </w:r>
      <w:r>
        <w:rPr>
          <w:b/>
          <w:bCs/>
        </w:rPr>
        <w:t xml:space="preserve">not</w:t>
      </w:r>
      <w:r>
        <w:t xml:space="preserve"> a clinical validation, consistent with your own scope table) — does the dashboard's confidence + heatmap + reliability flag actually communicate what it should to a non-ML reader?</w:t>
      </w:r>
    </w:p>
    <w:p>
      <w:pPr>
        <w:pBdr>
          <w:bottom w:val="single" w:color="999999" w:sz="6" w:space="4"/>
        </w:pBdr>
        <w:spacing w:after="240"/>
      </w:pPr>
    </w:p>
    <w:p>
      <w:pPr>
        <w:pStyle w:val="Heading1"/>
        <w:spacing w:after="160" w:before="360"/>
      </w:pPr>
      <w:r>
        <w:t xml:space="preserve">PART 4 — Strengthening the Paper for Conference-Level Review (Reviewer Defense)</w:t>
      </w:r>
    </w:p>
    <w:p>
      <w:pPr>
        <w:spacing w:after="160"/>
      </w:pPr>
      <w:r>
        <w:t xml:space="preserve">The plan above gets the paper to "submittable, defensible." Whether it clears review depends on pre-empting the specific objections a reviewer in this space will raise. Each subsection below names the objection and the concrete fix.</w:t>
      </w:r>
    </w:p>
    <w:p>
      <w:pPr>
        <w:pStyle w:val="Heading2"/>
        <w:spacing w:after="120" w:before="280"/>
      </w:pPr>
      <w:r>
        <w:t xml:space="preserve">4.1 The ICBHI / small-dataset critique</w:t>
      </w:r>
    </w:p>
    <w:p>
      <w:pPr>
        <w:pStyle w:val="ListParagraph"/>
        <w:numPr>
          <w:ilvl w:val="0"/>
          <w:numId w:val="2"/>
        </w:numPr>
        <w:spacing w:after="100"/>
      </w:pPr>
      <w:r>
        <w:rPr>
          <w:b/>
          <w:bCs/>
        </w:rPr>
        <w:t xml:space="preserve">Report per-device breakdown.</w:t>
      </w:r>
      <w:r>
        <w:t xml:space="preserve"> ICBHI has 4 different recording devices with known acoustic differences — report accuracy/F1 broken out by device, not just pooled. A reviewer who knows this dataset will ask for it; having it unprompted signals rigor.</w:t>
      </w:r>
    </w:p>
    <w:p>
      <w:pPr>
        <w:pStyle w:val="ListParagraph"/>
        <w:numPr>
          <w:ilvl w:val="0"/>
          <w:numId w:val="2"/>
        </w:numPr>
        <w:spacing w:after="100"/>
      </w:pPr>
      <w:r>
        <w:rPr>
          <w:b/>
          <w:bCs/>
        </w:rPr>
        <w:t xml:space="preserve">Make the second dataset do real work, not token work.</w:t>
      </w:r>
      <w:r>
        <w:t xml:space="preserve"> Don't just run HF_Lung_V1 as a footnote — report the full metric suite (F1, stability, JRI) on it, and discuss the drop honestly. Showing exactly how much generalization is lost, and why, is stronger than hiding it.</w:t>
      </w:r>
    </w:p>
    <w:p>
      <w:pPr>
        <w:pStyle w:val="ListParagraph"/>
        <w:numPr>
          <w:ilvl w:val="0"/>
          <w:numId w:val="2"/>
        </w:numPr>
        <w:spacing w:after="100"/>
      </w:pPr>
      <w:r>
        <w:rPr>
          <w:b/>
          <w:bCs/>
        </w:rPr>
        <w:t xml:space="preserve">State dataset size limitations explicitly in Limitations</w:t>
      </w:r>
      <w:r>
        <w:t xml:space="preserve">, with a concrete number (e.g., "N patients, N recordings") rather than a vague caveat — specificity reads as honesty, vagueness reads as evasion.</w:t>
      </w:r>
    </w:p>
    <w:p>
      <w:pPr>
        <w:pStyle w:val="Heading2"/>
        <w:spacing w:after="120" w:before="280"/>
      </w:pPr>
      <w:r>
        <w:t xml:space="preserve">4.2 The "no clinical validation" critique</w:t>
      </w:r>
    </w:p>
    <w:p>
      <w:pPr>
        <w:pStyle w:val="ListParagraph"/>
        <w:numPr>
          <w:ilvl w:val="0"/>
          <w:numId w:val="2"/>
        </w:numPr>
        <w:spacing w:after="100"/>
      </w:pPr>
      <w:r>
        <w:t xml:space="preserve">Position this explicitly as a </w:t>
      </w:r>
      <w:r>
        <w:rPr>
          <w:b/>
          <w:bCs/>
        </w:rPr>
        <w:t xml:space="preserve">methods/engineering paper about reliability measurement</w:t>
      </w:r>
      <w:r>
        <w:t xml:space="preserve">, not a clinical efficacy paper. Say so in the first paragraph of the Introduction, not buried in Limitations.</w:t>
      </w:r>
    </w:p>
    <w:p>
      <w:pPr>
        <w:pStyle w:val="ListParagraph"/>
        <w:numPr>
          <w:ilvl w:val="0"/>
          <w:numId w:val="2"/>
        </w:numPr>
        <w:spacing w:after="100"/>
      </w:pPr>
      <w:r>
        <w:t xml:space="preserve">Strip clinical-outcome language from the abstract ("improves diagnosis") and replace with technical claims ("improves robustness and explanation stability under noise, as measured by JRI").</w:t>
      </w:r>
    </w:p>
    <w:p>
      <w:pPr>
        <w:pStyle w:val="ListParagraph"/>
        <w:numPr>
          <w:ilvl w:val="0"/>
          <w:numId w:val="2"/>
        </w:numPr>
        <w:spacing w:after="100"/>
      </w:pPr>
      <w:r>
        <w:t xml:space="preserve">Add one line in Future Work naming the exact next step (e.g., "prospective evaluation with clinician-rated trust of explanations") — this shows you know the boundary rather than having missed it.</w:t>
      </w:r>
    </w:p>
    <w:p>
      <w:pPr>
        <w:pStyle w:val="Heading2"/>
        <w:spacing w:after="120" w:before="280"/>
      </w:pPr>
      <w:r>
        <w:t xml:space="preserve">4.3 The "JRI is just a combined metric" critique — the one worth the most effort</w:t>
      </w:r>
    </w:p>
    <w:p>
      <w:pPr>
        <w:spacing w:after="160"/>
      </w:pPr>
      <w:r>
        <w:t xml:space="preserve">This is the best opportunity to turn a weakness into a strength, because it is fixable with one added experiment rather than just better wording.</w:t>
      </w:r>
    </w:p>
    <w:p>
      <w:pPr>
        <w:pStyle w:val="ListParagraph"/>
        <w:numPr>
          <w:ilvl w:val="0"/>
          <w:numId w:val="2"/>
        </w:numPr>
        <w:spacing w:after="100"/>
      </w:pPr>
      <w:r>
        <w:rPr>
          <w:b/>
          <w:bCs/>
        </w:rPr>
        <w:t xml:space="preserve">Add a decoupling case study.</w:t>
      </w:r>
      <w:r>
        <w:t xml:space="preserve"> Find (or construct) test cases where robustness is high but stability is low, and vice versa. Show that a naive average of R and S masks the failure while JRI (harmonic mean) penalizes it correctly — a direct, visual argument for why the combination is a real contribution, not just arithmetic.</w:t>
      </w:r>
    </w:p>
    <w:p>
      <w:pPr>
        <w:pStyle w:val="ListParagraph"/>
        <w:numPr>
          <w:ilvl w:val="0"/>
          <w:numId w:val="2"/>
        </w:numPr>
        <w:spacing w:after="100"/>
      </w:pPr>
      <w:r>
        <w:rPr>
          <w:b/>
          <w:bCs/>
        </w:rPr>
        <w:t xml:space="preserve">Compare JRI against the naive alternative explicitly</w:t>
      </w:r>
      <w:r>
        <w:t xml:space="preserve"> — add one row/column to the ablation table: "F1 alone," "Stability alone," "mean(R,S)," "JRI (ours)." Showing JRI tracks the true failure mode better than a simple average is the strongest defense.</w:t>
      </w:r>
    </w:p>
    <w:p>
      <w:pPr>
        <w:pStyle w:val="ListParagraph"/>
        <w:numPr>
          <w:ilvl w:val="0"/>
          <w:numId w:val="2"/>
        </w:numPr>
        <w:spacing w:after="100"/>
      </w:pPr>
      <w:r>
        <w:rPr>
          <w:b/>
          <w:bCs/>
        </w:rPr>
        <w:t xml:space="preserve">If feasible, get outside signal on validity</w:t>
      </w:r>
      <w:r>
        <w:t xml:space="preserve"> — even a small pilot where 2–3 people (mentor, classmates) rate "would I trust this output" on a handful of clips, and show it correlates with JRI better than with F1 alone. Optional, but strengthens the construct-validity argument, since JRI's legitimacy currently rests on definition alone.</w:t>
      </w:r>
    </w:p>
    <w:p>
      <w:pPr>
        <w:pStyle w:val="Heading2"/>
        <w:spacing w:after="120" w:before="280"/>
      </w:pPr>
      <w:r>
        <w:t xml:space="preserve">4.4 The synthetic-vs-real-noise gap</w:t>
      </w:r>
    </w:p>
    <w:p>
      <w:pPr>
        <w:pStyle w:val="ListParagraph"/>
        <w:numPr>
          <w:ilvl w:val="0"/>
          <w:numId w:val="2"/>
        </w:numPr>
        <w:spacing w:after="100"/>
      </w:pPr>
      <w:r>
        <w:rPr>
          <w:b/>
          <w:bCs/>
        </w:rPr>
        <w:t xml:space="preserve">Scale up real noise beyond "2–3 clips."</w:t>
      </w:r>
      <w:r>
        <w:t xml:space="preserve"> Even 15–20 minutes of real ambient clinic/hospital recordings (freesound, Zenodo, or self-recorded) lets you report a real-noise test condition alongside the synthetic SNR sweep — this pre-empts the most common reviewer objection to synthetic-noise robustness claims.</w:t>
      </w:r>
    </w:p>
    <w:p>
      <w:pPr>
        <w:pStyle w:val="ListParagraph"/>
        <w:numPr>
          <w:ilvl w:val="0"/>
          <w:numId w:val="2"/>
        </w:numPr>
        <w:spacing w:after="100"/>
      </w:pPr>
      <w:r>
        <w:rPr>
          <w:b/>
          <w:bCs/>
        </w:rPr>
        <w:t xml:space="preserve">Report the two conditions separately, not blended</w:t>
      </w:r>
      <w:r>
        <w:t xml:space="preserve"> — "robust to synthetic noise sweep AND holds up (with X% smaller margin) on N minutes of real ambient recordings" is far more defensible than a single blended number.</w:t>
      </w:r>
    </w:p>
    <w:p>
      <w:pPr>
        <w:pStyle w:val="Heading2"/>
        <w:spacing w:after="120" w:before="280"/>
      </w:pPr>
      <w:r>
        <w:t xml:space="preserve">4.5 General moves that raise the whole paper's ceiling</w:t>
      </w:r>
    </w:p>
    <w:p>
      <w:pPr>
        <w:pStyle w:val="ListParagraph"/>
        <w:numPr>
          <w:ilvl w:val="0"/>
          <w:numId w:val="2"/>
        </w:numPr>
        <w:spacing w:after="100"/>
      </w:pPr>
      <w:r>
        <w:rPr>
          <w:b/>
          <w:bCs/>
        </w:rPr>
        <w:t xml:space="preserve">Pick the target venue now, before writing Results</w:t>
      </w:r>
      <w:r>
        <w:t xml:space="preserve">, and skim 3–4 recent accepted papers there — this sets the expected rigor bar and lets you match its structure/length instead of guessing. Candidate venues: IEEE EMBC, ICASSP (health/audio track), IEEE JBHI, Biomedical Signal Processing and Control, or a regional/national CS research symposium.</w:t>
      </w:r>
    </w:p>
    <w:p>
      <w:pPr>
        <w:pStyle w:val="ListParagraph"/>
        <w:numPr>
          <w:ilvl w:val="0"/>
          <w:numId w:val="2"/>
        </w:numPr>
        <w:spacing w:after="100"/>
      </w:pPr>
      <w:r>
        <w:rPr>
          <w:b/>
          <w:bCs/>
        </w:rPr>
        <w:t xml:space="preserve">Freeze headline numbers before writing the abstract</w:t>
      </w:r>
      <w:r>
        <w:t xml:space="preserve"> — reviewers notice when abstract claims and the Results section don't quite match.</w:t>
      </w:r>
    </w:p>
    <w:p>
      <w:pPr>
        <w:pStyle w:val="ListParagraph"/>
        <w:numPr>
          <w:ilvl w:val="0"/>
          <w:numId w:val="2"/>
        </w:numPr>
        <w:spacing w:after="100"/>
      </w:pPr>
      <w:r>
        <w:rPr>
          <w:b/>
          <w:bCs/>
        </w:rPr>
        <w:t xml:space="preserve">Get one outside read before submission</w:t>
      </w:r>
      <w:r>
        <w:t xml:space="preserve"> — a mentor or peer who is not on the project, specifically asked to attack the JRI framing and the dataset limitations, since those are the two softest spots.</w:t>
      </w:r>
    </w:p>
    <w:p>
      <w:pPr>
        <w:pBdr>
          <w:bottom w:val="single" w:color="999999" w:sz="6" w:space="4"/>
        </w:pBdr>
        <w:spacing w:after="240"/>
      </w:pPr>
    </w:p>
    <w:p>
      <w:pPr>
        <w:pStyle w:val="Heading1"/>
        <w:spacing w:after="160" w:before="360"/>
      </w:pPr>
      <w:r>
        <w:t xml:space="preserve">How this maps back to your synopsis's own claims</w:t>
      </w:r>
    </w:p>
    <w:p>
      <w:pPr>
        <w:pStyle w:val="ListParagraph"/>
        <w:numPr>
          <w:ilvl w:val="0"/>
          <w:numId w:val="2"/>
        </w:numPr>
        <w:spacing w:after="100"/>
      </w:pPr>
      <w:r>
        <w:t xml:space="preserve">Objective 3 ("evaluate stability and faithfulness") → Sections 3.6–3.8 give you the exact metrics; without them this objective stays unmeasured.</w:t>
      </w:r>
    </w:p>
    <w:p>
      <w:pPr>
        <w:pStyle w:val="ListParagraph"/>
        <w:numPr>
          <w:ilvl w:val="0"/>
          <w:numId w:val="2"/>
        </w:numPr>
        <w:spacing w:after="100"/>
      </w:pPr>
      <w:r>
        <w:t xml:space="preserve">Objective 4 ("confidence, explanation stability, faithfulness") → Section 3.5 + dashboard integration.</w:t>
      </w:r>
    </w:p>
    <w:p>
      <w:pPr>
        <w:pStyle w:val="ListParagraph"/>
        <w:numPr>
          <w:ilvl w:val="0"/>
          <w:numId w:val="2"/>
        </w:numPr>
        <w:spacing w:after="100"/>
      </w:pPr>
      <w:r>
        <w:t xml:space="preserve">The stated contribution ("robustness and explainability as one connected reliability problem") → Section 3.8's JRI is the concrete mathematical object that makes that sentence literally true rather than aspirational.</w:t>
      </w:r>
    </w:p>
    <w:p>
      <w:pPr>
        <w:pStyle w:val="ListParagraph"/>
        <w:numPr>
          <w:ilvl w:val="0"/>
          <w:numId w:val="2"/>
        </w:numPr>
        <w:spacing w:after="100"/>
      </w:pPr>
      <w:r>
        <w:t xml:space="preserve">Your own literature-review gap (external validation, patient-independent splits) → Section 3.11 points 1 and 3 directly address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2026-09-20T18:26:06.644Z</dcterms:created>
  <dcterms:modified xsi:type="dcterms:W3CDTF">2026-09-20T18:26:06.653Z</dcterms:modified>
</cp:coreProperties>
</file>

<file path=docProps/custom.xml><?xml version="1.0" encoding="utf-8"?>
<Properties xmlns="http://schemas.openxmlformats.org/officeDocument/2006/custom-properties" xmlns:vt="http://schemas.openxmlformats.org/officeDocument/2006/docPropsVTypes"/>
</file>