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F2B48"/>
          <w:sz w:val="26"/>
        </w:rPr>
        <w:t>BHARATI VIDYAPEETH’S COLLEGE OF ENGINEERING, NEW DELHI</w:t>
        <w:br/>
      </w:r>
      <w:r>
        <w:rPr>
          <w:b/>
          <w:sz w:val="22"/>
        </w:rPr>
        <w:t>Department of CSE - AIML</w:t>
        <w:br/>
      </w:r>
      <w:r>
        <w:rPr>
          <w:b/>
          <w:sz w:val="24"/>
        </w:rPr>
        <w:t>MICRO PROJECT PROGRESS REPORT</w:t>
      </w:r>
    </w:p>
    <w:p>
      <w:pPr>
        <w:spacing w:before="160" w:after="240"/>
        <w:jc w:val="center"/>
      </w:pPr>
      <w:r>
        <w:rPr>
          <w:b/>
          <w:sz w:val="21"/>
        </w:rPr>
        <w:t>Period of Report from 27/08/2026 to 28/09/2026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440"/>
            <w:shd w:fill="E9F2F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sz w:val="19"/>
              </w:rPr>
              <w:t>Sr. No.</w:t>
            </w:r>
          </w:p>
        </w:tc>
        <w:tc>
          <w:tcPr>
            <w:tcW w:type="dxa" w:w="4608"/>
            <w:shd w:fill="E9F2F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sz w:val="19"/>
              </w:rPr>
              <w:t>Student Name</w:t>
            </w:r>
          </w:p>
        </w:tc>
        <w:tc>
          <w:tcPr>
            <w:tcW w:type="dxa" w:w="3600"/>
            <w:shd w:fill="E9F2F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sz w:val="19"/>
              </w:rPr>
              <w:t>Enrollment Number</w:t>
            </w:r>
          </w:p>
        </w:tc>
      </w:tr>
      <w:tr>
        <w:tc>
          <w:tcPr>
            <w:tcW w:type="dxa" w:w="14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1.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Kaashvi</w:t>
            </w:r>
          </w:p>
        </w:tc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01411515624</w:t>
            </w:r>
          </w:p>
        </w:tc>
      </w:tr>
      <w:tr>
        <w:tc>
          <w:tcPr>
            <w:tcW w:type="dxa" w:w="14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2.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Tanvi</w:t>
            </w:r>
          </w:p>
        </w:tc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01611515624</w:t>
            </w:r>
          </w:p>
        </w:tc>
      </w:tr>
      <w:tr>
        <w:tc>
          <w:tcPr>
            <w:tcW w:type="dxa" w:w="14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3.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Khushi Choudhary</w:t>
            </w:r>
          </w:p>
        </w:tc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01911515624</w:t>
            </w:r>
          </w:p>
        </w:tc>
      </w:tr>
    </w:tbl>
    <w:p>
      <w:pPr>
        <w:spacing w:before="400" w:after="120"/>
        <w:jc w:val="center"/>
      </w:pPr>
      <w:r>
        <w:rPr>
          <w:b/>
          <w:sz w:val="22"/>
        </w:rPr>
        <w:t>Attendance and Feedback By Mentor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584"/>
            <w:shd w:fill="E9F2F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Enrollment no.</w:t>
            </w:r>
          </w:p>
        </w:tc>
        <w:tc>
          <w:tcPr>
            <w:tcW w:type="dxa" w:w="2592"/>
            <w:shd w:fill="E9F2F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Student Name</w:t>
            </w:r>
          </w:p>
        </w:tc>
        <w:tc>
          <w:tcPr>
            <w:tcW w:type="dxa" w:w="1872"/>
            <w:shd w:fill="E9F2F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Attendance out of 5</w:t>
            </w:r>
          </w:p>
        </w:tc>
        <w:tc>
          <w:tcPr>
            <w:tcW w:type="dxa" w:w="2304"/>
            <w:shd w:fill="E9F2F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Feedback/Suggestion</w:t>
            </w:r>
          </w:p>
        </w:tc>
        <w:tc>
          <w:tcPr>
            <w:tcW w:type="dxa" w:w="1296"/>
            <w:shd w:fill="E9F2F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Signature</w:t>
            </w:r>
          </w:p>
        </w:tc>
      </w:tr>
      <w:tr>
        <w:tc>
          <w:tcPr>
            <w:tcW w:type="dxa" w:w="1584"/>
            <w:tcMar>
              <w:top w:w="150" w:type="dxa"/>
              <w:bottom w:w="1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592"/>
            <w:tcMar>
              <w:top w:w="150" w:type="dxa"/>
              <w:bottom w:w="15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Kaashvi</w:t>
            </w:r>
          </w:p>
        </w:tc>
        <w:tc>
          <w:tcPr>
            <w:tcW w:type="dxa" w:w="1872"/>
            <w:tcMar>
              <w:top w:w="150" w:type="dxa"/>
              <w:bottom w:w="150" w:type="dxa"/>
              <w:left w:w="100" w:type="dxa"/>
              <w:right w:w="100" w:type="dxa"/>
            </w:tcMar>
          </w:tcPr>
          <w:p/>
        </w:tc>
        <w:tc>
          <w:tcPr>
            <w:tcW w:type="dxa" w:w="2304"/>
            <w:tcMar>
              <w:top w:w="150" w:type="dxa"/>
              <w:bottom w:w="150" w:type="dxa"/>
              <w:left w:w="100" w:type="dxa"/>
              <w:right w:w="100" w:type="dxa"/>
            </w:tcMar>
          </w:tcPr>
          <w:p/>
        </w:tc>
        <w:tc>
          <w:tcPr>
            <w:tcW w:type="dxa" w:w="1296"/>
            <w:tcMar>
              <w:top w:w="150" w:type="dxa"/>
              <w:bottom w:w="150" w:type="dxa"/>
              <w:left w:w="100" w:type="dxa"/>
              <w:right w:w="100" w:type="dxa"/>
            </w:tcMar>
          </w:tcPr>
          <w:p/>
        </w:tc>
      </w:tr>
      <w:tr>
        <w:tc>
          <w:tcPr>
            <w:tcW w:type="dxa" w:w="1584"/>
            <w:tcMar>
              <w:top w:w="150" w:type="dxa"/>
              <w:bottom w:w="1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592"/>
            <w:tcMar>
              <w:top w:w="150" w:type="dxa"/>
              <w:bottom w:w="15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Tanvi</w:t>
            </w:r>
          </w:p>
        </w:tc>
        <w:tc>
          <w:tcPr>
            <w:tcW w:type="dxa" w:w="1872"/>
            <w:tcMar>
              <w:top w:w="150" w:type="dxa"/>
              <w:bottom w:w="150" w:type="dxa"/>
              <w:left w:w="100" w:type="dxa"/>
              <w:right w:w="100" w:type="dxa"/>
            </w:tcMar>
          </w:tcPr>
          <w:p/>
        </w:tc>
        <w:tc>
          <w:tcPr>
            <w:tcW w:type="dxa" w:w="2304"/>
            <w:tcMar>
              <w:top w:w="150" w:type="dxa"/>
              <w:bottom w:w="150" w:type="dxa"/>
              <w:left w:w="100" w:type="dxa"/>
              <w:right w:w="100" w:type="dxa"/>
            </w:tcMar>
          </w:tcPr>
          <w:p/>
        </w:tc>
        <w:tc>
          <w:tcPr>
            <w:tcW w:type="dxa" w:w="1296"/>
            <w:tcMar>
              <w:top w:w="150" w:type="dxa"/>
              <w:bottom w:w="150" w:type="dxa"/>
              <w:left w:w="100" w:type="dxa"/>
              <w:right w:w="100" w:type="dxa"/>
            </w:tcMar>
          </w:tcPr>
          <w:p/>
        </w:tc>
      </w:tr>
      <w:tr>
        <w:tc>
          <w:tcPr>
            <w:tcW w:type="dxa" w:w="1584"/>
            <w:tcMar>
              <w:top w:w="150" w:type="dxa"/>
              <w:bottom w:w="1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592"/>
            <w:tcMar>
              <w:top w:w="150" w:type="dxa"/>
              <w:bottom w:w="15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Khushi Choudhary</w:t>
            </w:r>
          </w:p>
        </w:tc>
        <w:tc>
          <w:tcPr>
            <w:tcW w:type="dxa" w:w="1872"/>
            <w:tcMar>
              <w:top w:w="150" w:type="dxa"/>
              <w:bottom w:w="150" w:type="dxa"/>
              <w:left w:w="100" w:type="dxa"/>
              <w:right w:w="100" w:type="dxa"/>
            </w:tcMar>
          </w:tcPr>
          <w:p/>
        </w:tc>
        <w:tc>
          <w:tcPr>
            <w:tcW w:type="dxa" w:w="2304"/>
            <w:tcMar>
              <w:top w:w="150" w:type="dxa"/>
              <w:bottom w:w="150" w:type="dxa"/>
              <w:left w:w="100" w:type="dxa"/>
              <w:right w:w="100" w:type="dxa"/>
            </w:tcMar>
          </w:tcPr>
          <w:p/>
        </w:tc>
        <w:tc>
          <w:tcPr>
            <w:tcW w:type="dxa" w:w="1296"/>
            <w:tcMar>
              <w:top w:w="150" w:type="dxa"/>
              <w:bottom w:w="150" w:type="dxa"/>
              <w:left w:w="100" w:type="dxa"/>
              <w:right w:w="100" w:type="dxa"/>
            </w:tcMar>
          </w:tcPr>
          <w:p/>
        </w:tc>
      </w:tr>
    </w:tbl>
    <w:p>
      <w:r>
        <w:br w:type="page"/>
      </w:r>
    </w:p>
    <w:p>
      <w:pPr>
        <w:spacing w:after="60"/>
      </w:pPr>
      <w:r>
        <w:rPr>
          <w:b/>
          <w:sz w:val="20"/>
        </w:rPr>
        <w:t xml:space="preserve">Mentor Name: </w:t>
      </w:r>
      <w:r>
        <w:rPr>
          <w:sz w:val="20"/>
        </w:rPr>
        <w:t>Dr. Kavita Bhatt</w:t>
        <w:br/>
      </w:r>
      <w:r>
        <w:rPr>
          <w:b/>
          <w:sz w:val="20"/>
        </w:rPr>
        <w:t xml:space="preserve">Approved Project Topic: </w:t>
      </w:r>
      <w:r>
        <w:rPr>
          <w:sz w:val="20"/>
        </w:rPr>
        <w:t>AI-Based Respiratory Sound Screening: A Robustness-Oriented Pipeline for Noise-Aware Classification and Explainability Validation</w:t>
      </w:r>
    </w:p>
    <w:p>
      <w:pPr>
        <w:spacing w:before="160" w:after="80"/>
      </w:pPr>
      <w:r>
        <w:rPr>
          <w:b/>
          <w:sz w:val="21"/>
        </w:rPr>
        <w:t>WORK DONE DURING THE PERIOD:</w:t>
      </w:r>
    </w:p>
    <w:p>
      <w:pPr>
        <w:spacing w:before="80" w:after="40"/>
      </w:pPr>
      <w:r>
        <w:rPr>
          <w:b/>
          <w:sz w:val="19"/>
        </w:rPr>
        <w:t>Data Preparation and Auditing:</w:t>
      </w:r>
    </w:p>
    <w:p>
      <w:pPr>
        <w:pStyle w:val="ListBullet"/>
        <w:spacing w:after="40"/>
      </w:pPr>
      <w:r>
        <w:rPr>
          <w:sz w:val="17"/>
        </w:rPr>
        <w:t>Curated and integrated the complete official ICBHI 2017 Respiratory Sound Database (~2.0 GB, 920 multi-channel stethoscope recordings, 6,898 annotated respiratory cycles).</w:t>
      </w:r>
    </w:p>
    <w:p>
      <w:pPr>
        <w:pStyle w:val="ListBullet"/>
        <w:spacing w:after="40"/>
      </w:pPr>
      <w:r>
        <w:rPr>
          <w:sz w:val="17"/>
        </w:rPr>
        <w:t>Enforced strict Patient-Independent GroupKFold cross-validation (5,401 train / 1,497 val) to completely eliminate clinical data leakage across splits.</w:t>
      </w:r>
    </w:p>
    <w:p>
      <w:pPr>
        <w:pStyle w:val="ListBullet"/>
        <w:spacing w:after="40"/>
      </w:pPr>
      <w:r>
        <w:rPr>
          <w:sz w:val="17"/>
        </w:rPr>
        <w:t>Implemented standardized audio preprocessing: mono conversion, 16 kHz resampling, and 128-band Log-Mel Spectrogram extraction (STFT window=1024, hop=512) emphasizing vesicular and adventitious frequencies (50–8000 Hz):</w:t>
      </w:r>
    </w:p>
    <w:p>
      <w:pPr>
        <w:spacing w:before="80" w:after="40"/>
      </w:pPr>
      <w:r>
        <w:rPr>
          <w:b/>
          <w:sz w:val="19"/>
        </w:rPr>
        <w:t>Model Architecture &amp; Imbalance Optimization:</w:t>
      </w:r>
    </w:p>
    <w:p>
      <w:pPr>
        <w:pStyle w:val="ListBullet"/>
        <w:spacing w:after="40"/>
      </w:pPr>
      <w:r>
        <w:rPr>
          <w:sz w:val="17"/>
        </w:rPr>
        <w:t>Engineered a 4-stage convolutional backbone with Temporal Attention Pooling, dynamically weighting salient 10–20 ms crackle transients rather than diluting bursts via uniform global pooling:</w:t>
      </w:r>
    </w:p>
    <w:p>
      <w:pPr>
        <w:pStyle w:val="ListBullet"/>
        <w:spacing w:after="40"/>
      </w:pPr>
      <w:r>
        <w:rPr>
          <w:sz w:val="17"/>
        </w:rPr>
        <w:t>Trained using SpecAugment (time &amp; frequency masking) combined with Focal Loss (gamma=2.0) weighted by inverse class frequency to handle extreme class imbalance (Normal: 54%, Crackle: 33%, Wheeze: 8%, Both: 4%):</w:t>
      </w:r>
    </w:p>
    <w:p>
      <w:pPr>
        <w:spacing w:after="40"/>
        <w:jc w:val="center"/>
      </w:pPr>
      <w:r>
        <w:rPr>
          <w:b/>
          <w:color w:val="1E466E"/>
          <w:sz w:val="16"/>
        </w:rPr>
        <w:t>FL(pt) = -alpha * (1 - pt)^gamma * log(pt),     alpha_t = Softmax(W2 * tanh(W1 * ht))</w:t>
      </w:r>
    </w:p>
    <w:p>
      <w:pPr>
        <w:spacing w:before="80" w:after="40"/>
      </w:pPr>
      <w:r>
        <w:rPr>
          <w:b/>
          <w:sz w:val="19"/>
        </w:rPr>
        <w:t>Dual Explainability (XAI) &amp; Faithfulness Verification:</w:t>
      </w:r>
    </w:p>
    <w:p>
      <w:pPr>
        <w:pStyle w:val="ListBullet"/>
        <w:spacing w:after="40"/>
      </w:pPr>
      <w:r>
        <w:rPr>
          <w:sz w:val="17"/>
        </w:rPr>
        <w:t>Integrated coarse spatial localization via Grad-CAM on penultimate feature activations alongside fine-grained pixel-level attributions via SHAP GradientExplainer.</w:t>
      </w:r>
    </w:p>
    <w:p>
      <w:pPr>
        <w:pStyle w:val="ListBullet"/>
        <w:spacing w:after="40"/>
      </w:pPr>
      <w:r>
        <w:rPr>
          <w:sz w:val="17"/>
        </w:rPr>
        <w:t>Engineered frequency-band attribution mapping decomposing explanations into clinical bands (Low: 50–500 Hz, Mid: 500–2 kHz, High: 2–8 kHz) aligned with pulmonology diagnostic criteria.</w:t>
      </w:r>
    </w:p>
    <w:p>
      <w:pPr>
        <w:pStyle w:val="ListBullet"/>
        <w:spacing w:after="40"/>
      </w:pPr>
      <w:r>
        <w:rPr>
          <w:sz w:val="17"/>
        </w:rPr>
        <w:t>Mathematically evaluated explanation faithfulness via Insertion AUC, Deletion AUC, and Area Over Perturbation Curve (AOPC).</w:t>
      </w:r>
    </w:p>
    <w:p>
      <w:pPr>
        <w:spacing w:before="80" w:after="40"/>
      </w:pPr>
      <w:r>
        <w:rPr>
          <w:b/>
          <w:sz w:val="19"/>
        </w:rPr>
        <w:t>Robustness &amp; Joint Reliability Index (JRI):</w:t>
      </w:r>
    </w:p>
    <w:p>
      <w:pPr>
        <w:pStyle w:val="ListBullet"/>
        <w:spacing w:after="40"/>
      </w:pPr>
      <w:r>
        <w:rPr>
          <w:sz w:val="17"/>
        </w:rPr>
        <w:t>Designed an automated SNR noise injection sweep (Clean down to 0 dB) and explanation structural stability scoring (SSIM).</w:t>
      </w:r>
    </w:p>
    <w:p>
      <w:pPr>
        <w:pStyle w:val="ListBullet"/>
        <w:spacing w:after="40"/>
      </w:pPr>
      <w:r>
        <w:rPr>
          <w:sz w:val="17"/>
        </w:rPr>
        <w:t>Formulated the Joint Reliability Index as the harmonic mean of predictive robustness (R) and explanation stability (S): JRI = (2 * R * S) / (R + S), penalizing decoupled models that guess correctly from noise artifacts.</w:t>
      </w:r>
    </w:p>
    <w:p>
      <w:pPr>
        <w:spacing w:before="80" w:after="40"/>
      </w:pPr>
      <w:r>
        <w:rPr>
          <w:b/>
          <w:sz w:val="19"/>
        </w:rPr>
        <w:t>Clinical Dashboard Prototype:</w:t>
      </w:r>
    </w:p>
    <w:p>
      <w:pPr>
        <w:pStyle w:val="ListBullet"/>
        <w:spacing w:after="40"/>
      </w:pPr>
      <w:r>
        <w:rPr>
          <w:sz w:val="17"/>
        </w:rPr>
        <w:t>Deployed an interactive 4-tab Streamlit diagnostic system (Audio Analysis, Dual XAI Overlays, Robustness Sweep, Model Performance) with pre-loaded weights for instant reproduction and a 104/104 passing unit test suite.</w:t>
      </w:r>
    </w:p>
    <w:p>
      <w:pPr>
        <w:spacing w:before="160" w:after="80"/>
      </w:pPr>
      <w:r>
        <w:rPr>
          <w:b/>
          <w:sz w:val="20"/>
        </w:rPr>
        <w:t>STATUS / STAGE OF THE PROJECT: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01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ess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1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60"/>
      </w:pPr>
      <w:r>
        <w:rPr>
          <w:b/>
          <w:sz w:val="21"/>
        </w:rPr>
        <w:t>NEXT PHASE: IMPLEMENTATION AND EXPERIMENTATION</w:t>
      </w:r>
    </w:p>
    <w:p>
      <w:pPr>
        <w:spacing w:after="80"/>
      </w:pPr>
      <w:r>
        <w:rPr>
          <w:sz w:val="18"/>
        </w:rPr>
        <w:t>The next phase of the project will focus on advanced experimental validation beyond the baseline:</w:t>
      </w:r>
    </w:p>
    <w:p>
      <w:pPr>
        <w:spacing w:after="60"/>
      </w:pPr>
      <w:r>
        <w:rPr>
          <w:b/>
          <w:sz w:val="18"/>
        </w:rPr>
        <w:t xml:space="preserve">1. Advanced Audio Backbones — </w:t>
      </w:r>
      <w:r>
        <w:rPr>
          <w:sz w:val="18"/>
        </w:rPr>
        <w:t>benchmarking self-supervised foundation audio representations (AST, PaSST, PANNs CNN14) to enhance feature discrimination on underrepresented classes (Wheeze, Both).</w:t>
      </w:r>
    </w:p>
    <w:p>
      <w:pPr>
        <w:spacing w:after="60"/>
      </w:pPr>
      <w:r>
        <w:rPr>
          <w:b/>
          <w:sz w:val="18"/>
        </w:rPr>
        <w:t xml:space="preserve">2. Supervised Contrastive Learning (SupCon) — </w:t>
      </w:r>
      <w:r>
        <w:rPr>
          <w:sz w:val="18"/>
        </w:rPr>
        <w:t>incorporating contrastive loss formulations on acoustic embeddings to improve topological separation between subtle adventitious sounds and baseline respiration.</w:t>
      </w:r>
    </w:p>
    <w:p>
      <w:pPr>
        <w:spacing w:after="60"/>
      </w:pPr>
      <w:r>
        <w:rPr>
          <w:b/>
          <w:sz w:val="18"/>
        </w:rPr>
        <w:t xml:space="preserve">3. Noise-Aware Multi-SNR Training — </w:t>
      </w:r>
      <w:r>
        <w:rPr>
          <w:sz w:val="18"/>
        </w:rPr>
        <w:t>training a systematic model grid with dynamic on-the-fly SNR injection to demonstrate measurable empirical improvements in the Joint Reliability Index (JRI).</w:t>
      </w:r>
    </w:p>
    <w:p>
      <w:pPr>
        <w:spacing w:after="60"/>
      </w:pPr>
      <w:r>
        <w:rPr>
          <w:b/>
          <w:sz w:val="18"/>
        </w:rPr>
        <w:t xml:space="preserve">4. Real Clinical Noise Injection — </w:t>
      </w:r>
      <w:r>
        <w:rPr>
          <w:sz w:val="18"/>
        </w:rPr>
        <w:t>evaluating non-stationary hospital soundscapes (ICU monitors, digital stethoscope friction, ambient speech) from the ESC-50 and FreeSound corpora.</w:t>
      </w:r>
    </w:p>
    <w:p>
      <w:pPr>
        <w:spacing w:after="60"/>
      </w:pPr>
      <w:r>
        <w:rPr>
          <w:b/>
          <w:sz w:val="18"/>
        </w:rPr>
        <w:t xml:space="preserve">5. Cross-Corpus Generalization — </w:t>
      </w:r>
      <w:r>
        <w:rPr>
          <w:sz w:val="18"/>
        </w:rPr>
        <w:t>conducting zero-shot evaluations on external public databases (HF_Lung_V1) to quantify the clinical generalization gap across varying diagnostic recording hardware.</w:t>
      </w:r>
    </w:p>
    <w:p>
      <w:pPr>
        <w:spacing w:after="60"/>
      </w:pPr>
      <w:r>
        <w:rPr>
          <w:b/>
          <w:sz w:val="18"/>
        </w:rPr>
        <w:t xml:space="preserve">6. Point-of-Care Edge Optimization — </w:t>
      </w:r>
      <w:r>
        <w:rPr>
          <w:sz w:val="18"/>
        </w:rPr>
        <w:t>exporting the pipeline via ONNX Runtime and TorchScript to evaluate latency, memory footprint, and CPU execution limits for digital stethoscope integration.</w:t>
      </w:r>
    </w:p>
    <w:p>
      <w:pPr>
        <w:spacing w:before="120" w:after="3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xt_ph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_________________________</w:t>
              <w:br/>
            </w:r>
            <w:r>
              <w:rPr>
                <w:b/>
              </w:rPr>
              <w:t>Dr. Kavita Bhatt</w:t>
              <w:br/>
            </w:r>
            <w:r>
              <w:rPr>
                <w:sz w:val="18"/>
              </w:rPr>
              <w:t>Project Mentor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b/>
              </w:rPr>
              <w:t>_________________________</w:t>
              <w:br/>
            </w:r>
            <w:r>
              <w:rPr>
                <w:b/>
              </w:rPr>
              <w:t>Dr. Deepika Kumar</w:t>
              <w:br/>
            </w:r>
            <w:r>
              <w:rPr>
                <w:sz w:val="18"/>
              </w:rPr>
              <w:t>Head of Department (CSE-AIML)</w:t>
            </w:r>
          </w:p>
        </w:tc>
      </w:tr>
      <w:tr>
        <w:tc>
          <w:tcPr>
            <w:tcW w:type="dxa" w:w="5040"/>
          </w:tcPr>
          <w:p/>
        </w:tc>
        <w:tc>
          <w:tcPr>
            <w:tcW w:type="dxa" w:w="5040"/>
          </w:tcPr>
          <w:p/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