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x048khzgkof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April 1st,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final report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over remaining tasks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Apr 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Worked on debugging front-end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AI chat feature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Started implementing e2e tests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Finish sections for final report by next week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all modifications for front and back-end asap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Finalize all tests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final report - everyone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modifications for front-end - Jacob &amp; Rouvin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Finalize tests - Sangmitra &amp; Skye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slides for final presentation </w:t>
      </w:r>
      <w:r w:rsidDel="00000000" w:rsidR="00000000" w:rsidRPr="00000000">
        <w:rPr>
          <w:color w:val="2f5034"/>
          <w:shd w:fill="ceebe4" w:val="clear"/>
          <w:rtl w:val="0"/>
        </w:rPr>
        <w:t xml:space="preserve">Apr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xt0ywn97umi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7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3" name="image3.png"/>
                  <a:graphic>
                    <a:graphicData uri="http://schemas.openxmlformats.org/drawingml/2006/picture">
                      <pic:pic>
                        <pic:nvPicPr>
                          <pic:cNvPr descr="Dates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