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Activity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Information:</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Implement an email ordering system that works with Garlic Press’s existing web page for popcorn types and maintains the same aesthetic as the rest of the website and is able to be accessed by the employees in a way that is most convenient.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We’ve been in contact with Sarah from GP and have her number for any questions because she’s very busy with initiating a POS system currently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Tasks: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Created a project proposal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Created Feasibility Report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Need to gain access to website or ability to work with the email template found to make it work for our goals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Work on email application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Implement email application into website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Describe any challenges: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Coordinating our Schedules with Garlic Press’s avaliablity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She is working on a POS system currently so she doesn’t have a lot of time to dedicate to our project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Figuring out how to work on the system without having access to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Include a 2-3 paragraph summary of the most important requirements from the perspective of your group.</w:t>
      </w:r>
    </w:p>
    <w:p w:rsidR="00000000" w:rsidDel="00000000" w:rsidP="00000000" w:rsidRDefault="00000000" w:rsidRPr="00000000" w14:paraId="00000017">
      <w:pPr>
        <w:rPr/>
      </w:pPr>
      <w:r w:rsidDel="00000000" w:rsidR="00000000" w:rsidRPr="00000000">
        <w:rPr>
          <w:rtl w:val="0"/>
        </w:rPr>
        <w:t xml:space="preserve">Explain why having and following these requirements are key to a successful implementation.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the perspective of our group we think that having the system fit the same aesthetic and feel as the rest of the website and fits the Garlic Press’s company goals is very important. </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