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23CA" w14:textId="0486125E" w:rsidR="00F325F4" w:rsidRDefault="00613E89" w:rsidP="00613E89">
      <w:pPr>
        <w:pStyle w:val="ListParagraph"/>
        <w:numPr>
          <w:ilvl w:val="0"/>
          <w:numId w:val="2"/>
        </w:numPr>
      </w:pPr>
      <w:proofErr w:type="spellStart"/>
      <w:r>
        <w:t>Ultrasensitivity</w:t>
      </w:r>
      <w:proofErr w:type="spellEnd"/>
      <w:r>
        <w:t xml:space="preserve"> in cascades</w:t>
      </w:r>
    </w:p>
    <w:p w14:paraId="267B416B" w14:textId="2810B415" w:rsidR="00613E89" w:rsidRDefault="00613E89" w:rsidP="00613E89">
      <w:pPr>
        <w:pStyle w:val="ListParagraph"/>
        <w:numPr>
          <w:ilvl w:val="1"/>
          <w:numId w:val="2"/>
        </w:numPr>
      </w:pPr>
      <w:r>
        <w:t>Data was estimated within Excel. Use of the best fit data solver tool was used in Excel to find the following fits for the following equations:</w:t>
      </w:r>
    </w:p>
    <w:p w14:paraId="23D958AE" w14:textId="0A8D1EFE" w:rsidR="00613E89" w:rsidRPr="00613E89" w:rsidRDefault="00613E89" w:rsidP="00613E89">
      <w:pPr>
        <w:pStyle w:val="ListParagraph"/>
        <w:numPr>
          <w:ilvl w:val="2"/>
          <w:numId w:val="2"/>
        </w:numPr>
      </w:pPr>
      <m:oMath>
        <m:r>
          <w:rPr>
            <w:rFonts w:ascii="Cambria Math" w:hAnsi="Cambria Math"/>
          </w:rPr>
          <m:t>MEK1 (response)=</m:t>
        </m:r>
        <m:f>
          <m:fPr>
            <m:ctrlPr>
              <w:rPr>
                <w:rFonts w:ascii="Cambria Math" w:hAnsi="Cambria Math"/>
                <w:i/>
              </w:rPr>
            </m:ctrlPr>
          </m:fPr>
          <m:num>
            <m:sSup>
              <m:sSupPr>
                <m:ctrlPr>
                  <w:rPr>
                    <w:rFonts w:ascii="Cambria Math" w:hAnsi="Cambria Math"/>
                    <w:i/>
                  </w:rPr>
                </m:ctrlPr>
              </m:sSupPr>
              <m:e>
                <m:r>
                  <w:rPr>
                    <w:rFonts w:ascii="Cambria Math" w:hAnsi="Cambria Math"/>
                  </w:rPr>
                  <m:t>MOS</m:t>
                </m:r>
              </m:e>
              <m:sup>
                <m:r>
                  <w:rPr>
                    <w:rFonts w:ascii="Cambria Math" w:hAnsi="Cambria Math"/>
                  </w:rPr>
                  <m:t>n</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+MOS</m:t>
                </m:r>
              </m:e>
              <m:sup>
                <m:r>
                  <w:rPr>
                    <w:rFonts w:ascii="Cambria Math" w:hAnsi="Cambria Math"/>
                  </w:rPr>
                  <m:t>n</m:t>
                </m:r>
              </m:sup>
            </m:sSup>
          </m:den>
        </m:f>
      </m:oMath>
      <w:r>
        <w:rPr>
          <w:rFonts w:eastAsiaTheme="minorEastAsia"/>
        </w:rPr>
        <w:t xml:space="preserve"> , a = 63.47, n = 1.7</w:t>
      </w:r>
    </w:p>
    <w:p w14:paraId="66718E40" w14:textId="2413E865" w:rsidR="00613E89" w:rsidRPr="00613E89" w:rsidRDefault="00613E89" w:rsidP="00613E89">
      <w:pPr>
        <w:pStyle w:val="ListParagraph"/>
        <w:numPr>
          <w:ilvl w:val="2"/>
          <w:numId w:val="2"/>
        </w:numPr>
      </w:pPr>
      <m:oMath>
        <m:r>
          <w:rPr>
            <w:rFonts w:ascii="Cambria Math" w:hAnsi="Cambria Math"/>
          </w:rPr>
          <m:t>ERK2 (response)=</m:t>
        </m:r>
        <m:f>
          <m:fPr>
            <m:ctrlPr>
              <w:rPr>
                <w:rFonts w:ascii="Cambria Math" w:hAnsi="Cambria Math"/>
                <w:i/>
              </w:rPr>
            </m:ctrlPr>
          </m:fPr>
          <m:num>
            <m:sSup>
              <m:sSupPr>
                <m:ctrlPr>
                  <w:rPr>
                    <w:rFonts w:ascii="Cambria Math" w:hAnsi="Cambria Math"/>
                    <w:i/>
                  </w:rPr>
                </m:ctrlPr>
              </m:sSupPr>
              <m:e>
                <m:r>
                  <w:rPr>
                    <w:rFonts w:ascii="Cambria Math" w:hAnsi="Cambria Math"/>
                  </w:rPr>
                  <m:t>MOS</m:t>
                </m:r>
              </m:e>
              <m:sup>
                <m:r>
                  <w:rPr>
                    <w:rFonts w:ascii="Cambria Math" w:hAnsi="Cambria Math"/>
                  </w:rPr>
                  <m:t>x</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x</m:t>
                    </m:r>
                  </m:sup>
                </m:sSup>
                <m:r>
                  <w:rPr>
                    <w:rFonts w:ascii="Cambria Math" w:hAnsi="Cambria Math"/>
                  </w:rPr>
                  <m:t>+MOS</m:t>
                </m:r>
              </m:e>
              <m:sup>
                <m:r>
                  <w:rPr>
                    <w:rFonts w:ascii="Cambria Math" w:hAnsi="Cambria Math"/>
                  </w:rPr>
                  <m:t>x</m:t>
                </m:r>
              </m:sup>
            </m:sSup>
          </m:den>
        </m:f>
      </m:oMath>
      <w:r>
        <w:rPr>
          <w:rFonts w:eastAsiaTheme="minorEastAsia"/>
        </w:rPr>
        <w:t xml:space="preserve"> </w:t>
      </w:r>
      <w:proofErr w:type="gramStart"/>
      <w:r>
        <w:rPr>
          <w:rFonts w:eastAsiaTheme="minorEastAsia"/>
        </w:rPr>
        <w:t>,  c</w:t>
      </w:r>
      <w:proofErr w:type="gramEnd"/>
      <w:r>
        <w:rPr>
          <w:rFonts w:eastAsiaTheme="minorEastAsia"/>
        </w:rPr>
        <w:t xml:space="preserve"> = 35.06, x = 4.9</w:t>
      </w:r>
    </w:p>
    <w:p w14:paraId="4A4FE02E" w14:textId="01CACE8B" w:rsidR="00613E89" w:rsidRPr="00CE03C3" w:rsidRDefault="00613E89" w:rsidP="00613E89">
      <w:pPr>
        <w:pStyle w:val="ListParagraph"/>
        <w:numPr>
          <w:ilvl w:val="2"/>
          <w:numId w:val="2"/>
        </w:numPr>
      </w:pPr>
      <m:oMath>
        <m:r>
          <w:rPr>
            <w:rFonts w:ascii="Cambria Math" w:hAnsi="Cambria Math"/>
          </w:rPr>
          <m:t>ERK2 (response)=</m:t>
        </m:r>
        <m:f>
          <m:fPr>
            <m:ctrlPr>
              <w:rPr>
                <w:rFonts w:ascii="Cambria Math" w:hAnsi="Cambria Math"/>
                <w:i/>
              </w:rPr>
            </m:ctrlPr>
          </m:fPr>
          <m:num>
            <m:sSup>
              <m:sSupPr>
                <m:ctrlPr>
                  <w:rPr>
                    <w:rFonts w:ascii="Cambria Math" w:hAnsi="Cambria Math"/>
                    <w:i/>
                  </w:rPr>
                </m:ctrlPr>
              </m:sSupPr>
              <m:e>
                <m:r>
                  <w:rPr>
                    <w:rFonts w:ascii="Cambria Math" w:hAnsi="Cambria Math"/>
                  </w:rPr>
                  <m:t>MEK1(response)</m:t>
                </m:r>
              </m:e>
              <m:sup>
                <m:r>
                  <w:rPr>
                    <w:rFonts w:ascii="Cambria Math" w:hAnsi="Cambria Math"/>
                  </w:rPr>
                  <m:t>m</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+MEK1(response)</m:t>
                </m:r>
              </m:e>
              <m:sup>
                <m:r>
                  <w:rPr>
                    <w:rFonts w:ascii="Cambria Math" w:hAnsi="Cambria Math"/>
                  </w:rPr>
                  <m:t>m</m:t>
                </m:r>
              </m:sup>
            </m:sSup>
          </m:den>
        </m:f>
      </m:oMath>
      <w:r>
        <w:rPr>
          <w:rFonts w:eastAsiaTheme="minorEastAsia"/>
        </w:rPr>
        <w:t xml:space="preserve"> b = 0.27, m = 4.55</w:t>
      </w:r>
    </w:p>
    <w:p w14:paraId="5C624F96" w14:textId="6971770F" w:rsidR="00CE03C3" w:rsidRDefault="00CE03C3" w:rsidP="00CE03C3">
      <w:pPr>
        <w:pStyle w:val="ListParagraph"/>
        <w:numPr>
          <w:ilvl w:val="1"/>
          <w:numId w:val="2"/>
        </w:numPr>
      </w:pPr>
      <w:r>
        <w:t xml:space="preserve">The </w:t>
      </w:r>
      <w:proofErr w:type="spellStart"/>
      <w:r>
        <w:t>ultrasensitivity</w:t>
      </w:r>
      <w:proofErr w:type="spellEnd"/>
      <w:r>
        <w:t xml:space="preserve"> of the entire cascade is greater than the sensitivity of each step making sense, as each successive step creates a larger effective response from a small change in the prior step. The sensitivity of the entire cascade should be the culmination of each successive step’s sensitivity</w:t>
      </w:r>
      <w:r w:rsidR="00E874CA">
        <w:t>.</w:t>
      </w:r>
    </w:p>
    <w:p w14:paraId="2727A4BA" w14:textId="4B785968" w:rsidR="00CE03C3" w:rsidRDefault="00E874CA" w:rsidP="00CE03C3">
      <w:pPr>
        <w:pStyle w:val="ListParagraph"/>
        <w:numPr>
          <w:ilvl w:val="1"/>
          <w:numId w:val="2"/>
        </w:numPr>
      </w:pPr>
      <w:r>
        <w:t>See handed in paper for this part.</w:t>
      </w:r>
    </w:p>
    <w:p w14:paraId="0E86B990" w14:textId="5108B71C" w:rsidR="00CE03C3" w:rsidRDefault="00CE03C3" w:rsidP="00CE03C3">
      <w:pPr>
        <w:pStyle w:val="ListParagraph"/>
        <w:numPr>
          <w:ilvl w:val="0"/>
          <w:numId w:val="2"/>
        </w:numPr>
      </w:pPr>
      <w:r>
        <w:t>Chemotaxis model</w:t>
      </w:r>
    </w:p>
    <w:p w14:paraId="6B449A31" w14:textId="76332BE2" w:rsidR="005F6C29" w:rsidRDefault="000C13E1" w:rsidP="00D65E98">
      <w:pPr>
        <w:pStyle w:val="ListParagraph"/>
        <w:numPr>
          <w:ilvl w:val="1"/>
          <w:numId w:val="2"/>
        </w:numPr>
      </w:pPr>
      <w:r>
        <w:t xml:space="preserve">Signal </w:t>
      </w:r>
      <w:r w:rsidR="005F6C29">
        <w:t>adaptation is required for chemotaxis to compensate for when the bacteria is in high concentrations of attractant or repellant and must be able to sense a gradient effectively, amplification is necessary so that small steps in gradient are capable of altering the system even while in low concentrations of attractant, effectively that a picomolar concentration change can effectively effect a large bacteria’s chemotaxis machinery</w:t>
      </w:r>
      <w:r w:rsidR="00D65E98">
        <w:t>.</w:t>
      </w:r>
    </w:p>
    <w:p w14:paraId="24277776" w14:textId="15E8C908" w:rsidR="002B6FF6" w:rsidRDefault="000C5587" w:rsidP="00D65E98">
      <w:pPr>
        <w:pStyle w:val="ListParagraph"/>
        <w:numPr>
          <w:ilvl w:val="1"/>
          <w:numId w:val="2"/>
        </w:numPr>
      </w:pPr>
      <w:r>
        <w:t xml:space="preserve">Amplification of signals come from </w:t>
      </w:r>
      <w:proofErr w:type="spellStart"/>
      <w:r>
        <w:t>CheA</w:t>
      </w:r>
      <w:proofErr w:type="spellEnd"/>
      <w:r>
        <w:t xml:space="preserve"> acting as a kinase that can phosphorylate many different </w:t>
      </w:r>
      <w:proofErr w:type="spellStart"/>
      <w:r>
        <w:t>CheY</w:t>
      </w:r>
      <w:proofErr w:type="spellEnd"/>
      <w:r>
        <w:t xml:space="preserve"> enzymes so that a single receptor being phosphorylated will create many phosphorylated </w:t>
      </w:r>
      <w:proofErr w:type="spellStart"/>
      <w:r>
        <w:t>CheY</w:t>
      </w:r>
      <w:proofErr w:type="spellEnd"/>
      <w:r>
        <w:t xml:space="preserve"> proteins</w:t>
      </w:r>
      <w:r w:rsidR="001E0785">
        <w:t xml:space="preserve"> to induce change in the flagellar motor</w:t>
      </w:r>
      <w:r w:rsidR="00E874CA">
        <w:t>.</w:t>
      </w:r>
    </w:p>
    <w:p w14:paraId="04BCA7F0" w14:textId="01C41107" w:rsidR="001E0785" w:rsidRDefault="001E0785" w:rsidP="00D65E98">
      <w:pPr>
        <w:pStyle w:val="ListParagraph"/>
        <w:numPr>
          <w:ilvl w:val="1"/>
          <w:numId w:val="2"/>
        </w:numPr>
      </w:pPr>
      <w:r>
        <w:t>Adaptation comes from the methylation</w:t>
      </w:r>
      <w:r w:rsidR="00E874CA">
        <w:t xml:space="preserve"> </w:t>
      </w:r>
      <w:r>
        <w:t xml:space="preserve">of the receptor by </w:t>
      </w:r>
      <w:proofErr w:type="spellStart"/>
      <w:r>
        <w:t>CheR</w:t>
      </w:r>
      <w:proofErr w:type="spellEnd"/>
      <w:r>
        <w:t xml:space="preserve"> </w:t>
      </w:r>
      <w:r w:rsidR="00E874CA">
        <w:t>in addition to</w:t>
      </w:r>
      <w:r>
        <w:t xml:space="preserve"> </w:t>
      </w:r>
      <w:proofErr w:type="spellStart"/>
      <w:r>
        <w:t>CheB</w:t>
      </w:r>
      <w:proofErr w:type="spellEnd"/>
      <w:r>
        <w:t xml:space="preserve"> modulation by the activation of </w:t>
      </w:r>
      <w:proofErr w:type="spellStart"/>
      <w:r>
        <w:t>CheA</w:t>
      </w:r>
      <w:proofErr w:type="spellEnd"/>
      <w:r>
        <w:t>.</w:t>
      </w:r>
    </w:p>
    <w:p w14:paraId="1D239D92" w14:textId="151EC892" w:rsidR="001E0785" w:rsidRDefault="00E73E75" w:rsidP="00D65E98">
      <w:pPr>
        <w:pStyle w:val="ListParagraph"/>
        <w:numPr>
          <w:ilvl w:val="1"/>
          <w:numId w:val="2"/>
        </w:numPr>
      </w:pPr>
      <w:r>
        <w:t>Robustness of the adaptation with respect to ligand concentration because adaptation with respect to biochemical parameters allows you to return to the same steady state of the receptor even with small alterations in environment possibly due to variations in transcription/translation or microenvironment affecting enzyme kinetics.</w:t>
      </w:r>
    </w:p>
    <w:p w14:paraId="1CB32674" w14:textId="36652070" w:rsidR="00E73E75" w:rsidRDefault="00710A7C" w:rsidP="00D65E98">
      <w:pPr>
        <w:pStyle w:val="ListParagraph"/>
        <w:numPr>
          <w:ilvl w:val="1"/>
          <w:numId w:val="2"/>
        </w:numPr>
      </w:pPr>
      <w:r>
        <w:t xml:space="preserve">Having a fine-tuned response to adaptation time and steady state tumbling frequency allows the bacteria to control how “nervous” they are. A bacterium in a media with a lot of obstacles or repellants should be tumbling much more frequently than a bacterium that is in a free liquid. For </w:t>
      </w:r>
      <w:proofErr w:type="gramStart"/>
      <w:r>
        <w:t>example</w:t>
      </w:r>
      <w:proofErr w:type="gramEnd"/>
      <w:r>
        <w:t xml:space="preserve"> a bacterium in a gel filled with repellents will increase its </w:t>
      </w:r>
      <w:proofErr w:type="spellStart"/>
      <w:r>
        <w:t>CheR</w:t>
      </w:r>
      <w:proofErr w:type="spellEnd"/>
      <w:r>
        <w:t xml:space="preserve"> concentration to become more “nervous” or increase its stead state tumbling frequency.</w:t>
      </w:r>
    </w:p>
    <w:p w14:paraId="2A966347" w14:textId="367A53E2" w:rsidR="00D65E98" w:rsidRDefault="00E874CA" w:rsidP="00D65E98">
      <w:pPr>
        <w:pStyle w:val="ListParagraph"/>
        <w:numPr>
          <w:ilvl w:val="0"/>
          <w:numId w:val="2"/>
        </w:numPr>
      </w:pPr>
      <w:r>
        <w:t>See handed in paper for all parts of 3.</w:t>
      </w:r>
    </w:p>
    <w:p w14:paraId="42CAF338" w14:textId="609D55A5" w:rsidR="00460DED" w:rsidRDefault="00460DED" w:rsidP="00D65E98">
      <w:pPr>
        <w:pStyle w:val="ListParagraph"/>
        <w:numPr>
          <w:ilvl w:val="0"/>
          <w:numId w:val="2"/>
        </w:numPr>
      </w:pPr>
      <w:r>
        <w:rPr>
          <w:noProof/>
        </w:rPr>
        <w:lastRenderedPageBreak/>
        <w:drawing>
          <wp:inline distT="0" distB="0" distL="0" distR="0" wp14:anchorId="505A39A6" wp14:editId="30627404">
            <wp:extent cx="559117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3952875"/>
                    </a:xfrm>
                    <a:prstGeom prst="rect">
                      <a:avLst/>
                    </a:prstGeom>
                  </pic:spPr>
                </pic:pic>
              </a:graphicData>
            </a:graphic>
          </wp:inline>
        </w:drawing>
      </w:r>
    </w:p>
    <w:p w14:paraId="0EEB965A" w14:textId="34EE87FB" w:rsidR="00460DED" w:rsidRDefault="00460DED" w:rsidP="00460DED">
      <w:pPr>
        <w:pStyle w:val="ListParagraph"/>
        <w:numPr>
          <w:ilvl w:val="1"/>
          <w:numId w:val="2"/>
        </w:numPr>
      </w:pPr>
      <w:r>
        <w:t xml:space="preserve">The above graph shows the adaptation of </w:t>
      </w:r>
      <w:r w:rsidR="00C168A9">
        <w:t xml:space="preserve">the activated receptor after attractants are added. The blue line represents L = 10, orange for L = 1, green for L = .1, and red for L = .01. It’s difficult to note what is different based on what we changed from a </w:t>
      </w:r>
      <w:proofErr w:type="gramStart"/>
      <w:r w:rsidR="00C168A9">
        <w:t>three state</w:t>
      </w:r>
      <w:proofErr w:type="gramEnd"/>
      <w:r w:rsidR="00C168A9">
        <w:t xml:space="preserve"> model to a two state model because my code does have errors in it. We do note that the adaptation time in this model is slower than the one in the </w:t>
      </w:r>
      <w:proofErr w:type="gramStart"/>
      <w:r w:rsidR="00C168A9">
        <w:t>three state</w:t>
      </w:r>
      <w:proofErr w:type="gramEnd"/>
      <w:r w:rsidR="00C168A9">
        <w:t xml:space="preserve"> model, possibly due to lacking a second methylated state to make the receptor more active for ligands. </w:t>
      </w:r>
    </w:p>
    <w:p w14:paraId="456256E0" w14:textId="3C8C486C" w:rsidR="00C168A9" w:rsidRDefault="00C168A9" w:rsidP="00460DED">
      <w:pPr>
        <w:pStyle w:val="ListParagraph"/>
        <w:numPr>
          <w:ilvl w:val="1"/>
          <w:numId w:val="2"/>
        </w:numPr>
      </w:pPr>
      <w:r>
        <w:t>The steady state activity concentrated in 3c is different from this model</w:t>
      </w:r>
      <w:r w:rsidR="008E16B7">
        <w:t xml:space="preserve">. In 3c I have 1.02E-4 but my graphs show about 1.02 E -1. Changing the model </w:t>
      </w:r>
      <w:r w:rsidR="00E874CA">
        <w:t xml:space="preserve">to take away </w:t>
      </w:r>
      <w:proofErr w:type="spellStart"/>
      <w:r w:rsidR="00E874CA">
        <w:t>CheB</w:t>
      </w:r>
      <w:proofErr w:type="spellEnd"/>
      <w:r w:rsidR="00E874CA">
        <w:t xml:space="preserve"> acting as an inhibitor </w:t>
      </w:r>
      <w:r w:rsidR="008E16B7">
        <w:t>results in the following graph</w:t>
      </w:r>
      <w:r w:rsidR="00BA051B">
        <w:t xml:space="preserve">. This ends up taking away adaptation from the model by just continuously </w:t>
      </w:r>
      <w:proofErr w:type="spellStart"/>
      <w:r w:rsidR="00BA051B">
        <w:t>methylating</w:t>
      </w:r>
      <w:proofErr w:type="spellEnd"/>
      <w:r w:rsidR="00BA051B">
        <w:t xml:space="preserve"> the receptor and stopping the steady state from forming by the methylation and demethylation by </w:t>
      </w:r>
      <w:proofErr w:type="spellStart"/>
      <w:r w:rsidR="00BA051B">
        <w:t>CheR</w:t>
      </w:r>
      <w:proofErr w:type="spellEnd"/>
      <w:r w:rsidR="00BA051B">
        <w:t xml:space="preserve"> and CheB.</w:t>
      </w:r>
      <w:bookmarkStart w:id="0" w:name="_GoBack"/>
      <w:bookmarkEnd w:id="0"/>
    </w:p>
    <w:p w14:paraId="7FAB13B5" w14:textId="108D3523" w:rsidR="00E874CA" w:rsidRDefault="00E874CA" w:rsidP="00E874CA">
      <w:pPr>
        <w:pStyle w:val="ListParagraph"/>
        <w:ind w:left="1440"/>
      </w:pPr>
      <w:r>
        <w:rPr>
          <w:noProof/>
        </w:rPr>
        <w:lastRenderedPageBreak/>
        <w:drawing>
          <wp:inline distT="0" distB="0" distL="0" distR="0" wp14:anchorId="21E2E83A" wp14:editId="18F3C86C">
            <wp:extent cx="54959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3981450"/>
                    </a:xfrm>
                    <a:prstGeom prst="rect">
                      <a:avLst/>
                    </a:prstGeom>
                  </pic:spPr>
                </pic:pic>
              </a:graphicData>
            </a:graphic>
          </wp:inline>
        </w:drawing>
      </w:r>
    </w:p>
    <w:p w14:paraId="143C3FC8" w14:textId="0F21AD39" w:rsidR="00E874CA" w:rsidRDefault="00E874CA" w:rsidP="00E874CA">
      <w:pPr>
        <w:pStyle w:val="ListParagraph"/>
        <w:ind w:left="1440"/>
      </w:pPr>
      <w:r>
        <w:t>Each line still representing the same ligand concentrations as in 4a</w:t>
      </w:r>
    </w:p>
    <w:p w14:paraId="22E97643" w14:textId="0322D615" w:rsidR="00E874CA" w:rsidRDefault="00E874CA" w:rsidP="00460DED">
      <w:pPr>
        <w:pStyle w:val="ListParagraph"/>
        <w:numPr>
          <w:ilvl w:val="1"/>
          <w:numId w:val="2"/>
        </w:numPr>
      </w:pPr>
      <w:proofErr w:type="spellStart"/>
      <w:r>
        <w:t>CheY</w:t>
      </w:r>
      <w:proofErr w:type="spellEnd"/>
      <w:r>
        <w:t xml:space="preserve"> must be tuned to attain zero order response in order to get signal amplification. By getting to zero order response the change in </w:t>
      </w:r>
      <w:proofErr w:type="spellStart"/>
      <w:r>
        <w:t>CheY</w:t>
      </w:r>
      <w:proofErr w:type="spellEnd"/>
      <w:r>
        <w:t xml:space="preserve"> becomes massive for the slightest change in </w:t>
      </w:r>
      <w:proofErr w:type="spellStart"/>
      <w:r>
        <w:t>CheA’s</w:t>
      </w:r>
      <w:proofErr w:type="spellEnd"/>
      <w:r>
        <w:t xml:space="preserve"> phosphorylation state. In order to attain zero order </w:t>
      </w:r>
      <w:proofErr w:type="gramStart"/>
      <w:r>
        <w:t>response</w:t>
      </w:r>
      <w:proofErr w:type="gramEnd"/>
      <w:r>
        <w:t xml:space="preserve"> the </w:t>
      </w:r>
      <w:proofErr w:type="spellStart"/>
      <w:r>
        <w:t>CheY</w:t>
      </w:r>
      <w:proofErr w:type="spellEnd"/>
      <w:r>
        <w:t xml:space="preserve"> levels.</w:t>
      </w:r>
    </w:p>
    <w:p w14:paraId="595F9DE3" w14:textId="77777777" w:rsidR="00460DED" w:rsidRDefault="00460DED" w:rsidP="00460DED"/>
    <w:sectPr w:rsidR="00460D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A8915" w14:textId="77777777" w:rsidR="00097100" w:rsidRDefault="00097100" w:rsidP="00613E89">
      <w:pPr>
        <w:spacing w:after="0" w:line="240" w:lineRule="auto"/>
      </w:pPr>
      <w:r>
        <w:separator/>
      </w:r>
    </w:p>
  </w:endnote>
  <w:endnote w:type="continuationSeparator" w:id="0">
    <w:p w14:paraId="5DC5D6BB" w14:textId="77777777" w:rsidR="00097100" w:rsidRDefault="00097100" w:rsidP="0061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9CE45" w14:textId="77777777" w:rsidR="00097100" w:rsidRDefault="00097100" w:rsidP="00613E89">
      <w:pPr>
        <w:spacing w:after="0" w:line="240" w:lineRule="auto"/>
      </w:pPr>
      <w:r>
        <w:separator/>
      </w:r>
    </w:p>
  </w:footnote>
  <w:footnote w:type="continuationSeparator" w:id="0">
    <w:p w14:paraId="3A8FFCF8" w14:textId="77777777" w:rsidR="00097100" w:rsidRDefault="00097100" w:rsidP="0061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20607" w14:textId="346A60F6" w:rsidR="001E0785" w:rsidRDefault="001E0785">
    <w:pPr>
      <w:pStyle w:val="Header"/>
    </w:pPr>
    <w:r>
      <w:t>Tigran Mehrabyan tm545 Homework #4 CHEME 7770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1EFF"/>
    <w:multiLevelType w:val="hybridMultilevel"/>
    <w:tmpl w:val="A5566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C2CC0"/>
    <w:multiLevelType w:val="hybridMultilevel"/>
    <w:tmpl w:val="4BD80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89"/>
    <w:rsid w:val="00097100"/>
    <w:rsid w:val="000C13E1"/>
    <w:rsid w:val="000C5587"/>
    <w:rsid w:val="001E0785"/>
    <w:rsid w:val="002B6FF6"/>
    <w:rsid w:val="00460DED"/>
    <w:rsid w:val="00585FB2"/>
    <w:rsid w:val="005F6C29"/>
    <w:rsid w:val="00613E89"/>
    <w:rsid w:val="00710A7C"/>
    <w:rsid w:val="008A57F6"/>
    <w:rsid w:val="008E16B7"/>
    <w:rsid w:val="00BA051B"/>
    <w:rsid w:val="00C168A9"/>
    <w:rsid w:val="00CE03C3"/>
    <w:rsid w:val="00D65E98"/>
    <w:rsid w:val="00E73E75"/>
    <w:rsid w:val="00E874CA"/>
    <w:rsid w:val="00F3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C13D"/>
  <w15:chartTrackingRefBased/>
  <w15:docId w15:val="{59077A0B-8D5B-4742-94B1-82034EEE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E89"/>
  </w:style>
  <w:style w:type="paragraph" w:styleId="Footer">
    <w:name w:val="footer"/>
    <w:basedOn w:val="Normal"/>
    <w:link w:val="FooterChar"/>
    <w:uiPriority w:val="99"/>
    <w:unhideWhenUsed/>
    <w:rsid w:val="00613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E89"/>
  </w:style>
  <w:style w:type="paragraph" w:styleId="ListParagraph">
    <w:name w:val="List Paragraph"/>
    <w:basedOn w:val="Normal"/>
    <w:uiPriority w:val="34"/>
    <w:qFormat/>
    <w:rsid w:val="00613E89"/>
    <w:pPr>
      <w:ind w:left="720"/>
      <w:contextualSpacing/>
    </w:pPr>
  </w:style>
  <w:style w:type="character" w:styleId="PlaceholderText">
    <w:name w:val="Placeholder Text"/>
    <w:basedOn w:val="DefaultParagraphFont"/>
    <w:uiPriority w:val="99"/>
    <w:semiHidden/>
    <w:rsid w:val="00613E89"/>
    <w:rPr>
      <w:color w:val="808080"/>
    </w:rPr>
  </w:style>
  <w:style w:type="paragraph" w:styleId="BalloonText">
    <w:name w:val="Balloon Text"/>
    <w:basedOn w:val="Normal"/>
    <w:link w:val="BalloonTextChar"/>
    <w:uiPriority w:val="99"/>
    <w:semiHidden/>
    <w:unhideWhenUsed/>
    <w:rsid w:val="008A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Tigran Mehrabyan</dc:creator>
  <cp:keywords/>
  <dc:description/>
  <cp:lastModifiedBy>Tigran Mehrabyan</cp:lastModifiedBy>
  <cp:revision>2</cp:revision>
  <dcterms:created xsi:type="dcterms:W3CDTF">2019-04-17T21:36:00Z</dcterms:created>
  <dcterms:modified xsi:type="dcterms:W3CDTF">2019-04-18T15:35:00Z</dcterms:modified>
</cp:coreProperties>
</file>