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4A68B" w14:textId="77777777" w:rsidR="009C5AB6" w:rsidRPr="009C5AB6" w:rsidRDefault="009C5AB6" w:rsidP="009C5AB6">
      <w:pPr>
        <w:widowControl/>
        <w:spacing w:before="100" w:beforeAutospacing="1" w:after="100" w:afterAutospacing="1"/>
        <w:jc w:val="left"/>
        <w:rPr>
          <w:rFonts w:ascii="宋体" w:eastAsia="宋体" w:hAnsi="宋体" w:cs="宋体"/>
          <w:kern w:val="0"/>
          <w:sz w:val="24"/>
          <w:szCs w:val="24"/>
        </w:rPr>
      </w:pPr>
      <w:r w:rsidRPr="009C5AB6">
        <w:rPr>
          <w:rFonts w:ascii="宋体" w:eastAsia="宋体" w:hAnsi="宋体" w:cs="宋体"/>
          <w:b/>
          <w:bCs/>
          <w:kern w:val="0"/>
          <w:sz w:val="24"/>
          <w:szCs w:val="24"/>
        </w:rPr>
        <w:t>Overview</w:t>
      </w:r>
      <w:r w:rsidRPr="009C5AB6">
        <w:rPr>
          <w:rFonts w:ascii="宋体" w:eastAsia="宋体" w:hAnsi="宋体" w:cs="宋体"/>
          <w:kern w:val="0"/>
          <w:sz w:val="24"/>
          <w:szCs w:val="24"/>
        </w:rPr>
        <w:br/>
        <w:t xml:space="preserve">Japan’s government has agreed on a tax reform framework for fiscal year 2026 that includes significant adjustments to the personal income tax system. One of the key changes is a rise in the minimum taxable income threshold, which determines the income level at which personal income tax begins to apply. This is part of a broader effort to ease the tax burden on middle-income households amid rising living costs and inflation. </w:t>
      </w:r>
    </w:p>
    <w:p w14:paraId="0485E08A" w14:textId="77777777" w:rsidR="009C5AB6" w:rsidRPr="009C5AB6" w:rsidRDefault="009C5AB6" w:rsidP="009C5AB6">
      <w:pPr>
        <w:widowControl/>
        <w:jc w:val="left"/>
        <w:rPr>
          <w:rFonts w:ascii="宋体" w:eastAsia="宋体" w:hAnsi="宋体" w:cs="宋体"/>
          <w:kern w:val="0"/>
          <w:sz w:val="24"/>
          <w:szCs w:val="24"/>
        </w:rPr>
      </w:pPr>
      <w:r w:rsidRPr="009C5AB6">
        <w:rPr>
          <w:rFonts w:ascii="宋体" w:eastAsia="宋体" w:hAnsi="宋体" w:cs="宋体"/>
          <w:kern w:val="0"/>
          <w:sz w:val="24"/>
          <w:szCs w:val="24"/>
        </w:rPr>
        <w:pict w14:anchorId="6A17D2F6">
          <v:rect id="_x0000_i1025" style="width:0;height:1.5pt" o:hralign="center" o:hrstd="t" o:hr="t" fillcolor="#a0a0a0" stroked="f"/>
        </w:pict>
      </w:r>
    </w:p>
    <w:p w14:paraId="1F03D0E6" w14:textId="77777777" w:rsidR="009C5AB6" w:rsidRPr="009C5AB6" w:rsidRDefault="009C5AB6" w:rsidP="009C5AB6">
      <w:pPr>
        <w:widowControl/>
        <w:spacing w:before="100" w:beforeAutospacing="1" w:after="100" w:afterAutospacing="1"/>
        <w:jc w:val="left"/>
        <w:rPr>
          <w:rFonts w:ascii="宋体" w:eastAsia="宋体" w:hAnsi="宋体" w:cs="宋体"/>
          <w:kern w:val="0"/>
          <w:sz w:val="24"/>
          <w:szCs w:val="24"/>
        </w:rPr>
      </w:pPr>
      <w:r w:rsidRPr="009C5AB6">
        <w:rPr>
          <w:rFonts w:ascii="宋体" w:eastAsia="宋体" w:hAnsi="宋体" w:cs="宋体"/>
          <w:b/>
          <w:bCs/>
          <w:kern w:val="0"/>
          <w:sz w:val="24"/>
          <w:szCs w:val="24"/>
        </w:rPr>
        <w:t>1. Tax-Free Income Threshold Adjustment</w:t>
      </w:r>
      <w:r w:rsidRPr="009C5AB6">
        <w:rPr>
          <w:rFonts w:ascii="宋体" w:eastAsia="宋体" w:hAnsi="宋体" w:cs="宋体"/>
          <w:kern w:val="0"/>
          <w:sz w:val="24"/>
          <w:szCs w:val="24"/>
        </w:rPr>
        <w:br/>
        <w:t xml:space="preserve">Under the newly agreed tax reform outline, the minimum taxable income level for personal income tax will be raised from the current </w:t>
      </w:r>
      <w:r w:rsidRPr="009C5AB6">
        <w:rPr>
          <w:rFonts w:ascii="宋体" w:eastAsia="宋体" w:hAnsi="宋体" w:cs="宋体"/>
          <w:b/>
          <w:bCs/>
          <w:kern w:val="0"/>
          <w:sz w:val="24"/>
          <w:szCs w:val="24"/>
        </w:rPr>
        <w:t>1.60 million yen to 1.78 million yen</w:t>
      </w:r>
      <w:r w:rsidRPr="009C5AB6">
        <w:rPr>
          <w:rFonts w:ascii="宋体" w:eastAsia="宋体" w:hAnsi="宋体" w:cs="宋体"/>
          <w:kern w:val="0"/>
          <w:sz w:val="24"/>
          <w:szCs w:val="24"/>
        </w:rPr>
        <w:t xml:space="preserve">. This figure represents the combined total of the standard basic deduction and employment income deductions applicable to salaried workers. </w:t>
      </w:r>
    </w:p>
    <w:p w14:paraId="7071CBF4" w14:textId="77777777" w:rsidR="009C5AB6" w:rsidRPr="009C5AB6" w:rsidRDefault="009C5AB6" w:rsidP="009C5AB6">
      <w:pPr>
        <w:widowControl/>
        <w:spacing w:before="100" w:beforeAutospacing="1" w:after="100" w:afterAutospacing="1"/>
        <w:jc w:val="left"/>
        <w:rPr>
          <w:rFonts w:ascii="宋体" w:eastAsia="宋体" w:hAnsi="宋体" w:cs="宋体"/>
          <w:kern w:val="0"/>
          <w:sz w:val="24"/>
          <w:szCs w:val="24"/>
        </w:rPr>
      </w:pPr>
      <w:r w:rsidRPr="009C5AB6">
        <w:rPr>
          <w:rFonts w:ascii="宋体" w:eastAsia="宋体" w:hAnsi="宋体" w:cs="宋体"/>
          <w:kern w:val="0"/>
          <w:sz w:val="24"/>
          <w:szCs w:val="24"/>
        </w:rPr>
        <w:t xml:space="preserve">The reform package was finalized by the ruling Liberal Democratic Party in cooperation with allied and opposition parties. The threshold increase will be effective for the 2026 fiscal year and is expected to apply to most taxpayers with annual incomes up to 6.65 million yen. </w:t>
      </w:r>
    </w:p>
    <w:p w14:paraId="58AA3A60" w14:textId="77777777" w:rsidR="009C5AB6" w:rsidRPr="009C5AB6" w:rsidRDefault="009C5AB6" w:rsidP="009C5AB6">
      <w:pPr>
        <w:widowControl/>
        <w:jc w:val="left"/>
        <w:rPr>
          <w:rFonts w:ascii="宋体" w:eastAsia="宋体" w:hAnsi="宋体" w:cs="宋体"/>
          <w:kern w:val="0"/>
          <w:sz w:val="24"/>
          <w:szCs w:val="24"/>
        </w:rPr>
      </w:pPr>
      <w:r w:rsidRPr="009C5AB6">
        <w:rPr>
          <w:rFonts w:ascii="宋体" w:eastAsia="宋体" w:hAnsi="宋体" w:cs="宋体"/>
          <w:kern w:val="0"/>
          <w:sz w:val="24"/>
          <w:szCs w:val="24"/>
        </w:rPr>
        <w:pict w14:anchorId="2F0517B0">
          <v:rect id="_x0000_i1026" style="width:0;height:1.5pt" o:hralign="center" o:hrstd="t" o:hr="t" fillcolor="#a0a0a0" stroked="f"/>
        </w:pict>
      </w:r>
    </w:p>
    <w:p w14:paraId="158E584F" w14:textId="77777777" w:rsidR="009C5AB6" w:rsidRPr="009C5AB6" w:rsidRDefault="009C5AB6" w:rsidP="009C5AB6">
      <w:pPr>
        <w:widowControl/>
        <w:spacing w:before="100" w:beforeAutospacing="1" w:after="100" w:afterAutospacing="1"/>
        <w:jc w:val="left"/>
        <w:rPr>
          <w:rFonts w:ascii="宋体" w:eastAsia="宋体" w:hAnsi="宋体" w:cs="宋体"/>
          <w:kern w:val="0"/>
          <w:sz w:val="24"/>
          <w:szCs w:val="24"/>
        </w:rPr>
      </w:pPr>
      <w:r w:rsidRPr="009C5AB6">
        <w:rPr>
          <w:rFonts w:ascii="宋体" w:eastAsia="宋体" w:hAnsi="宋体" w:cs="宋体"/>
          <w:b/>
          <w:bCs/>
          <w:kern w:val="0"/>
          <w:sz w:val="24"/>
          <w:szCs w:val="24"/>
        </w:rPr>
        <w:t>2. Expected Impact on Taxpayers</w:t>
      </w:r>
      <w:r w:rsidRPr="009C5AB6">
        <w:rPr>
          <w:rFonts w:ascii="宋体" w:eastAsia="宋体" w:hAnsi="宋体" w:cs="宋体"/>
          <w:kern w:val="0"/>
          <w:sz w:val="24"/>
          <w:szCs w:val="24"/>
        </w:rPr>
        <w:br/>
        <w:t xml:space="preserve">Government estimates suggest that raising the tax-free income threshold will lead to a reduction in annual personal income tax payments for many individuals. Middle-income taxpayers are projected to see decreases in their tax liabilities, resulting in tax savings ranging roughly from </w:t>
      </w:r>
      <w:r w:rsidRPr="009C5AB6">
        <w:rPr>
          <w:rFonts w:ascii="宋体" w:eastAsia="宋体" w:hAnsi="宋体" w:cs="宋体"/>
          <w:b/>
          <w:bCs/>
          <w:kern w:val="0"/>
          <w:sz w:val="24"/>
          <w:szCs w:val="24"/>
        </w:rPr>
        <w:t>4,000 yen to 36,000 yen per person per year</w:t>
      </w:r>
      <w:r w:rsidRPr="009C5AB6">
        <w:rPr>
          <w:rFonts w:ascii="宋体" w:eastAsia="宋体" w:hAnsi="宋体" w:cs="宋体"/>
          <w:kern w:val="0"/>
          <w:sz w:val="24"/>
          <w:szCs w:val="24"/>
        </w:rPr>
        <w:t xml:space="preserve">, depending on income level. </w:t>
      </w:r>
    </w:p>
    <w:p w14:paraId="10DE839A" w14:textId="77777777" w:rsidR="009C5AB6" w:rsidRPr="009C5AB6" w:rsidRDefault="009C5AB6" w:rsidP="009C5AB6">
      <w:pPr>
        <w:widowControl/>
        <w:spacing w:before="100" w:beforeAutospacing="1" w:after="100" w:afterAutospacing="1"/>
        <w:jc w:val="left"/>
        <w:rPr>
          <w:rFonts w:ascii="宋体" w:eastAsia="宋体" w:hAnsi="宋体" w:cs="宋体"/>
          <w:kern w:val="0"/>
          <w:sz w:val="24"/>
          <w:szCs w:val="24"/>
        </w:rPr>
      </w:pPr>
      <w:r w:rsidRPr="009C5AB6">
        <w:rPr>
          <w:rFonts w:ascii="宋体" w:eastAsia="宋体" w:hAnsi="宋体" w:cs="宋体"/>
          <w:kern w:val="0"/>
          <w:sz w:val="24"/>
          <w:szCs w:val="24"/>
        </w:rPr>
        <w:t xml:space="preserve">The overall decrease in tax revenues from this change is estimated to be approximately </w:t>
      </w:r>
      <w:r w:rsidRPr="009C5AB6">
        <w:rPr>
          <w:rFonts w:ascii="宋体" w:eastAsia="宋体" w:hAnsi="宋体" w:cs="宋体"/>
          <w:b/>
          <w:bCs/>
          <w:kern w:val="0"/>
          <w:sz w:val="24"/>
          <w:szCs w:val="24"/>
        </w:rPr>
        <w:t>650 billion yen per year</w:t>
      </w:r>
      <w:r w:rsidRPr="009C5AB6">
        <w:rPr>
          <w:rFonts w:ascii="宋体" w:eastAsia="宋体" w:hAnsi="宋体" w:cs="宋体"/>
          <w:kern w:val="0"/>
          <w:sz w:val="24"/>
          <w:szCs w:val="24"/>
        </w:rPr>
        <w:t xml:space="preserve">. </w:t>
      </w:r>
    </w:p>
    <w:p w14:paraId="436B6790" w14:textId="77777777" w:rsidR="009C5AB6" w:rsidRPr="009C5AB6" w:rsidRDefault="009C5AB6" w:rsidP="009C5AB6">
      <w:pPr>
        <w:widowControl/>
        <w:jc w:val="left"/>
        <w:rPr>
          <w:rFonts w:ascii="宋体" w:eastAsia="宋体" w:hAnsi="宋体" w:cs="宋体"/>
          <w:kern w:val="0"/>
          <w:sz w:val="24"/>
          <w:szCs w:val="24"/>
        </w:rPr>
      </w:pPr>
      <w:r w:rsidRPr="009C5AB6">
        <w:rPr>
          <w:rFonts w:ascii="宋体" w:eastAsia="宋体" w:hAnsi="宋体" w:cs="宋体"/>
          <w:kern w:val="0"/>
          <w:sz w:val="24"/>
          <w:szCs w:val="24"/>
        </w:rPr>
        <w:pict w14:anchorId="716A7920">
          <v:rect id="_x0000_i1027" style="width:0;height:1.5pt" o:hralign="center" o:hrstd="t" o:hr="t" fillcolor="#a0a0a0" stroked="f"/>
        </w:pict>
      </w:r>
    </w:p>
    <w:p w14:paraId="0A70D722" w14:textId="77777777" w:rsidR="009C5AB6" w:rsidRPr="009C5AB6" w:rsidRDefault="009C5AB6" w:rsidP="009C5AB6">
      <w:pPr>
        <w:widowControl/>
        <w:spacing w:before="100" w:beforeAutospacing="1" w:after="100" w:afterAutospacing="1"/>
        <w:jc w:val="left"/>
        <w:rPr>
          <w:rFonts w:ascii="宋体" w:eastAsia="宋体" w:hAnsi="宋体" w:cs="宋体"/>
          <w:kern w:val="0"/>
          <w:sz w:val="24"/>
          <w:szCs w:val="24"/>
        </w:rPr>
      </w:pPr>
      <w:r w:rsidRPr="009C5AB6">
        <w:rPr>
          <w:rFonts w:ascii="宋体" w:eastAsia="宋体" w:hAnsi="宋体" w:cs="宋体"/>
          <w:b/>
          <w:bCs/>
          <w:kern w:val="0"/>
          <w:sz w:val="24"/>
          <w:szCs w:val="24"/>
        </w:rPr>
        <w:t>3. Policy Goal and Rationale</w:t>
      </w:r>
      <w:r w:rsidRPr="009C5AB6">
        <w:rPr>
          <w:rFonts w:ascii="宋体" w:eastAsia="宋体" w:hAnsi="宋体" w:cs="宋体"/>
          <w:kern w:val="0"/>
          <w:sz w:val="24"/>
          <w:szCs w:val="24"/>
        </w:rPr>
        <w:br/>
        <w:t xml:space="preserve">The primary objective of the reform is to redistribute tax burdens in a way that alleviates the financial pressure on ordinary households facing continued inflation and high consumer prices. By increasing the income level at which individuals begin to pay personal income </w:t>
      </w:r>
      <w:r w:rsidRPr="009C5AB6">
        <w:rPr>
          <w:rFonts w:ascii="宋体" w:eastAsia="宋体" w:hAnsi="宋体" w:cs="宋体"/>
          <w:kern w:val="0"/>
          <w:sz w:val="24"/>
          <w:szCs w:val="24"/>
        </w:rPr>
        <w:lastRenderedPageBreak/>
        <w:t xml:space="preserve">tax, a larger portion of wage earners will benefit from reduced tax obligations. </w:t>
      </w:r>
    </w:p>
    <w:p w14:paraId="25F9E255" w14:textId="77777777" w:rsidR="009C5AB6" w:rsidRPr="009C5AB6" w:rsidRDefault="009C5AB6" w:rsidP="009C5AB6">
      <w:pPr>
        <w:widowControl/>
        <w:jc w:val="left"/>
        <w:rPr>
          <w:rFonts w:ascii="宋体" w:eastAsia="宋体" w:hAnsi="宋体" w:cs="宋体"/>
          <w:kern w:val="0"/>
          <w:sz w:val="24"/>
          <w:szCs w:val="24"/>
        </w:rPr>
      </w:pPr>
      <w:r w:rsidRPr="009C5AB6">
        <w:rPr>
          <w:rFonts w:ascii="宋体" w:eastAsia="宋体" w:hAnsi="宋体" w:cs="宋体"/>
          <w:kern w:val="0"/>
          <w:sz w:val="24"/>
          <w:szCs w:val="24"/>
        </w:rPr>
        <w:pict w14:anchorId="1CB5B7B0">
          <v:rect id="_x0000_i1028" style="width:0;height:1.5pt" o:hralign="center" o:hrstd="t" o:hr="t" fillcolor="#a0a0a0" stroked="f"/>
        </w:pict>
      </w:r>
    </w:p>
    <w:p w14:paraId="7E6CAC72" w14:textId="77777777" w:rsidR="009C5AB6" w:rsidRPr="009C5AB6" w:rsidRDefault="009C5AB6" w:rsidP="009C5AB6">
      <w:pPr>
        <w:widowControl/>
        <w:spacing w:before="100" w:beforeAutospacing="1" w:after="100" w:afterAutospacing="1"/>
        <w:jc w:val="left"/>
        <w:rPr>
          <w:rFonts w:ascii="宋体" w:eastAsia="宋体" w:hAnsi="宋体" w:cs="宋体"/>
          <w:kern w:val="0"/>
          <w:sz w:val="24"/>
          <w:szCs w:val="24"/>
        </w:rPr>
      </w:pPr>
      <w:r w:rsidRPr="009C5AB6">
        <w:rPr>
          <w:rFonts w:ascii="宋体" w:eastAsia="宋体" w:hAnsi="宋体" w:cs="宋体"/>
          <w:b/>
          <w:bCs/>
          <w:kern w:val="0"/>
          <w:sz w:val="24"/>
          <w:szCs w:val="24"/>
        </w:rPr>
        <w:t>Conclusion</w:t>
      </w:r>
      <w:r w:rsidRPr="009C5AB6">
        <w:rPr>
          <w:rFonts w:ascii="宋体" w:eastAsia="宋体" w:hAnsi="宋体" w:cs="宋体"/>
          <w:kern w:val="0"/>
          <w:sz w:val="24"/>
          <w:szCs w:val="24"/>
        </w:rPr>
        <w:br/>
        <w:t>The 2026 tax reform initiative marks a substantial policy shift for Japan’s personal taxation system. By raising the personal tax-free income threshold and expanding deductions, the government aims to deliver tangible relief to the majority of taxpayers. The reform also forms part of a broader fiscal strategy that includes incentives for corporate investment and future adjustments to other tax categories.</w:t>
      </w:r>
    </w:p>
    <w:p w14:paraId="4F585E0D" w14:textId="77777777" w:rsidR="001C509C" w:rsidRDefault="001C509C"/>
    <w:sectPr w:rsidR="001C509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09C"/>
    <w:rsid w:val="001C509C"/>
    <w:rsid w:val="009C5A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A0A7DCC-95A7-4CD8-8638-8076FFBB3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9C5AB6"/>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9C5A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8769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355</Words>
  <Characters>2026</Characters>
  <Application>Microsoft Office Word</Application>
  <DocSecurity>0</DocSecurity>
  <Lines>16</Lines>
  <Paragraphs>4</Paragraphs>
  <ScaleCrop>false</ScaleCrop>
  <Company/>
  <LinksUpToDate>false</LinksUpToDate>
  <CharactersWithSpaces>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ZJ Z</dc:creator>
  <cp:keywords/>
  <dc:description/>
  <cp:lastModifiedBy>ZJ Z</cp:lastModifiedBy>
  <cp:revision>2</cp:revision>
  <dcterms:created xsi:type="dcterms:W3CDTF">2026-01-12T10:24:00Z</dcterms:created>
  <dcterms:modified xsi:type="dcterms:W3CDTF">2026-01-12T10:24:00Z</dcterms:modified>
</cp:coreProperties>
</file>