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A1503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Title: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>Electric Vehicle Tax Credit and Incentive Policy Overview (2025)</w:t>
      </w:r>
    </w:p>
    <w:p w14:paraId="5EB50C0C" w14:textId="77777777" w:rsidR="001A1810" w:rsidRPr="001A1810" w:rsidRDefault="001A1810" w:rsidP="001A18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pict w14:anchorId="3887C454">
          <v:rect id="_x0000_i1025" style="width:0;height:1.5pt" o:hralign="center" o:hrstd="t" o:hr="t" fillcolor="#a0a0a0" stroked="f"/>
        </w:pict>
      </w:r>
    </w:p>
    <w:p w14:paraId="629C2138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1. Federal Tax Credit (United States)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 xml:space="preserve">Eligible electric vehicles may qualify for a federal tax credit of up to </w:t>
      </w: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USD 7,500</w:t>
      </w:r>
      <w:r w:rsidRPr="001A1810">
        <w:rPr>
          <w:rFonts w:ascii="宋体" w:eastAsia="宋体" w:hAnsi="宋体" w:cs="宋体"/>
          <w:kern w:val="0"/>
          <w:sz w:val="24"/>
          <w:szCs w:val="24"/>
        </w:rPr>
        <w:t>,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>subject to the following conditions:</w:t>
      </w:r>
    </w:p>
    <w:p w14:paraId="1AB33AA9" w14:textId="77777777" w:rsidR="001A1810" w:rsidRPr="001A1810" w:rsidRDefault="001A1810" w:rsidP="001A181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Final vehicle assembly in North America</w:t>
      </w:r>
    </w:p>
    <w:p w14:paraId="68DE2CA6" w14:textId="77777777" w:rsidR="001A1810" w:rsidRPr="001A1810" w:rsidRDefault="001A1810" w:rsidP="001A181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Battery components and critical minerals sourcing requirements</w:t>
      </w:r>
    </w:p>
    <w:p w14:paraId="2E63D28B" w14:textId="77777777" w:rsidR="001A1810" w:rsidRPr="001A1810" w:rsidRDefault="001A1810" w:rsidP="001A181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Buyer income thresholds</w:t>
      </w:r>
    </w:p>
    <w:p w14:paraId="4690EA19" w14:textId="77777777" w:rsidR="001A1810" w:rsidRPr="001A1810" w:rsidRDefault="001A1810" w:rsidP="001A18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pict w14:anchorId="4B8392E5">
          <v:rect id="_x0000_i1026" style="width:0;height:1.5pt" o:hralign="center" o:hrstd="t" o:hr="t" fillcolor="#a0a0a0" stroked="f"/>
        </w:pict>
      </w:r>
    </w:p>
    <w:p w14:paraId="4071A57C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2. State-Level Incentives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>Additional incentives may be provided by state or local governments, including:</w:t>
      </w:r>
    </w:p>
    <w:p w14:paraId="62E66F2B" w14:textId="77777777" w:rsidR="001A1810" w:rsidRPr="001A1810" w:rsidRDefault="001A1810" w:rsidP="001A181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Purchase rebates ranging from USD 1,000 to USD 4,000</w:t>
      </w:r>
    </w:p>
    <w:p w14:paraId="3D43BEC1" w14:textId="77777777" w:rsidR="001A1810" w:rsidRPr="001A1810" w:rsidRDefault="001A1810" w:rsidP="001A181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Reduced vehicle registration fees</w:t>
      </w:r>
    </w:p>
    <w:p w14:paraId="6AF9CECC" w14:textId="77777777" w:rsidR="001A1810" w:rsidRPr="001A1810" w:rsidRDefault="001A1810" w:rsidP="001A181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Access to HOV lanes</w:t>
      </w:r>
    </w:p>
    <w:p w14:paraId="0C7F5C67" w14:textId="77777777" w:rsidR="001A1810" w:rsidRPr="001A1810" w:rsidRDefault="001A1810" w:rsidP="001A18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pict w14:anchorId="11A746DE">
          <v:rect id="_x0000_i1027" style="width:0;height:1.5pt" o:hralign="center" o:hrstd="t" o:hr="t" fillcolor="#a0a0a0" stroked="f"/>
        </w:pict>
      </w:r>
    </w:p>
    <w:p w14:paraId="0D088B4D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3. Charging Infrastructure Subsidies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>Home and public charging installations may qualify for:</w:t>
      </w:r>
    </w:p>
    <w:p w14:paraId="1BD4BF13" w14:textId="77777777" w:rsidR="001A1810" w:rsidRPr="001A1810" w:rsidRDefault="001A1810" w:rsidP="001A181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Tax credits covering up to 30% of installation costs</w:t>
      </w:r>
    </w:p>
    <w:p w14:paraId="4BB2F4EC" w14:textId="77777777" w:rsidR="001A1810" w:rsidRPr="001A1810" w:rsidRDefault="001A1810" w:rsidP="001A181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Maximum credit of USD 1,000 for residential chargers</w:t>
      </w:r>
    </w:p>
    <w:p w14:paraId="2B6AE457" w14:textId="77777777" w:rsidR="001A1810" w:rsidRPr="001A1810" w:rsidRDefault="001A1810" w:rsidP="001A181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Commercial installation incentives up to USD 100,000 per location</w:t>
      </w:r>
    </w:p>
    <w:p w14:paraId="3EC6B8F2" w14:textId="77777777" w:rsidR="001A1810" w:rsidRPr="001A1810" w:rsidRDefault="001A1810" w:rsidP="001A18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pict w14:anchorId="595666CC">
          <v:rect id="_x0000_i1028" style="width:0;height:1.5pt" o:hralign="center" o:hrstd="t" o:hr="t" fillcolor="#a0a0a0" stroked="f"/>
        </w:pict>
      </w:r>
    </w:p>
    <w:p w14:paraId="68B1DF7F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4. Eligibility and Application Process</w:t>
      </w:r>
    </w:p>
    <w:p w14:paraId="0AD80533" w14:textId="77777777" w:rsidR="001A1810" w:rsidRPr="001A1810" w:rsidRDefault="001A1810" w:rsidP="001A181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Credits must be claimed during annual tax filing</w:t>
      </w:r>
    </w:p>
    <w:p w14:paraId="1C4C24E2" w14:textId="77777777" w:rsidR="001A1810" w:rsidRPr="001A1810" w:rsidRDefault="001A1810" w:rsidP="001A181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Proof of vehicle purchase and VIN required</w:t>
      </w:r>
    </w:p>
    <w:p w14:paraId="302FC426" w14:textId="77777777" w:rsidR="001A1810" w:rsidRPr="001A1810" w:rsidRDefault="001A1810" w:rsidP="001A181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t>Incentives subject to annual funding limits</w:t>
      </w:r>
    </w:p>
    <w:p w14:paraId="3384BBAC" w14:textId="77777777" w:rsidR="001A1810" w:rsidRPr="001A1810" w:rsidRDefault="001A1810" w:rsidP="001A18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kern w:val="0"/>
          <w:sz w:val="24"/>
          <w:szCs w:val="24"/>
        </w:rPr>
        <w:pict w14:anchorId="62B28A22">
          <v:rect id="_x0000_i1029" style="width:0;height:1.5pt" o:hralign="center" o:hrstd="t" o:hr="t" fillcolor="#a0a0a0" stroked="f"/>
        </w:pict>
      </w:r>
    </w:p>
    <w:p w14:paraId="06209579" w14:textId="77777777" w:rsidR="001A1810" w:rsidRPr="001A1810" w:rsidRDefault="001A1810" w:rsidP="001A181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1810">
        <w:rPr>
          <w:rFonts w:ascii="宋体" w:eastAsia="宋体" w:hAnsi="宋体" w:cs="宋体"/>
          <w:b/>
          <w:bCs/>
          <w:kern w:val="0"/>
          <w:sz w:val="24"/>
          <w:szCs w:val="24"/>
        </w:rPr>
        <w:t>5. Policy Impact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 xml:space="preserve">These incentives are designed to accelerate EV adoption, reduce </w:t>
      </w:r>
      <w:r w:rsidRPr="001A1810">
        <w:rPr>
          <w:rFonts w:ascii="宋体" w:eastAsia="宋体" w:hAnsi="宋体" w:cs="宋体"/>
          <w:kern w:val="0"/>
          <w:sz w:val="24"/>
          <w:szCs w:val="24"/>
        </w:rPr>
        <w:lastRenderedPageBreak/>
        <w:t>carbon emissions,</w:t>
      </w:r>
      <w:r w:rsidRPr="001A1810">
        <w:rPr>
          <w:rFonts w:ascii="宋体" w:eastAsia="宋体" w:hAnsi="宋体" w:cs="宋体"/>
          <w:kern w:val="0"/>
          <w:sz w:val="24"/>
          <w:szCs w:val="24"/>
        </w:rPr>
        <w:br/>
        <w:t>and support the expansion of charging infrastructure nationwide.</w:t>
      </w:r>
    </w:p>
    <w:p w14:paraId="70BAF166" w14:textId="77777777" w:rsidR="00CB7B76" w:rsidRDefault="00CB7B76"/>
    <w:sectPr w:rsidR="00CB7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177E8"/>
    <w:multiLevelType w:val="multilevel"/>
    <w:tmpl w:val="A81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3198B"/>
    <w:multiLevelType w:val="multilevel"/>
    <w:tmpl w:val="4B0A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D25B0"/>
    <w:multiLevelType w:val="multilevel"/>
    <w:tmpl w:val="110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1D7F"/>
    <w:multiLevelType w:val="multilevel"/>
    <w:tmpl w:val="A43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76"/>
    <w:rsid w:val="001A1810"/>
    <w:rsid w:val="00CB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094B0-15A9-4BB1-91EC-A3460335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18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A1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Z</dc:creator>
  <cp:keywords/>
  <dc:description/>
  <cp:lastModifiedBy>ZJ Z</cp:lastModifiedBy>
  <cp:revision>2</cp:revision>
  <dcterms:created xsi:type="dcterms:W3CDTF">2026-01-13T09:36:00Z</dcterms:created>
  <dcterms:modified xsi:type="dcterms:W3CDTF">2026-01-13T09:36:00Z</dcterms:modified>
</cp:coreProperties>
</file>