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46"/>
        <w:gridCol w:w="7282"/>
        <w:gridCol w:w="774"/>
        <w:gridCol w:w="774"/>
      </w:tblGrid>
      <w:tr w:rsidR="007860C4" w:rsidTr="007860C4">
        <w:trPr>
          <w:trHeight w:val="90"/>
        </w:trPr>
        <w:tc>
          <w:tcPr>
            <w:tcW w:w="746" w:type="dxa"/>
            <w:vMerge w:val="restart"/>
            <w:shd w:val="clear" w:color="auto" w:fill="943634" w:themeFill="accent2" w:themeFillShade="BF"/>
          </w:tcPr>
          <w:p w:rsidR="007860C4" w:rsidRPr="007860C4" w:rsidRDefault="007860C4" w:rsidP="007860C4">
            <w:pPr>
              <w:rPr>
                <w:color w:val="FFFFFF" w:themeColor="background1"/>
                <w:sz w:val="144"/>
                <w:szCs w:val="144"/>
              </w:rPr>
            </w:pPr>
            <w:r w:rsidRPr="007860C4">
              <w:rPr>
                <w:color w:val="FFFFFF" w:themeColor="background1"/>
                <w:sz w:val="144"/>
                <w:szCs w:val="144"/>
              </w:rPr>
              <w:t>[</w:t>
            </w:r>
          </w:p>
        </w:tc>
        <w:tc>
          <w:tcPr>
            <w:tcW w:w="7282" w:type="dxa"/>
            <w:shd w:val="clear" w:color="auto" w:fill="943634" w:themeFill="accent2" w:themeFillShade="BF"/>
          </w:tcPr>
          <w:p w:rsidR="007860C4" w:rsidRPr="007860C4" w:rsidRDefault="007860C4" w:rsidP="00466F8B">
            <w:pPr>
              <w:rPr>
                <w:b/>
                <w:sz w:val="2"/>
                <w:szCs w:val="2"/>
              </w:rPr>
            </w:pPr>
          </w:p>
        </w:tc>
        <w:tc>
          <w:tcPr>
            <w:tcW w:w="774" w:type="dxa"/>
            <w:vMerge w:val="restart"/>
            <w:shd w:val="clear" w:color="auto" w:fill="943634" w:themeFill="accent2" w:themeFillShade="BF"/>
          </w:tcPr>
          <w:p w:rsidR="007860C4" w:rsidRPr="007860C4" w:rsidRDefault="007860C4" w:rsidP="00960969">
            <w:pPr>
              <w:rPr>
                <w:caps/>
                <w:smallCaps/>
                <w:color w:val="FFFFFF" w:themeColor="background1"/>
              </w:rPr>
            </w:pPr>
            <w:r w:rsidRPr="007860C4">
              <w:rPr>
                <w:color w:val="FFFFFF" w:themeColor="background1"/>
                <w:sz w:val="144"/>
                <w:szCs w:val="144"/>
              </w:rPr>
              <w:t>]</w:t>
            </w:r>
          </w:p>
        </w:tc>
        <w:tc>
          <w:tcPr>
            <w:tcW w:w="774" w:type="dxa"/>
            <w:vMerge w:val="restart"/>
            <w:shd w:val="clear" w:color="auto" w:fill="FFFFFF" w:themeFill="background1"/>
          </w:tcPr>
          <w:p w:rsidR="007860C4" w:rsidRDefault="007860C4" w:rsidP="00960969">
            <w:pPr>
              <w:rPr>
                <w:caps/>
                <w:smallCaps/>
              </w:rPr>
            </w:pPr>
          </w:p>
        </w:tc>
      </w:tr>
      <w:tr w:rsidR="007860C4" w:rsidTr="007860C4">
        <w:trPr>
          <w:trHeight w:val="856"/>
        </w:trPr>
        <w:tc>
          <w:tcPr>
            <w:tcW w:w="746" w:type="dxa"/>
            <w:vMerge/>
            <w:shd w:val="clear" w:color="auto" w:fill="943634" w:themeFill="accent2" w:themeFillShade="BF"/>
          </w:tcPr>
          <w:p w:rsidR="007860C4" w:rsidRPr="007860C4" w:rsidRDefault="007860C4" w:rsidP="007860C4">
            <w:pPr>
              <w:rPr>
                <w:color w:val="FFFFFF" w:themeColor="background1"/>
                <w:sz w:val="144"/>
                <w:szCs w:val="144"/>
              </w:rPr>
            </w:pPr>
          </w:p>
        </w:tc>
        <w:tc>
          <w:tcPr>
            <w:tcW w:w="7282" w:type="dxa"/>
            <w:shd w:val="clear" w:color="auto" w:fill="943634" w:themeFill="accent2" w:themeFillShade="BF"/>
          </w:tcPr>
          <w:p w:rsidR="007860C4" w:rsidRPr="007860C4" w:rsidRDefault="007860C4" w:rsidP="00466F8B">
            <w:pPr>
              <w:rPr>
                <w:b/>
                <w:smallCaps/>
                <w:color w:val="FFFFFF" w:themeColor="background1"/>
                <w:sz w:val="72"/>
                <w:szCs w:val="72"/>
              </w:rPr>
            </w:pPr>
            <w:r w:rsidRPr="007860C4">
              <w:rPr>
                <w:b/>
                <w:smallCaps/>
                <w:color w:val="FFFFFF" w:themeColor="background1"/>
                <w:sz w:val="72"/>
                <w:szCs w:val="72"/>
              </w:rPr>
              <w:t>InfiniBand FPGA Test Harness Architecture</w:t>
            </w:r>
          </w:p>
        </w:tc>
        <w:tc>
          <w:tcPr>
            <w:tcW w:w="774" w:type="dxa"/>
            <w:vMerge/>
            <w:shd w:val="clear" w:color="auto" w:fill="943634" w:themeFill="accent2" w:themeFillShade="BF"/>
          </w:tcPr>
          <w:p w:rsidR="007860C4" w:rsidRPr="007860C4" w:rsidRDefault="007860C4" w:rsidP="00960969">
            <w:pPr>
              <w:rPr>
                <w:color w:val="FFFFFF" w:themeColor="background1"/>
                <w:sz w:val="144"/>
                <w:szCs w:val="144"/>
              </w:rPr>
            </w:pPr>
          </w:p>
        </w:tc>
        <w:tc>
          <w:tcPr>
            <w:tcW w:w="774" w:type="dxa"/>
            <w:vMerge/>
            <w:shd w:val="clear" w:color="auto" w:fill="FFFFFF" w:themeFill="background1"/>
          </w:tcPr>
          <w:p w:rsidR="007860C4" w:rsidRDefault="007860C4" w:rsidP="00960969">
            <w:pPr>
              <w:rPr>
                <w:caps/>
                <w:smallCaps/>
              </w:rPr>
            </w:pPr>
          </w:p>
        </w:tc>
      </w:tr>
      <w:tr w:rsidR="007860C4" w:rsidTr="007860C4">
        <w:trPr>
          <w:trHeight w:val="5661"/>
        </w:trPr>
        <w:tc>
          <w:tcPr>
            <w:tcW w:w="9576" w:type="dxa"/>
            <w:gridSpan w:val="4"/>
          </w:tcPr>
          <w:p w:rsidR="007860C4" w:rsidRPr="007860C4" w:rsidRDefault="007860C4" w:rsidP="007860C4">
            <w:pPr>
              <w:pStyle w:val="Subtitle"/>
              <w:spacing w:after="0"/>
              <w:jc w:val="left"/>
              <w:rPr>
                <w:caps w:val="0"/>
                <w:smallCaps/>
                <w:color w:val="4F6228" w:themeColor="accent3" w:themeShade="80"/>
                <w:sz w:val="32"/>
                <w:szCs w:val="32"/>
              </w:rPr>
            </w:pPr>
            <w:r w:rsidRPr="007860C4">
              <w:rPr>
                <w:caps w:val="0"/>
                <w:smallCaps/>
                <w:color w:val="4F6228" w:themeColor="accent3" w:themeShade="80"/>
                <w:sz w:val="32"/>
                <w:szCs w:val="32"/>
              </w:rPr>
              <w:t>Senior Design May-0904 Project Team</w:t>
            </w:r>
          </w:p>
          <w:p w:rsidR="007860C4" w:rsidRPr="007860C4" w:rsidRDefault="007860C4" w:rsidP="007860C4">
            <w:pPr>
              <w:contextualSpacing/>
              <w:rPr>
                <w:color w:val="000000" w:themeColor="text1"/>
                <w:sz w:val="18"/>
                <w:szCs w:val="18"/>
              </w:rPr>
            </w:pPr>
          </w:p>
          <w:p w:rsidR="007860C4" w:rsidRPr="007860C4" w:rsidRDefault="007860C4" w:rsidP="007860C4">
            <w:pPr>
              <w:pStyle w:val="Subtitle"/>
              <w:spacing w:after="0"/>
              <w:contextualSpacing/>
              <w:jc w:val="left"/>
              <w:rPr>
                <w:caps w:val="0"/>
                <w:smallCaps/>
                <w:color w:val="4F6228" w:themeColor="accent3" w:themeShade="80"/>
                <w:sz w:val="24"/>
                <w:szCs w:val="24"/>
              </w:rPr>
            </w:pPr>
            <w:r w:rsidRPr="007860C4">
              <w:rPr>
                <w:caps w:val="0"/>
                <w:smallCaps/>
                <w:color w:val="4F6228" w:themeColor="accent3" w:themeShade="80"/>
                <w:sz w:val="24"/>
                <w:szCs w:val="24"/>
              </w:rPr>
              <w:t>Matt Wall</w:t>
            </w:r>
          </w:p>
          <w:p w:rsidR="007860C4" w:rsidRPr="007860C4" w:rsidRDefault="007860C4" w:rsidP="007860C4">
            <w:pPr>
              <w:pStyle w:val="Subtitle"/>
              <w:spacing w:after="0"/>
              <w:jc w:val="left"/>
              <w:rPr>
                <w:caps w:val="0"/>
                <w:smallCaps/>
                <w:color w:val="4F6228" w:themeColor="accent3" w:themeShade="80"/>
                <w:sz w:val="24"/>
                <w:szCs w:val="24"/>
              </w:rPr>
            </w:pPr>
            <w:r w:rsidRPr="007860C4">
              <w:rPr>
                <w:caps w:val="0"/>
                <w:smallCaps/>
                <w:color w:val="4F6228" w:themeColor="accent3" w:themeShade="80"/>
                <w:sz w:val="24"/>
                <w:szCs w:val="24"/>
              </w:rPr>
              <w:t>Tim Prince</w:t>
            </w:r>
          </w:p>
          <w:p w:rsidR="007860C4" w:rsidRPr="007860C4" w:rsidRDefault="007860C4" w:rsidP="007860C4">
            <w:pPr>
              <w:pStyle w:val="Subtitle"/>
              <w:spacing w:after="0"/>
              <w:jc w:val="left"/>
              <w:rPr>
                <w:caps w:val="0"/>
                <w:smallCaps/>
                <w:color w:val="4F6228" w:themeColor="accent3" w:themeShade="80"/>
                <w:sz w:val="24"/>
                <w:szCs w:val="24"/>
              </w:rPr>
            </w:pPr>
            <w:r w:rsidRPr="007860C4">
              <w:rPr>
                <w:caps w:val="0"/>
                <w:smallCaps/>
                <w:color w:val="4F6228" w:themeColor="accent3" w:themeShade="80"/>
                <w:sz w:val="24"/>
                <w:szCs w:val="24"/>
              </w:rPr>
              <w:t>Ryan Schwarzkopf</w:t>
            </w:r>
          </w:p>
          <w:p w:rsidR="007860C4" w:rsidRPr="007860C4" w:rsidRDefault="007860C4" w:rsidP="007860C4">
            <w:pPr>
              <w:pStyle w:val="Subtitle"/>
              <w:spacing w:after="0"/>
              <w:jc w:val="left"/>
              <w:rPr>
                <w:caps w:val="0"/>
                <w:smallCaps/>
                <w:color w:val="4F6228" w:themeColor="accent3" w:themeShade="80"/>
                <w:sz w:val="24"/>
                <w:szCs w:val="24"/>
              </w:rPr>
            </w:pPr>
            <w:r w:rsidRPr="007860C4">
              <w:rPr>
                <w:caps w:val="0"/>
                <w:smallCaps/>
                <w:color w:val="4F6228" w:themeColor="accent3" w:themeShade="80"/>
                <w:sz w:val="24"/>
                <w:szCs w:val="24"/>
              </w:rPr>
              <w:t>Xiang Li</w:t>
            </w:r>
          </w:p>
          <w:p w:rsidR="007860C4" w:rsidRPr="007860C4" w:rsidRDefault="007860C4" w:rsidP="007860C4">
            <w:pPr>
              <w:pStyle w:val="Subtitle"/>
              <w:spacing w:after="0"/>
              <w:jc w:val="left"/>
              <w:rPr>
                <w:caps w:val="0"/>
                <w:smallCaps/>
                <w:color w:val="4F6228" w:themeColor="accent3" w:themeShade="80"/>
                <w:sz w:val="24"/>
                <w:szCs w:val="24"/>
              </w:rPr>
            </w:pPr>
            <w:r w:rsidRPr="007860C4">
              <w:rPr>
                <w:caps w:val="0"/>
                <w:smallCaps/>
                <w:color w:val="4F6228" w:themeColor="accent3" w:themeShade="80"/>
                <w:sz w:val="24"/>
                <w:szCs w:val="24"/>
              </w:rPr>
              <w:t>Alex Burds</w:t>
            </w:r>
          </w:p>
          <w:p w:rsidR="007860C4" w:rsidRPr="00466F8B" w:rsidRDefault="007860C4" w:rsidP="00466F8B">
            <w:pPr>
              <w:rPr>
                <w:b/>
                <w:color w:val="76923C" w:themeColor="accent3" w:themeShade="BF"/>
                <w:sz w:val="72"/>
                <w:szCs w:val="72"/>
              </w:rPr>
            </w:pPr>
          </w:p>
        </w:tc>
      </w:tr>
      <w:tr w:rsidR="00FB7E38" w:rsidTr="00466F8B">
        <w:trPr>
          <w:trHeight w:val="85"/>
        </w:trPr>
        <w:tc>
          <w:tcPr>
            <w:tcW w:w="9576" w:type="dxa"/>
            <w:gridSpan w:val="4"/>
            <w:tcBorders>
              <w:bottom w:val="single" w:sz="4" w:space="0" w:color="auto"/>
            </w:tcBorders>
          </w:tcPr>
          <w:p w:rsidR="00FB7E38" w:rsidRPr="00466F8B" w:rsidRDefault="00466F8B" w:rsidP="00466F8B">
            <w:pPr>
              <w:rPr>
                <w:smallCaps/>
                <w:sz w:val="32"/>
                <w:szCs w:val="32"/>
              </w:rPr>
            </w:pPr>
            <w:r w:rsidRPr="00466F8B">
              <w:rPr>
                <w:smallCaps/>
                <w:sz w:val="32"/>
                <w:szCs w:val="32"/>
              </w:rPr>
              <w:t>Abstract</w:t>
            </w:r>
          </w:p>
        </w:tc>
      </w:tr>
      <w:tr w:rsidR="00466F8B" w:rsidTr="00466F8B">
        <w:trPr>
          <w:trHeight w:val="85"/>
        </w:trPr>
        <w:tc>
          <w:tcPr>
            <w:tcW w:w="9576" w:type="dxa"/>
            <w:gridSpan w:val="4"/>
            <w:tcBorders>
              <w:top w:val="single" w:sz="4" w:space="0" w:color="auto"/>
            </w:tcBorders>
          </w:tcPr>
          <w:p w:rsidR="007860C4" w:rsidRDefault="00466F8B" w:rsidP="00466F8B">
            <w:pPr>
              <w:ind w:firstLine="360"/>
            </w:pPr>
            <w:r>
              <w:t xml:space="preserve">The purpose of this document is to give </w:t>
            </w:r>
            <w:r w:rsidR="007860C4">
              <w:t>a brief</w:t>
            </w:r>
            <w:r>
              <w:t xml:space="preserve"> overview of the design of the InfiniBand test harness being developed by the May0904 project team for the EE/CprE 492 senior design course at Iowa State University. </w:t>
            </w:r>
            <w:r w:rsidR="007860C4">
              <w:t xml:space="preserve">For more information about the InfiniBand FPGA project, see </w:t>
            </w:r>
          </w:p>
          <w:p w:rsidR="00466F8B" w:rsidRDefault="007860C4" w:rsidP="007860C4">
            <w:r>
              <w:t>http:// seniord.ece.iastate.edu/may0904</w:t>
            </w:r>
          </w:p>
          <w:p w:rsidR="00466F8B" w:rsidRPr="00466F8B" w:rsidRDefault="00466F8B" w:rsidP="00466F8B">
            <w:pPr>
              <w:ind w:firstLine="360"/>
            </w:pPr>
          </w:p>
        </w:tc>
      </w:tr>
      <w:tr w:rsidR="00466F8B" w:rsidTr="00466F8B">
        <w:trPr>
          <w:trHeight w:val="85"/>
        </w:trPr>
        <w:tc>
          <w:tcPr>
            <w:tcW w:w="9576" w:type="dxa"/>
            <w:gridSpan w:val="4"/>
            <w:tcBorders>
              <w:bottom w:val="single" w:sz="4" w:space="0" w:color="auto"/>
            </w:tcBorders>
          </w:tcPr>
          <w:p w:rsidR="00466F8B" w:rsidRPr="00466F8B" w:rsidRDefault="00466F8B" w:rsidP="00466F8B">
            <w:pPr>
              <w:rPr>
                <w:smallCaps/>
                <w:sz w:val="32"/>
                <w:szCs w:val="32"/>
              </w:rPr>
            </w:pPr>
            <w:r>
              <w:rPr>
                <w:smallCaps/>
                <w:sz w:val="32"/>
                <w:szCs w:val="32"/>
              </w:rPr>
              <w:t>Disclaimer</w:t>
            </w:r>
          </w:p>
        </w:tc>
      </w:tr>
      <w:tr w:rsidR="007860C4" w:rsidTr="00960969">
        <w:trPr>
          <w:trHeight w:val="3105"/>
        </w:trPr>
        <w:tc>
          <w:tcPr>
            <w:tcW w:w="9576" w:type="dxa"/>
            <w:gridSpan w:val="4"/>
            <w:tcBorders>
              <w:top w:val="single" w:sz="4" w:space="0" w:color="auto"/>
            </w:tcBorders>
          </w:tcPr>
          <w:p w:rsidR="007860C4" w:rsidRPr="00466F8B" w:rsidRDefault="007860C4" w:rsidP="007860C4">
            <w:pPr>
              <w:ind w:firstLine="360"/>
              <w:rPr>
                <w:smallCaps/>
                <w:sz w:val="32"/>
                <w:szCs w:val="32"/>
              </w:rPr>
            </w:pPr>
            <w:r w:rsidRPr="00466F8B">
              <w:t>This document was developed as part of the requirements of an electrical and computer engineering course at Iowa State University, Ames, Iowa. The document does not constitute a professional engineering design or a professional land surveying document. Although the information is intended to be accurate, the associated students, faculty, and Iowa State University make no claims, promises, or guarantees about the accuracy, completeness, quality, or adequacy of the information. Document users shall ensure that any such use does not violate any laws with regard to professional licensing and certification requirements. Such use includes any work resulting from this student prepared document that is required to be under the responsible charge of a licensed engineer or surveyor. This document is copyrighted by the students who produced the document and the associated faculty advisors. No part may be reproduced without the written permission of the senior design course coordinator.</w:t>
            </w:r>
          </w:p>
        </w:tc>
      </w:tr>
    </w:tbl>
    <w:p w:rsidR="00EE3CF7" w:rsidRDefault="00EE3CF7" w:rsidP="00466F8B">
      <w:pPr>
        <w:rPr>
          <w:spacing w:val="20"/>
          <w:sz w:val="18"/>
          <w:szCs w:val="18"/>
        </w:rPr>
      </w:pPr>
    </w:p>
    <w:p w:rsidR="007860C4" w:rsidRDefault="007860C4" w:rsidP="00EE3CF7">
      <w:pPr>
        <w:pStyle w:val="Heading1"/>
        <w:sectPr w:rsidR="007860C4" w:rsidSect="00EB283B">
          <w:footerReference w:type="first" r:id="rId8"/>
          <w:pgSz w:w="12240" w:h="15840"/>
          <w:pgMar w:top="1440" w:right="1440" w:bottom="1440" w:left="1440" w:header="720" w:footer="720" w:gutter="0"/>
          <w:cols w:space="720"/>
          <w:docGrid w:linePitch="360"/>
        </w:sectPr>
      </w:pPr>
    </w:p>
    <w:p w:rsidR="00EE3CF7" w:rsidRPr="00EE3CF7" w:rsidRDefault="00FB7E38" w:rsidP="00EE3CF7">
      <w:pPr>
        <w:pStyle w:val="Heading1"/>
        <w:rPr>
          <w:caps/>
          <w:smallCaps w:val="0"/>
        </w:rPr>
      </w:pPr>
      <w:r>
        <w:lastRenderedPageBreak/>
        <w:t>Introduction</w:t>
      </w:r>
    </w:p>
    <w:p w:rsidR="00960969" w:rsidRDefault="00FB7E38" w:rsidP="007860C4">
      <w:pPr>
        <w:ind w:firstLine="360"/>
      </w:pPr>
      <w:r>
        <w:t xml:space="preserve">The InfiniBand </w:t>
      </w:r>
      <w:r w:rsidR="00960969">
        <w:t>specification</w:t>
      </w:r>
      <w:r>
        <w:t xml:space="preserve"> is </w:t>
      </w:r>
      <w:r w:rsidR="00960969">
        <w:t>a two-part document consisting of over a thousand pages. As one might expect, verifying that a particular implementation meets these specifications can be an difficult, time consuming and expensive process</w:t>
      </w:r>
      <w:r>
        <w:t>.</w:t>
      </w:r>
    </w:p>
    <w:p w:rsidR="00960969" w:rsidRDefault="00960969" w:rsidP="007860C4">
      <w:pPr>
        <w:ind w:firstLine="360"/>
      </w:pPr>
      <w:r>
        <w:t>As part of our project here at Iowa State University, we have developed open source VHDL implementations of the InfiniBand data link and physical layers. With initial implementation and preliminary verification nearing completion, we are moving on to addressing the issue of full scale verification.</w:t>
      </w:r>
    </w:p>
    <w:p w:rsidR="00960969" w:rsidRDefault="00960969" w:rsidP="007860C4">
      <w:pPr>
        <w:ind w:firstLine="360"/>
      </w:pPr>
      <w:r>
        <w:t xml:space="preserve">To that end, we are now beginning to develop a full-scale test harness which will </w:t>
      </w:r>
      <w:r>
        <w:lastRenderedPageBreak/>
        <w:t xml:space="preserve">allow a future development team to verify and expand upon our implementation in a straightforward manner. </w:t>
      </w:r>
    </w:p>
    <w:p w:rsidR="007860C4" w:rsidRDefault="007860C4" w:rsidP="007860C4"/>
    <w:p w:rsidR="00EE3CF7" w:rsidRDefault="00080CF4" w:rsidP="00EE3CF7">
      <w:pPr>
        <w:pStyle w:val="Heading1"/>
      </w:pPr>
      <w:r>
        <w:t>System Architecture</w:t>
      </w:r>
    </w:p>
    <w:p w:rsidR="00080CF4" w:rsidRDefault="00AA4E68" w:rsidP="00EE3CF7">
      <w:r>
        <w:rPr>
          <w:b/>
        </w:rPr>
        <w:fldChar w:fldCharType="begin"/>
      </w:r>
      <w:r w:rsidR="00080CF4">
        <w:instrText xml:space="preserve"> REF _Ref226198296 \h </w:instrText>
      </w:r>
      <w:r>
        <w:rPr>
          <w:b/>
        </w:rPr>
      </w:r>
      <w:r>
        <w:rPr>
          <w:b/>
        </w:rPr>
        <w:fldChar w:fldCharType="separate"/>
      </w:r>
      <w:r w:rsidR="00E900F5">
        <w:t xml:space="preserve">Figure </w:t>
      </w:r>
      <w:r w:rsidR="00E900F5">
        <w:rPr>
          <w:noProof/>
        </w:rPr>
        <w:t>1</w:t>
      </w:r>
      <w:r>
        <w:rPr>
          <w:b/>
        </w:rPr>
        <w:fldChar w:fldCharType="end"/>
      </w:r>
      <w:r w:rsidR="00080CF4">
        <w:rPr>
          <w:b/>
        </w:rPr>
        <w:t xml:space="preserve"> </w:t>
      </w:r>
      <w:r w:rsidR="00080CF4">
        <w:t xml:space="preserve">provides a top level diagram of the test harness architecture. A PowerPC 440 core on a Virtex-5 FPGA is interfaced to one or more InfiniBand test harnesses over the IBM Processor Local Bus (PLB). Each test harness contains an instance of the InfiniBand link and physical layers, as well as an instance of the Xilinx RocketIO gigabit transceiver IP core. </w:t>
      </w:r>
    </w:p>
    <w:p w:rsidR="007860C4" w:rsidRDefault="007860C4" w:rsidP="00EE3CF7">
      <w:pPr>
        <w:sectPr w:rsidR="007860C4" w:rsidSect="00EB283B">
          <w:type w:val="continuous"/>
          <w:pgSz w:w="12240" w:h="15840"/>
          <w:pgMar w:top="1440" w:right="1440" w:bottom="1440" w:left="1440" w:header="720" w:footer="720" w:gutter="0"/>
          <w:pgNumType w:start="1"/>
          <w:cols w:num="2" w:space="720"/>
          <w:titlePg/>
          <w:docGrid w:linePitch="360"/>
        </w:sectPr>
      </w:pPr>
    </w:p>
    <w:p w:rsidR="00080CF4" w:rsidRDefault="00080CF4" w:rsidP="00EE3CF7"/>
    <w:p w:rsidR="00080CF4" w:rsidRDefault="00080CF4" w:rsidP="00080CF4">
      <w:pPr>
        <w:keepNext/>
        <w:jc w:val="center"/>
      </w:pPr>
      <w:r>
        <w:object w:dxaOrig="9974" w:dyaOrig="76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468pt;height:357.5pt" o:ole="">
            <v:imagedata r:id="rId9" o:title=""/>
          </v:shape>
          <o:OLEObject Type="Embed" ProgID="Visio.Drawing.11" ShapeID="_x0000_i1070" DrawAspect="Content" ObjectID="_1300091703" r:id="rId10"/>
        </w:object>
      </w:r>
    </w:p>
    <w:p w:rsidR="00287024" w:rsidRPr="00080CF4" w:rsidRDefault="00080CF4" w:rsidP="00080CF4">
      <w:pPr>
        <w:pStyle w:val="Caption"/>
        <w:jc w:val="center"/>
      </w:pPr>
      <w:bookmarkStart w:id="0" w:name="_Ref226198296"/>
      <w:r>
        <w:t xml:space="preserve">Figure </w:t>
      </w:r>
      <w:fldSimple w:instr=" SEQ Figure \* ARABIC ">
        <w:r w:rsidR="00E900F5">
          <w:rPr>
            <w:noProof/>
          </w:rPr>
          <w:t>1</w:t>
        </w:r>
      </w:fldSimple>
      <w:bookmarkEnd w:id="0"/>
      <w:r>
        <w:t xml:space="preserve"> - System Diagram</w:t>
      </w:r>
    </w:p>
    <w:p w:rsidR="00985410" w:rsidRPr="00EE3CF7" w:rsidRDefault="00985410" w:rsidP="00287024">
      <w:pPr>
        <w:jc w:val="center"/>
      </w:pPr>
      <w:r w:rsidRPr="00EE3CF7">
        <w:br w:type="page"/>
      </w:r>
    </w:p>
    <w:p w:rsidR="008123B7" w:rsidRDefault="008123B7" w:rsidP="008123B7">
      <w:pPr>
        <w:pStyle w:val="Heading1"/>
        <w:sectPr w:rsidR="008123B7" w:rsidSect="00EB283B">
          <w:type w:val="continuous"/>
          <w:pgSz w:w="12240" w:h="15840"/>
          <w:pgMar w:top="1440" w:right="1440" w:bottom="1440" w:left="1440" w:header="720" w:footer="720" w:gutter="0"/>
          <w:cols w:space="720"/>
          <w:titlePg/>
          <w:docGrid w:linePitch="360"/>
        </w:sectPr>
      </w:pPr>
    </w:p>
    <w:p w:rsidR="0028621F" w:rsidRDefault="008123B7" w:rsidP="008123B7">
      <w:pPr>
        <w:pStyle w:val="Heading1"/>
      </w:pPr>
      <w:r>
        <w:lastRenderedPageBreak/>
        <w:t>Test Harness Architecture</w:t>
      </w:r>
    </w:p>
    <w:p w:rsidR="008123B7" w:rsidRDefault="008123B7" w:rsidP="008123B7">
      <w:pPr>
        <w:ind w:firstLine="360"/>
      </w:pPr>
      <w:r>
        <w:t>The test harness itself will include an instance of the InfiniBand link and physical layers, a PLB control interface, and a variety of programmable interconnects to provide the maximum possible level of flexibility for the user.</w:t>
      </w:r>
    </w:p>
    <w:p w:rsidR="008123B7" w:rsidRDefault="00AA4E68" w:rsidP="008123B7">
      <w:pPr>
        <w:ind w:firstLine="360"/>
      </w:pPr>
      <w:r>
        <w:rPr>
          <w:noProof/>
        </w:rPr>
        <w:pict>
          <v:shape id="_x0000_s1028" type="#_x0000_t75" style="position:absolute;left:0;text-align:left;margin-left:216.6pt;margin-top:53pt;width:302.4pt;height:451.35pt;z-index:251662336;mso-position-horizontal-relative:text;mso-position-vertical-relative:text;mso-width-relative:page;mso-height-relative:page">
            <v:imagedata r:id="rId11" o:title=""/>
            <w10:wrap type="square"/>
          </v:shape>
          <o:OLEObject Type="Embed" ProgID="Visio.Drawing.11" ShapeID="_x0000_s1028" DrawAspect="Content" ObjectID="_1300091705" r:id="rId12"/>
        </w:pict>
      </w:r>
      <w:r>
        <w:rPr>
          <w:b/>
        </w:rPr>
        <w:fldChar w:fldCharType="begin"/>
      </w:r>
      <w:r w:rsidR="008123B7">
        <w:instrText xml:space="preserve"> REF _Ref226200440 \h </w:instrText>
      </w:r>
      <w:r>
        <w:rPr>
          <w:b/>
        </w:rPr>
      </w:r>
      <w:r>
        <w:rPr>
          <w:b/>
        </w:rPr>
        <w:fldChar w:fldCharType="separate"/>
      </w:r>
      <w:r w:rsidR="00E900F5">
        <w:t xml:space="preserve">Figure </w:t>
      </w:r>
      <w:r w:rsidR="00E900F5">
        <w:rPr>
          <w:noProof/>
        </w:rPr>
        <w:t>2</w:t>
      </w:r>
      <w:r>
        <w:rPr>
          <w:b/>
        </w:rPr>
        <w:fldChar w:fldCharType="end"/>
      </w:r>
      <w:r w:rsidR="008123B7">
        <w:t xml:space="preserve"> depicts the basic architecture of the test harness. </w:t>
      </w:r>
      <w:r w:rsidR="009832E6">
        <w:t>The PLB interface connects the control interface of the test harness to the PLB, the control register allows the user to program the various interconnects and control the operation of the test harness, and t</w:t>
      </w:r>
      <w:r w:rsidR="008123B7">
        <w:t xml:space="preserve">he TX and RX FIFOs allow the user to inject and extract data into and out of the datapath at various points. </w:t>
      </w:r>
    </w:p>
    <w:p w:rsidR="008123B7" w:rsidRDefault="008123B7" w:rsidP="009832E6">
      <w:pPr>
        <w:keepNext/>
      </w:pPr>
    </w:p>
    <w:p w:rsidR="008123B7" w:rsidRDefault="009832E6" w:rsidP="008123B7">
      <w:pPr>
        <w:pStyle w:val="Heading2"/>
        <w:pBdr>
          <w:bottom w:val="single" w:sz="4" w:space="0" w:color="622423" w:themeColor="accent2" w:themeShade="7F"/>
        </w:pBdr>
      </w:pPr>
      <w:r>
        <w:t>PLB Interface</w:t>
      </w:r>
    </w:p>
    <w:p w:rsidR="009832E6" w:rsidRDefault="009832E6" w:rsidP="009832E6">
      <w:pPr>
        <w:ind w:firstLine="576"/>
      </w:pPr>
      <w:r>
        <w:t>The PLB interface provides handles the translation of PLB signals into a format compatible with the test harness interface. The test harness appears to the PLB as 3 memory mapped registers. The memory map for the test harness is given in appendix A.</w:t>
      </w:r>
    </w:p>
    <w:p w:rsidR="009832E6" w:rsidRDefault="009832E6" w:rsidP="009832E6">
      <w:pPr>
        <w:ind w:firstLine="576"/>
      </w:pPr>
    </w:p>
    <w:p w:rsidR="009832E6" w:rsidRPr="009832E6" w:rsidRDefault="009832E6" w:rsidP="009832E6">
      <w:pPr>
        <w:pStyle w:val="Heading2"/>
      </w:pPr>
      <w:r>
        <w:t>Control Register</w:t>
      </w:r>
    </w:p>
    <w:p w:rsidR="00576122" w:rsidRDefault="009832E6" w:rsidP="009832E6">
      <w:pPr>
        <w:ind w:firstLine="576"/>
      </w:pPr>
      <w:r>
        <w:t xml:space="preserve">The control register is the primary control interface for the test harness. </w:t>
      </w:r>
      <w:r w:rsidR="00576122">
        <w:t xml:space="preserve">The layout of the register and a description of the different fields </w:t>
      </w:r>
      <w:r w:rsidR="006B22F5">
        <w:t>are</w:t>
      </w:r>
      <w:r w:rsidR="00576122">
        <w:t xml:space="preserve"> given in appendix B.</w:t>
      </w:r>
    </w:p>
    <w:p w:rsidR="00576122" w:rsidRDefault="00576122" w:rsidP="009832E6">
      <w:pPr>
        <w:ind w:firstLine="576"/>
      </w:pPr>
    </w:p>
    <w:p w:rsidR="00576122" w:rsidRDefault="00576122" w:rsidP="00576122">
      <w:pPr>
        <w:pStyle w:val="Heading2"/>
      </w:pPr>
      <w:r>
        <w:t>RX and TX FIFOs</w:t>
      </w:r>
    </w:p>
    <w:p w:rsidR="00576122" w:rsidRDefault="00576122" w:rsidP="00576122">
      <w:pPr>
        <w:ind w:firstLine="576"/>
      </w:pPr>
      <w:r>
        <w:t xml:space="preserve">The RX and TX FIFOs allow the user to inject and extract data to and from various points on the datapath. </w:t>
      </w:r>
    </w:p>
    <w:p w:rsidR="00576122" w:rsidRDefault="00576122" w:rsidP="00576122">
      <w:pPr>
        <w:ind w:firstLine="576"/>
      </w:pPr>
      <w:r>
        <w:t xml:space="preserve">To inject data into a point on the datapath, the user first fills the FIFO buffer with the data to be injected, then sets the TX tap point in the control register. The data from the FIFO will be injected into the datapath at a rate of one word per cycle until the FIFO is empty. Once the FIFO is empty, the  TX tap point is automatically reset so that no data is injected into the datapath. While data is being read from the </w:t>
      </w:r>
      <w:r>
        <w:lastRenderedPageBreak/>
        <w:t>FIFO, the user may continue to add data to the FIFO.</w:t>
      </w:r>
    </w:p>
    <w:p w:rsidR="00576122" w:rsidRPr="00960969" w:rsidRDefault="00576122" w:rsidP="00576122">
      <w:pPr>
        <w:ind w:firstLine="576"/>
      </w:pPr>
      <w:r>
        <w:t xml:space="preserve">To extract data from the datapath, the user configures the RX tap point to the appropriate position. Data from the datapath will then be written to the RX FIFO at a rate of one word per cycle until the RX FIFO is full, at which point the oldest data in the FIFO is ejected. The end result is that the RX FIFO contains the last </w:t>
      </w:r>
      <w:r w:rsidR="00960969">
        <w:t>8k values of the connected bus.</w:t>
      </w:r>
    </w:p>
    <w:p w:rsidR="009832E6" w:rsidRDefault="00AA4E68" w:rsidP="00E900F5">
      <w:pPr>
        <w:sectPr w:rsidR="009832E6" w:rsidSect="00EB283B">
          <w:type w:val="continuous"/>
          <w:pgSz w:w="12240" w:h="15840"/>
          <w:pgMar w:top="1440" w:right="1440" w:bottom="1440" w:left="1440" w:header="720" w:footer="720" w:gutter="0"/>
          <w:cols w:num="2" w:space="720"/>
          <w:titlePg/>
          <w:docGrid w:linePitch="360"/>
        </w:sectPr>
      </w:pPr>
      <w:r>
        <w:rPr>
          <w:noProof/>
          <w:lang w:eastAsia="zh-TW"/>
        </w:rPr>
        <w:pict>
          <v:shapetype id="_x0000_t202" coordsize="21600,21600" o:spt="202" path="m,l,21600r21600,l21600,xe">
            <v:stroke joinstyle="miter"/>
            <v:path gradientshapeok="t" o:connecttype="rect"/>
          </v:shapetype>
          <v:shape id="_x0000_s1027" type="#_x0000_t202" style="position:absolute;margin-left:9.5pt;margin-top:463.05pt;width:185.9pt;height:19.1pt;z-index:251660288;mso-width-percent:400;mso-width-percent:400;mso-width-relative:margin;mso-height-relative:margin" strokecolor="white [3212]">
            <v:textbox style="mso-next-textbox:#_x0000_s1027">
              <w:txbxContent>
                <w:p w:rsidR="004B439B" w:rsidRDefault="004B439B" w:rsidP="009832E6">
                  <w:pPr>
                    <w:pStyle w:val="Caption"/>
                    <w:jc w:val="center"/>
                  </w:pPr>
                  <w:bookmarkStart w:id="1" w:name="_Ref226200440"/>
                  <w:r>
                    <w:t xml:space="preserve">Figure </w:t>
                  </w:r>
                  <w:fldSimple w:instr=" SEQ Figure \* ARABIC ">
                    <w:r>
                      <w:rPr>
                        <w:noProof/>
                      </w:rPr>
                      <w:t>2</w:t>
                    </w:r>
                  </w:fldSimple>
                  <w:bookmarkEnd w:id="1"/>
                  <w:r>
                    <w:t xml:space="preserve"> - Test Harness Diagram</w:t>
                  </w:r>
                </w:p>
              </w:txbxContent>
            </v:textbox>
            <w10:wrap type="square"/>
          </v:shape>
        </w:pict>
      </w:r>
      <w:r w:rsidR="009832E6">
        <w:br w:type="page"/>
      </w:r>
    </w:p>
    <w:p w:rsidR="009832E6" w:rsidRDefault="009832E6" w:rsidP="009832E6">
      <w:pPr>
        <w:pStyle w:val="Heading1"/>
        <w:numPr>
          <w:ilvl w:val="0"/>
          <w:numId w:val="0"/>
        </w:numPr>
      </w:pPr>
      <w:r>
        <w:lastRenderedPageBreak/>
        <w:t>Appendix A – Memory Map</w:t>
      </w:r>
    </w:p>
    <w:p w:rsidR="009832E6" w:rsidRDefault="009832E6" w:rsidP="009832E6">
      <w:pPr>
        <w:sectPr w:rsidR="009832E6" w:rsidSect="00EB283B">
          <w:type w:val="continuous"/>
          <w:pgSz w:w="12240" w:h="15840"/>
          <w:pgMar w:top="1440" w:right="1440" w:bottom="1440" w:left="1440" w:header="720" w:footer="720" w:gutter="0"/>
          <w:cols w:space="720"/>
          <w:titlePg/>
          <w:docGrid w:linePitch="360"/>
        </w:sectPr>
      </w:pPr>
    </w:p>
    <w:tbl>
      <w:tblPr>
        <w:tblStyle w:val="TableGrid"/>
        <w:tblW w:w="0" w:type="auto"/>
        <w:tblLook w:val="04A0"/>
      </w:tblPr>
      <w:tblGrid>
        <w:gridCol w:w="2538"/>
        <w:gridCol w:w="1800"/>
        <w:gridCol w:w="5238"/>
      </w:tblGrid>
      <w:tr w:rsidR="00BC0F57" w:rsidTr="00BC0F57">
        <w:tc>
          <w:tcPr>
            <w:tcW w:w="2538" w:type="dxa"/>
            <w:tcBorders>
              <w:right w:val="nil"/>
            </w:tcBorders>
          </w:tcPr>
          <w:p w:rsidR="00BC0F57" w:rsidRPr="00BC0F57" w:rsidRDefault="00BC0F57" w:rsidP="00BC0F57">
            <w:pPr>
              <w:rPr>
                <w:rFonts w:ascii="Lucida Console" w:hAnsi="Lucida Console"/>
              </w:rPr>
            </w:pPr>
            <w:r w:rsidRPr="00BC0F57">
              <w:rPr>
                <w:rFonts w:ascii="Lucida Console" w:hAnsi="Lucida Console"/>
              </w:rPr>
              <w:lastRenderedPageBreak/>
              <w:t>Index from base address</w:t>
            </w:r>
          </w:p>
        </w:tc>
        <w:tc>
          <w:tcPr>
            <w:tcW w:w="1800" w:type="dxa"/>
            <w:tcBorders>
              <w:left w:val="nil"/>
              <w:right w:val="nil"/>
            </w:tcBorders>
          </w:tcPr>
          <w:p w:rsidR="00BC0F57" w:rsidRPr="00BC0F57" w:rsidRDefault="00BC0F57" w:rsidP="00BC0F57">
            <w:pPr>
              <w:rPr>
                <w:rFonts w:ascii="Lucida Console" w:hAnsi="Lucida Console"/>
              </w:rPr>
            </w:pPr>
            <w:r w:rsidRPr="00BC0F57">
              <w:rPr>
                <w:rFonts w:ascii="Lucida Console" w:hAnsi="Lucida Console"/>
              </w:rPr>
              <w:t>Mapped Object</w:t>
            </w:r>
          </w:p>
        </w:tc>
        <w:tc>
          <w:tcPr>
            <w:tcW w:w="5238" w:type="dxa"/>
            <w:tcBorders>
              <w:left w:val="nil"/>
            </w:tcBorders>
          </w:tcPr>
          <w:p w:rsidR="00BC0F57" w:rsidRPr="00BC0F57" w:rsidRDefault="00BC0F57" w:rsidP="00BC0F57">
            <w:pPr>
              <w:rPr>
                <w:rFonts w:ascii="Lucida Console" w:hAnsi="Lucida Console"/>
              </w:rPr>
            </w:pPr>
            <w:r w:rsidRPr="00BC0F57">
              <w:rPr>
                <w:rFonts w:ascii="Lucida Console" w:hAnsi="Lucida Console"/>
              </w:rPr>
              <w:t>Description</w:t>
            </w:r>
          </w:p>
        </w:tc>
      </w:tr>
      <w:tr w:rsidR="00BC0F57" w:rsidTr="00BC0F57">
        <w:tc>
          <w:tcPr>
            <w:tcW w:w="2538" w:type="dxa"/>
          </w:tcPr>
          <w:p w:rsidR="00BC0F57" w:rsidRPr="00BC0F57" w:rsidRDefault="00BC0F57" w:rsidP="00BC0F57">
            <w:pPr>
              <w:rPr>
                <w:rFonts w:ascii="Lucida Console" w:hAnsi="Lucida Console"/>
              </w:rPr>
            </w:pPr>
            <w:r w:rsidRPr="00BC0F57">
              <w:rPr>
                <w:rFonts w:ascii="Lucida Console" w:hAnsi="Lucida Console"/>
              </w:rPr>
              <w:t>+0</w:t>
            </w:r>
            <w:r>
              <w:rPr>
                <w:rFonts w:ascii="Lucida Console" w:hAnsi="Lucida Console"/>
              </w:rPr>
              <w:t>x00</w:t>
            </w:r>
          </w:p>
        </w:tc>
        <w:tc>
          <w:tcPr>
            <w:tcW w:w="1800" w:type="dxa"/>
          </w:tcPr>
          <w:p w:rsidR="00BC0F57" w:rsidRPr="00BC0F57" w:rsidRDefault="00BC0F57" w:rsidP="00BC0F57">
            <w:pPr>
              <w:jc w:val="right"/>
              <w:rPr>
                <w:rFonts w:ascii="Lucida Console" w:hAnsi="Lucida Console"/>
              </w:rPr>
            </w:pPr>
            <w:r>
              <w:rPr>
                <w:rFonts w:ascii="Lucida Console" w:hAnsi="Lucida Console"/>
              </w:rPr>
              <w:t>SCR</w:t>
            </w:r>
          </w:p>
        </w:tc>
        <w:tc>
          <w:tcPr>
            <w:tcW w:w="5238" w:type="dxa"/>
          </w:tcPr>
          <w:p w:rsidR="00BC0F57" w:rsidRPr="00BC0F57" w:rsidRDefault="00BC0F57" w:rsidP="00BC0F57">
            <w:pPr>
              <w:rPr>
                <w:rFonts w:ascii="Lucida Console" w:hAnsi="Lucida Console"/>
              </w:rPr>
            </w:pPr>
            <w:r>
              <w:rPr>
                <w:rFonts w:ascii="Lucida Console" w:hAnsi="Lucida Console"/>
              </w:rPr>
              <w:t>Status and control register</w:t>
            </w:r>
          </w:p>
        </w:tc>
      </w:tr>
      <w:tr w:rsidR="00BC0F57" w:rsidTr="00BC0F57">
        <w:tc>
          <w:tcPr>
            <w:tcW w:w="2538" w:type="dxa"/>
          </w:tcPr>
          <w:p w:rsidR="00BC0F57" w:rsidRPr="00BC0F57" w:rsidRDefault="00BC0F57" w:rsidP="00BC0F57">
            <w:pPr>
              <w:rPr>
                <w:rFonts w:ascii="Lucida Console" w:hAnsi="Lucida Console"/>
              </w:rPr>
            </w:pPr>
            <w:r>
              <w:rPr>
                <w:rFonts w:ascii="Lucida Console" w:hAnsi="Lucida Console"/>
              </w:rPr>
              <w:t>+0x04</w:t>
            </w:r>
          </w:p>
        </w:tc>
        <w:tc>
          <w:tcPr>
            <w:tcW w:w="1800" w:type="dxa"/>
          </w:tcPr>
          <w:p w:rsidR="00BC0F57" w:rsidRDefault="00BC0F57" w:rsidP="00BC0F57">
            <w:pPr>
              <w:jc w:val="right"/>
              <w:rPr>
                <w:rFonts w:ascii="Lucida Console" w:hAnsi="Lucida Console"/>
              </w:rPr>
            </w:pPr>
            <w:r>
              <w:rPr>
                <w:rFonts w:ascii="Lucida Console" w:hAnsi="Lucida Console"/>
              </w:rPr>
              <w:t>TX_WR*</w:t>
            </w:r>
          </w:p>
        </w:tc>
        <w:tc>
          <w:tcPr>
            <w:tcW w:w="5238" w:type="dxa"/>
          </w:tcPr>
          <w:p w:rsidR="00BC0F57" w:rsidRDefault="00BC0F57" w:rsidP="00BC0F57">
            <w:pPr>
              <w:rPr>
                <w:rFonts w:ascii="Lucida Console" w:hAnsi="Lucida Console"/>
              </w:rPr>
            </w:pPr>
            <w:r>
              <w:rPr>
                <w:rFonts w:ascii="Lucida Console" w:hAnsi="Lucida Console"/>
              </w:rPr>
              <w:t>TXFIFO write register</w:t>
            </w:r>
          </w:p>
        </w:tc>
      </w:tr>
      <w:tr w:rsidR="00BC0F57" w:rsidTr="00BC0F57">
        <w:tc>
          <w:tcPr>
            <w:tcW w:w="2538" w:type="dxa"/>
          </w:tcPr>
          <w:p w:rsidR="00BC0F57" w:rsidRDefault="00BC0F57" w:rsidP="00BC0F57">
            <w:pPr>
              <w:rPr>
                <w:rFonts w:ascii="Lucida Console" w:hAnsi="Lucida Console"/>
              </w:rPr>
            </w:pPr>
            <w:r>
              <w:rPr>
                <w:rFonts w:ascii="Lucida Console" w:hAnsi="Lucida Console"/>
              </w:rPr>
              <w:t>+0x08</w:t>
            </w:r>
          </w:p>
        </w:tc>
        <w:tc>
          <w:tcPr>
            <w:tcW w:w="1800" w:type="dxa"/>
          </w:tcPr>
          <w:p w:rsidR="00BC0F57" w:rsidRDefault="00BC0F57" w:rsidP="00BC0F57">
            <w:pPr>
              <w:jc w:val="right"/>
              <w:rPr>
                <w:rFonts w:ascii="Lucida Console" w:hAnsi="Lucida Console"/>
              </w:rPr>
            </w:pPr>
            <w:r>
              <w:rPr>
                <w:rFonts w:ascii="Lucida Console" w:hAnsi="Lucida Console"/>
              </w:rPr>
              <w:t>RX_RD**</w:t>
            </w:r>
          </w:p>
        </w:tc>
        <w:tc>
          <w:tcPr>
            <w:tcW w:w="5238" w:type="dxa"/>
          </w:tcPr>
          <w:p w:rsidR="00BC0F57" w:rsidRDefault="00BC0F57" w:rsidP="00BC0F57">
            <w:pPr>
              <w:rPr>
                <w:rFonts w:ascii="Lucida Console" w:hAnsi="Lucida Console"/>
              </w:rPr>
            </w:pPr>
            <w:r>
              <w:rPr>
                <w:rFonts w:ascii="Lucida Console" w:hAnsi="Lucida Console"/>
              </w:rPr>
              <w:t>RXFIFO read register</w:t>
            </w:r>
          </w:p>
        </w:tc>
      </w:tr>
    </w:tbl>
    <w:p w:rsidR="00BC0F57" w:rsidRPr="00EB283B" w:rsidRDefault="00EB283B" w:rsidP="00EB283B">
      <w:pPr>
        <w:spacing w:line="240" w:lineRule="auto"/>
        <w:contextualSpacing/>
        <w:rPr>
          <w:i/>
        </w:rPr>
      </w:pPr>
      <w:r w:rsidRPr="00EB283B">
        <w:rPr>
          <w:i/>
        </w:rPr>
        <w:t>*</w:t>
      </w:r>
      <w:r w:rsidRPr="00EB283B">
        <w:rPr>
          <w:i/>
        </w:rPr>
        <w:tab/>
        <w:t>Register is write-only</w:t>
      </w:r>
    </w:p>
    <w:p w:rsidR="00EB283B" w:rsidRPr="00EB283B" w:rsidRDefault="00EB283B" w:rsidP="00EB283B">
      <w:pPr>
        <w:spacing w:line="240" w:lineRule="auto"/>
        <w:contextualSpacing/>
        <w:rPr>
          <w:i/>
        </w:rPr>
      </w:pPr>
      <w:r w:rsidRPr="00EB283B">
        <w:rPr>
          <w:i/>
        </w:rPr>
        <w:t xml:space="preserve">** </w:t>
      </w:r>
      <w:r w:rsidRPr="00EB283B">
        <w:rPr>
          <w:i/>
        </w:rPr>
        <w:tab/>
        <w:t>Register is read-only.</w:t>
      </w:r>
    </w:p>
    <w:p w:rsidR="00BC0F57" w:rsidRDefault="00BC0F57">
      <w:pPr>
        <w:spacing w:after="200"/>
      </w:pPr>
    </w:p>
    <w:p w:rsidR="00BC0F57" w:rsidRDefault="00BC0F57">
      <w:pPr>
        <w:spacing w:after="200"/>
        <w:sectPr w:rsidR="00BC0F57" w:rsidSect="00EB283B">
          <w:type w:val="continuous"/>
          <w:pgSz w:w="12240" w:h="15840"/>
          <w:pgMar w:top="1440" w:right="1440" w:bottom="1440" w:left="1440" w:header="720" w:footer="720" w:gutter="0"/>
          <w:cols w:space="720"/>
          <w:titlePg/>
          <w:docGrid w:linePitch="360"/>
        </w:sectPr>
      </w:pPr>
    </w:p>
    <w:p w:rsidR="009832E6" w:rsidRDefault="009832E6">
      <w:pPr>
        <w:spacing w:after="200"/>
      </w:pPr>
      <w:r>
        <w:lastRenderedPageBreak/>
        <w:br w:type="page"/>
      </w:r>
    </w:p>
    <w:p w:rsidR="009832E6" w:rsidRDefault="009832E6" w:rsidP="009832E6">
      <w:pPr>
        <w:pStyle w:val="Heading1"/>
        <w:numPr>
          <w:ilvl w:val="0"/>
          <w:numId w:val="0"/>
        </w:numPr>
        <w:sectPr w:rsidR="009832E6" w:rsidSect="00EB283B">
          <w:type w:val="continuous"/>
          <w:pgSz w:w="12240" w:h="15840"/>
          <w:pgMar w:top="1440" w:right="1440" w:bottom="1440" w:left="1440" w:header="720" w:footer="720" w:gutter="0"/>
          <w:cols w:num="2" w:space="720"/>
          <w:titlePg/>
          <w:docGrid w:linePitch="360"/>
        </w:sectPr>
      </w:pPr>
    </w:p>
    <w:p w:rsidR="009832E6" w:rsidRDefault="009832E6" w:rsidP="009832E6">
      <w:pPr>
        <w:pStyle w:val="Heading1"/>
        <w:numPr>
          <w:ilvl w:val="0"/>
          <w:numId w:val="0"/>
        </w:numPr>
      </w:pPr>
      <w:r>
        <w:lastRenderedPageBreak/>
        <w:t xml:space="preserve">Appendix B – </w:t>
      </w:r>
      <w:r w:rsidR="00BC0F57">
        <w:t xml:space="preserve">Status and </w:t>
      </w:r>
      <w:r>
        <w:t>Control Register</w:t>
      </w:r>
    </w:p>
    <w:p w:rsidR="009832E6" w:rsidRDefault="009832E6" w:rsidP="009832E6">
      <w:pPr>
        <w:sectPr w:rsidR="009832E6" w:rsidSect="00EB283B">
          <w:type w:val="continuous"/>
          <w:pgSz w:w="12240" w:h="15840"/>
          <w:pgMar w:top="1440" w:right="1440" w:bottom="1440" w:left="1440" w:header="720" w:footer="720" w:gutter="0"/>
          <w:cols w:space="720"/>
          <w:titlePg/>
          <w:docGrid w:linePitch="360"/>
        </w:sectPr>
      </w:pPr>
    </w:p>
    <w:p w:rsidR="009832E6" w:rsidRDefault="009832E6" w:rsidP="009832E6">
      <w:pPr>
        <w:keepNext/>
      </w:pPr>
      <w:r>
        <w:lastRenderedPageBreak/>
        <w:t>TBD.</w:t>
      </w:r>
    </w:p>
    <w:p w:rsidR="009832E6" w:rsidRDefault="009832E6" w:rsidP="009832E6">
      <w:pPr>
        <w:keepNext/>
      </w:pPr>
    </w:p>
    <w:p w:rsidR="009832E6" w:rsidRDefault="009832E6" w:rsidP="009832E6">
      <w:pPr>
        <w:keepNext/>
      </w:pPr>
      <w:r>
        <w:object w:dxaOrig="9434" w:dyaOrig="794">
          <v:shape id="_x0000_i1027" type="#_x0000_t75" style="width:468pt;height:39.35pt" o:ole="">
            <v:imagedata r:id="rId13" o:title=""/>
          </v:shape>
          <o:OLEObject Type="Embed" ProgID="Visio.Drawing.11" ShapeID="_x0000_i1027" DrawAspect="Content" ObjectID="_1300091704" r:id="rId14"/>
        </w:object>
      </w:r>
    </w:p>
    <w:p w:rsidR="009832E6" w:rsidRPr="009832E6" w:rsidRDefault="009832E6" w:rsidP="009832E6">
      <w:pPr>
        <w:pStyle w:val="Caption"/>
        <w:jc w:val="center"/>
      </w:pPr>
      <w:r>
        <w:t xml:space="preserve">Figure </w:t>
      </w:r>
      <w:fldSimple w:instr=" SEQ Figure \* ARABIC ">
        <w:r w:rsidR="00E900F5">
          <w:rPr>
            <w:noProof/>
          </w:rPr>
          <w:t>3</w:t>
        </w:r>
      </w:fldSimple>
      <w:r>
        <w:t xml:space="preserve"> - Control Register Layout</w:t>
      </w:r>
    </w:p>
    <w:sectPr w:rsidR="009832E6" w:rsidRPr="009832E6" w:rsidSect="00EB283B">
      <w:type w:val="continuous"/>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439B" w:rsidRDefault="004B439B" w:rsidP="00FB7E38">
      <w:pPr>
        <w:spacing w:line="240" w:lineRule="auto"/>
      </w:pPr>
      <w:r>
        <w:separator/>
      </w:r>
    </w:p>
  </w:endnote>
  <w:endnote w:type="continuationSeparator" w:id="1">
    <w:p w:rsidR="004B439B" w:rsidRDefault="004B439B" w:rsidP="00FB7E3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935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80"/>
      <w:gridCol w:w="4120"/>
      <w:gridCol w:w="550"/>
    </w:tblGrid>
    <w:tr w:rsidR="004B439B" w:rsidTr="00E900F5">
      <w:tc>
        <w:tcPr>
          <w:tcW w:w="4680" w:type="dxa"/>
          <w:tcBorders>
            <w:bottom w:val="single" w:sz="4" w:space="0" w:color="632423" w:themeColor="accent2" w:themeShade="80"/>
          </w:tcBorders>
        </w:tcPr>
        <w:p w:rsidR="004B439B" w:rsidRPr="00E900F5" w:rsidRDefault="004B439B">
          <w:pPr>
            <w:pStyle w:val="Footer"/>
            <w:rPr>
              <w:i/>
              <w:smallCaps/>
            </w:rPr>
          </w:pPr>
          <w:r w:rsidRPr="00E900F5">
            <w:rPr>
              <w:i/>
              <w:smallCaps/>
            </w:rPr>
            <w:t>InfiniBand FPGA Test Harness Architecture</w:t>
          </w:r>
        </w:p>
      </w:tc>
      <w:tc>
        <w:tcPr>
          <w:tcW w:w="4120" w:type="dxa"/>
          <w:tcBorders>
            <w:bottom w:val="single" w:sz="4" w:space="0" w:color="632423" w:themeColor="accent2" w:themeShade="80"/>
            <w:right w:val="single" w:sz="4" w:space="0" w:color="632423" w:themeColor="accent2" w:themeShade="80"/>
          </w:tcBorders>
        </w:tcPr>
        <w:p w:rsidR="004B439B" w:rsidRPr="00E900F5" w:rsidRDefault="004B439B" w:rsidP="00EB283B">
          <w:pPr>
            <w:pStyle w:val="Footer"/>
            <w:jc w:val="right"/>
            <w:rPr>
              <w:i/>
            </w:rPr>
          </w:pPr>
          <w:r w:rsidRPr="00E900F5">
            <w:rPr>
              <w:i/>
            </w:rPr>
            <w:t>PRELIMINARY</w:t>
          </w:r>
        </w:p>
      </w:tc>
      <w:tc>
        <w:tcPr>
          <w:tcW w:w="550" w:type="dxa"/>
          <w:tcBorders>
            <w:top w:val="single" w:sz="4" w:space="0" w:color="632423" w:themeColor="accent2" w:themeShade="80"/>
            <w:left w:val="single" w:sz="4" w:space="0" w:color="632423" w:themeColor="accent2" w:themeShade="80"/>
            <w:right w:val="single" w:sz="4" w:space="0" w:color="632423" w:themeColor="accent2" w:themeShade="80"/>
          </w:tcBorders>
        </w:tcPr>
        <w:p w:rsidR="004B439B" w:rsidRPr="00EB283B" w:rsidRDefault="004B439B" w:rsidP="00EB283B">
          <w:pPr>
            <w:pStyle w:val="Footer"/>
            <w:jc w:val="center"/>
          </w:pPr>
          <w:fldSimple w:instr=" PAGE   \* MERGEFORMAT ">
            <w:r w:rsidR="006E6AFC">
              <w:rPr>
                <w:noProof/>
              </w:rPr>
              <w:t>1</w:t>
            </w:r>
          </w:fldSimple>
        </w:p>
      </w:tc>
    </w:tr>
  </w:tbl>
  <w:p w:rsidR="004B439B" w:rsidRPr="00EB283B" w:rsidRDefault="004B439B">
    <w:pPr>
      <w:pStyle w:val="Footer"/>
      <w:rPr>
        <w:i/>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439B" w:rsidRDefault="004B439B" w:rsidP="00FB7E38">
      <w:pPr>
        <w:spacing w:line="240" w:lineRule="auto"/>
      </w:pPr>
      <w:r>
        <w:separator/>
      </w:r>
    </w:p>
  </w:footnote>
  <w:footnote w:type="continuationSeparator" w:id="1">
    <w:p w:rsidR="004B439B" w:rsidRDefault="004B439B" w:rsidP="00FB7E38">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3F66E9"/>
    <w:multiLevelType w:val="hybridMultilevel"/>
    <w:tmpl w:val="A2E80654"/>
    <w:lvl w:ilvl="0" w:tplc="B22498D2">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5F691B55"/>
    <w:multiLevelType w:val="hybridMultilevel"/>
    <w:tmpl w:val="B554D1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17F1A4A"/>
    <w:multiLevelType w:val="hybridMultilevel"/>
    <w:tmpl w:val="EF44BDEE"/>
    <w:lvl w:ilvl="0" w:tplc="554A618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DD6E3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hdrShapeDefaults>
    <o:shapedefaults v:ext="edit" spidmax="4097"/>
  </w:hdrShapeDefaults>
  <w:footnotePr>
    <w:footnote w:id="0"/>
    <w:footnote w:id="1"/>
  </w:footnotePr>
  <w:endnotePr>
    <w:endnote w:id="0"/>
    <w:endnote w:id="1"/>
  </w:endnotePr>
  <w:compat>
    <w:useFELayout/>
  </w:compat>
  <w:rsids>
    <w:rsidRoot w:val="00985410"/>
    <w:rsid w:val="00080CF4"/>
    <w:rsid w:val="00206A19"/>
    <w:rsid w:val="0028621F"/>
    <w:rsid w:val="00287024"/>
    <w:rsid w:val="003F45B1"/>
    <w:rsid w:val="00466F8B"/>
    <w:rsid w:val="004B439B"/>
    <w:rsid w:val="00576122"/>
    <w:rsid w:val="00671B61"/>
    <w:rsid w:val="006B22F5"/>
    <w:rsid w:val="006E6AFC"/>
    <w:rsid w:val="007860C4"/>
    <w:rsid w:val="007C2273"/>
    <w:rsid w:val="008123B7"/>
    <w:rsid w:val="009078F3"/>
    <w:rsid w:val="00960969"/>
    <w:rsid w:val="009832E6"/>
    <w:rsid w:val="00985410"/>
    <w:rsid w:val="00A10E37"/>
    <w:rsid w:val="00AA4E68"/>
    <w:rsid w:val="00BC0F57"/>
    <w:rsid w:val="00C23F93"/>
    <w:rsid w:val="00C66904"/>
    <w:rsid w:val="00D22C1C"/>
    <w:rsid w:val="00E900F5"/>
    <w:rsid w:val="00EB283B"/>
    <w:rsid w:val="00EE3CF7"/>
    <w:rsid w:val="00FB7E38"/>
    <w:rsid w:val="00FF11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7E38"/>
    <w:pPr>
      <w:spacing w:after="0"/>
    </w:pPr>
  </w:style>
  <w:style w:type="paragraph" w:styleId="Heading1">
    <w:name w:val="heading 1"/>
    <w:basedOn w:val="Normal"/>
    <w:next w:val="Normal"/>
    <w:link w:val="Heading1Char"/>
    <w:uiPriority w:val="9"/>
    <w:qFormat/>
    <w:rsid w:val="007860C4"/>
    <w:pPr>
      <w:numPr>
        <w:numId w:val="4"/>
      </w:numPr>
      <w:pBdr>
        <w:bottom w:val="thinThickSmallGap" w:sz="12" w:space="1" w:color="943634" w:themeColor="accent2" w:themeShade="BF"/>
      </w:pBdr>
      <w:spacing w:after="120" w:line="240" w:lineRule="auto"/>
      <w:outlineLvl w:val="0"/>
    </w:pPr>
    <w:rPr>
      <w:small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9832E6"/>
    <w:pPr>
      <w:numPr>
        <w:ilvl w:val="1"/>
        <w:numId w:val="4"/>
      </w:numPr>
      <w:pBdr>
        <w:bottom w:val="single" w:sz="4" w:space="1" w:color="622423" w:themeColor="accent2" w:themeShade="7F"/>
      </w:pBdr>
      <w:outlineLvl w:val="1"/>
    </w:pPr>
    <w:rPr>
      <w:small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985410"/>
    <w:pPr>
      <w:numPr>
        <w:ilvl w:val="2"/>
        <w:numId w:val="4"/>
      </w:num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985410"/>
    <w:pPr>
      <w:numPr>
        <w:ilvl w:val="3"/>
        <w:numId w:val="4"/>
      </w:num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985410"/>
    <w:pPr>
      <w:numPr>
        <w:ilvl w:val="4"/>
        <w:numId w:val="4"/>
      </w:num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985410"/>
    <w:pPr>
      <w:numPr>
        <w:ilvl w:val="5"/>
        <w:numId w:val="4"/>
      </w:num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985410"/>
    <w:pPr>
      <w:numPr>
        <w:ilvl w:val="6"/>
        <w:numId w:val="4"/>
      </w:num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985410"/>
    <w:pPr>
      <w:numPr>
        <w:ilvl w:val="7"/>
        <w:numId w:val="4"/>
      </w:num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985410"/>
    <w:pPr>
      <w:numPr>
        <w:ilvl w:val="8"/>
        <w:numId w:val="4"/>
      </w:num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85410"/>
    <w:rPr>
      <w:caps/>
      <w:color w:val="622423" w:themeColor="accent2" w:themeShade="7F"/>
      <w:sz w:val="24"/>
      <w:szCs w:val="24"/>
    </w:rPr>
  </w:style>
  <w:style w:type="character" w:customStyle="1" w:styleId="Heading2Char">
    <w:name w:val="Heading 2 Char"/>
    <w:basedOn w:val="DefaultParagraphFont"/>
    <w:link w:val="Heading2"/>
    <w:uiPriority w:val="9"/>
    <w:rsid w:val="009832E6"/>
    <w:rPr>
      <w:smallCaps/>
      <w:color w:val="632423" w:themeColor="accent2" w:themeShade="80"/>
      <w:spacing w:val="15"/>
      <w:sz w:val="24"/>
      <w:szCs w:val="24"/>
    </w:rPr>
  </w:style>
  <w:style w:type="character" w:customStyle="1" w:styleId="Heading1Char">
    <w:name w:val="Heading 1 Char"/>
    <w:basedOn w:val="DefaultParagraphFont"/>
    <w:link w:val="Heading1"/>
    <w:uiPriority w:val="9"/>
    <w:rsid w:val="007860C4"/>
    <w:rPr>
      <w:smallCaps/>
      <w:color w:val="632423" w:themeColor="accent2" w:themeShade="80"/>
      <w:spacing w:val="20"/>
      <w:sz w:val="28"/>
      <w:szCs w:val="28"/>
    </w:rPr>
  </w:style>
  <w:style w:type="character" w:customStyle="1" w:styleId="Heading4Char">
    <w:name w:val="Heading 4 Char"/>
    <w:basedOn w:val="DefaultParagraphFont"/>
    <w:link w:val="Heading4"/>
    <w:uiPriority w:val="9"/>
    <w:semiHidden/>
    <w:rsid w:val="00985410"/>
    <w:rPr>
      <w:caps/>
      <w:color w:val="622423" w:themeColor="accent2" w:themeShade="7F"/>
      <w:spacing w:val="10"/>
    </w:rPr>
  </w:style>
  <w:style w:type="character" w:customStyle="1" w:styleId="Heading5Char">
    <w:name w:val="Heading 5 Char"/>
    <w:basedOn w:val="DefaultParagraphFont"/>
    <w:link w:val="Heading5"/>
    <w:uiPriority w:val="9"/>
    <w:semiHidden/>
    <w:rsid w:val="00985410"/>
    <w:rPr>
      <w:caps/>
      <w:color w:val="622423" w:themeColor="accent2" w:themeShade="7F"/>
      <w:spacing w:val="10"/>
    </w:rPr>
  </w:style>
  <w:style w:type="character" w:customStyle="1" w:styleId="Heading6Char">
    <w:name w:val="Heading 6 Char"/>
    <w:basedOn w:val="DefaultParagraphFont"/>
    <w:link w:val="Heading6"/>
    <w:uiPriority w:val="9"/>
    <w:semiHidden/>
    <w:rsid w:val="00985410"/>
    <w:rPr>
      <w:caps/>
      <w:color w:val="943634" w:themeColor="accent2" w:themeShade="BF"/>
      <w:spacing w:val="10"/>
    </w:rPr>
  </w:style>
  <w:style w:type="character" w:customStyle="1" w:styleId="Heading7Char">
    <w:name w:val="Heading 7 Char"/>
    <w:basedOn w:val="DefaultParagraphFont"/>
    <w:link w:val="Heading7"/>
    <w:uiPriority w:val="9"/>
    <w:semiHidden/>
    <w:rsid w:val="00985410"/>
    <w:rPr>
      <w:i/>
      <w:iCs/>
      <w:caps/>
      <w:color w:val="943634" w:themeColor="accent2" w:themeShade="BF"/>
      <w:spacing w:val="10"/>
    </w:rPr>
  </w:style>
  <w:style w:type="character" w:customStyle="1" w:styleId="Heading8Char">
    <w:name w:val="Heading 8 Char"/>
    <w:basedOn w:val="DefaultParagraphFont"/>
    <w:link w:val="Heading8"/>
    <w:uiPriority w:val="9"/>
    <w:semiHidden/>
    <w:rsid w:val="00985410"/>
    <w:rPr>
      <w:caps/>
      <w:spacing w:val="10"/>
      <w:sz w:val="20"/>
      <w:szCs w:val="20"/>
    </w:rPr>
  </w:style>
  <w:style w:type="character" w:customStyle="1" w:styleId="Heading9Char">
    <w:name w:val="Heading 9 Char"/>
    <w:basedOn w:val="DefaultParagraphFont"/>
    <w:link w:val="Heading9"/>
    <w:uiPriority w:val="9"/>
    <w:semiHidden/>
    <w:rsid w:val="00985410"/>
    <w:rPr>
      <w:i/>
      <w:iCs/>
      <w:caps/>
      <w:spacing w:val="10"/>
      <w:sz w:val="20"/>
      <w:szCs w:val="20"/>
    </w:rPr>
  </w:style>
  <w:style w:type="paragraph" w:styleId="Caption">
    <w:name w:val="caption"/>
    <w:basedOn w:val="Normal"/>
    <w:next w:val="Normal"/>
    <w:uiPriority w:val="35"/>
    <w:unhideWhenUsed/>
    <w:qFormat/>
    <w:rsid w:val="00080CF4"/>
    <w:rPr>
      <w:smallCaps/>
      <w:spacing w:val="10"/>
      <w:sz w:val="18"/>
      <w:szCs w:val="18"/>
    </w:rPr>
  </w:style>
  <w:style w:type="paragraph" w:styleId="Title">
    <w:name w:val="Title"/>
    <w:basedOn w:val="Normal"/>
    <w:next w:val="Normal"/>
    <w:link w:val="TitleChar"/>
    <w:uiPriority w:val="10"/>
    <w:qFormat/>
    <w:rsid w:val="00985410"/>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985410"/>
    <w:rPr>
      <w:rFonts w:eastAsiaTheme="majorEastAsia" w:cstheme="majorBidi"/>
      <w:caps/>
      <w:color w:val="632423" w:themeColor="accent2" w:themeShade="80"/>
      <w:spacing w:val="50"/>
      <w:sz w:val="44"/>
      <w:szCs w:val="44"/>
    </w:rPr>
  </w:style>
  <w:style w:type="paragraph" w:styleId="Subtitle">
    <w:name w:val="Subtitle"/>
    <w:basedOn w:val="Normal"/>
    <w:next w:val="Normal"/>
    <w:link w:val="SubtitleChar"/>
    <w:uiPriority w:val="11"/>
    <w:qFormat/>
    <w:rsid w:val="00985410"/>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985410"/>
    <w:rPr>
      <w:rFonts w:eastAsiaTheme="majorEastAsia" w:cstheme="majorBidi"/>
      <w:caps/>
      <w:spacing w:val="20"/>
      <w:sz w:val="18"/>
      <w:szCs w:val="18"/>
    </w:rPr>
  </w:style>
  <w:style w:type="character" w:styleId="Strong">
    <w:name w:val="Strong"/>
    <w:uiPriority w:val="22"/>
    <w:qFormat/>
    <w:rsid w:val="00985410"/>
    <w:rPr>
      <w:b/>
      <w:bCs/>
      <w:color w:val="943634" w:themeColor="accent2" w:themeShade="BF"/>
      <w:spacing w:val="5"/>
    </w:rPr>
  </w:style>
  <w:style w:type="character" w:styleId="Emphasis">
    <w:name w:val="Emphasis"/>
    <w:uiPriority w:val="20"/>
    <w:qFormat/>
    <w:rsid w:val="00985410"/>
    <w:rPr>
      <w:caps/>
      <w:spacing w:val="5"/>
      <w:sz w:val="20"/>
      <w:szCs w:val="20"/>
    </w:rPr>
  </w:style>
  <w:style w:type="paragraph" w:styleId="NoSpacing">
    <w:name w:val="No Spacing"/>
    <w:basedOn w:val="Normal"/>
    <w:link w:val="NoSpacingChar"/>
    <w:uiPriority w:val="1"/>
    <w:qFormat/>
    <w:rsid w:val="00985410"/>
    <w:pPr>
      <w:spacing w:line="240" w:lineRule="auto"/>
    </w:pPr>
  </w:style>
  <w:style w:type="character" w:customStyle="1" w:styleId="NoSpacingChar">
    <w:name w:val="No Spacing Char"/>
    <w:basedOn w:val="DefaultParagraphFont"/>
    <w:link w:val="NoSpacing"/>
    <w:uiPriority w:val="1"/>
    <w:rsid w:val="00985410"/>
  </w:style>
  <w:style w:type="paragraph" w:styleId="ListParagraph">
    <w:name w:val="List Paragraph"/>
    <w:basedOn w:val="Normal"/>
    <w:uiPriority w:val="34"/>
    <w:qFormat/>
    <w:rsid w:val="00985410"/>
    <w:pPr>
      <w:ind w:left="720"/>
      <w:contextualSpacing/>
    </w:pPr>
  </w:style>
  <w:style w:type="paragraph" w:styleId="Quote">
    <w:name w:val="Quote"/>
    <w:basedOn w:val="Normal"/>
    <w:next w:val="Normal"/>
    <w:link w:val="QuoteChar"/>
    <w:uiPriority w:val="29"/>
    <w:qFormat/>
    <w:rsid w:val="00985410"/>
    <w:rPr>
      <w:i/>
      <w:iCs/>
    </w:rPr>
  </w:style>
  <w:style w:type="character" w:customStyle="1" w:styleId="QuoteChar">
    <w:name w:val="Quote Char"/>
    <w:basedOn w:val="DefaultParagraphFont"/>
    <w:link w:val="Quote"/>
    <w:uiPriority w:val="29"/>
    <w:rsid w:val="00985410"/>
    <w:rPr>
      <w:rFonts w:eastAsiaTheme="majorEastAsia" w:cstheme="majorBidi"/>
      <w:i/>
      <w:iCs/>
    </w:rPr>
  </w:style>
  <w:style w:type="paragraph" w:styleId="IntenseQuote">
    <w:name w:val="Intense Quote"/>
    <w:basedOn w:val="Normal"/>
    <w:next w:val="Normal"/>
    <w:link w:val="IntenseQuoteChar"/>
    <w:uiPriority w:val="30"/>
    <w:qFormat/>
    <w:rsid w:val="00985410"/>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985410"/>
    <w:rPr>
      <w:rFonts w:eastAsiaTheme="majorEastAsia" w:cstheme="majorBidi"/>
      <w:caps/>
      <w:color w:val="622423" w:themeColor="accent2" w:themeShade="7F"/>
      <w:spacing w:val="5"/>
      <w:sz w:val="20"/>
      <w:szCs w:val="20"/>
    </w:rPr>
  </w:style>
  <w:style w:type="character" w:styleId="SubtleEmphasis">
    <w:name w:val="Subtle Emphasis"/>
    <w:uiPriority w:val="19"/>
    <w:qFormat/>
    <w:rsid w:val="00985410"/>
    <w:rPr>
      <w:i/>
      <w:iCs/>
    </w:rPr>
  </w:style>
  <w:style w:type="character" w:styleId="IntenseEmphasis">
    <w:name w:val="Intense Emphasis"/>
    <w:uiPriority w:val="21"/>
    <w:qFormat/>
    <w:rsid w:val="00985410"/>
    <w:rPr>
      <w:i/>
      <w:iCs/>
      <w:caps/>
      <w:spacing w:val="10"/>
      <w:sz w:val="20"/>
      <w:szCs w:val="20"/>
    </w:rPr>
  </w:style>
  <w:style w:type="character" w:styleId="SubtleReference">
    <w:name w:val="Subtle Reference"/>
    <w:basedOn w:val="DefaultParagraphFont"/>
    <w:uiPriority w:val="31"/>
    <w:qFormat/>
    <w:rsid w:val="00985410"/>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985410"/>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985410"/>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985410"/>
    <w:pPr>
      <w:outlineLvl w:val="9"/>
    </w:pPr>
  </w:style>
  <w:style w:type="paragraph" w:styleId="Header">
    <w:name w:val="header"/>
    <w:basedOn w:val="Normal"/>
    <w:link w:val="HeaderChar"/>
    <w:uiPriority w:val="99"/>
    <w:semiHidden/>
    <w:unhideWhenUsed/>
    <w:rsid w:val="00FB7E38"/>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FB7E38"/>
  </w:style>
  <w:style w:type="paragraph" w:styleId="Footer">
    <w:name w:val="footer"/>
    <w:basedOn w:val="Normal"/>
    <w:link w:val="FooterChar"/>
    <w:uiPriority w:val="99"/>
    <w:semiHidden/>
    <w:unhideWhenUsed/>
    <w:rsid w:val="00FB7E38"/>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FB7E38"/>
  </w:style>
  <w:style w:type="table" w:styleId="TableGrid">
    <w:name w:val="Table Grid"/>
    <w:basedOn w:val="TableNormal"/>
    <w:uiPriority w:val="59"/>
    <w:rsid w:val="00FB7E3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66F8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F8B"/>
    <w:rPr>
      <w:rFonts w:ascii="Tahoma" w:hAnsi="Tahoma" w:cs="Tahoma"/>
      <w:sz w:val="16"/>
      <w:szCs w:val="16"/>
    </w:rPr>
  </w:style>
  <w:style w:type="character" w:styleId="CommentReference">
    <w:name w:val="annotation reference"/>
    <w:basedOn w:val="DefaultParagraphFont"/>
    <w:uiPriority w:val="99"/>
    <w:semiHidden/>
    <w:unhideWhenUsed/>
    <w:rsid w:val="006B22F5"/>
    <w:rPr>
      <w:sz w:val="16"/>
      <w:szCs w:val="16"/>
    </w:rPr>
  </w:style>
  <w:style w:type="paragraph" w:styleId="CommentText">
    <w:name w:val="annotation text"/>
    <w:basedOn w:val="Normal"/>
    <w:link w:val="CommentTextChar"/>
    <w:uiPriority w:val="99"/>
    <w:semiHidden/>
    <w:unhideWhenUsed/>
    <w:rsid w:val="006B22F5"/>
    <w:pPr>
      <w:spacing w:line="240" w:lineRule="auto"/>
    </w:pPr>
    <w:rPr>
      <w:sz w:val="20"/>
      <w:szCs w:val="20"/>
    </w:rPr>
  </w:style>
  <w:style w:type="character" w:customStyle="1" w:styleId="CommentTextChar">
    <w:name w:val="Comment Text Char"/>
    <w:basedOn w:val="DefaultParagraphFont"/>
    <w:link w:val="CommentText"/>
    <w:uiPriority w:val="99"/>
    <w:semiHidden/>
    <w:rsid w:val="006B22F5"/>
    <w:rPr>
      <w:sz w:val="20"/>
      <w:szCs w:val="20"/>
    </w:rPr>
  </w:style>
  <w:style w:type="paragraph" w:styleId="CommentSubject">
    <w:name w:val="annotation subject"/>
    <w:basedOn w:val="CommentText"/>
    <w:next w:val="CommentText"/>
    <w:link w:val="CommentSubjectChar"/>
    <w:uiPriority w:val="99"/>
    <w:semiHidden/>
    <w:unhideWhenUsed/>
    <w:rsid w:val="006B22F5"/>
    <w:rPr>
      <w:b/>
      <w:bCs/>
    </w:rPr>
  </w:style>
  <w:style w:type="character" w:customStyle="1" w:styleId="CommentSubjectChar">
    <w:name w:val="Comment Subject Char"/>
    <w:basedOn w:val="CommentTextChar"/>
    <w:link w:val="CommentSubject"/>
    <w:uiPriority w:val="99"/>
    <w:semiHidden/>
    <w:rsid w:val="006B22F5"/>
    <w:rPr>
      <w:b/>
      <w:bCs/>
    </w:rPr>
  </w:style>
  <w:style w:type="paragraph" w:styleId="DocumentMap">
    <w:name w:val="Document Map"/>
    <w:basedOn w:val="Normal"/>
    <w:link w:val="DocumentMapChar"/>
    <w:uiPriority w:val="99"/>
    <w:semiHidden/>
    <w:unhideWhenUsed/>
    <w:rsid w:val="00E900F5"/>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900F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BA87F21D-692B-4F25-86DB-591AA29E5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5</Pages>
  <Words>772</Words>
  <Characters>4404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INFINIBAND FPGA TEST HARNESS Architecture</vt:lpstr>
    </vt:vector>
  </TitlesOfParts>
  <Company/>
  <LinksUpToDate>false</LinksUpToDate>
  <CharactersWithSpaces>5166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INFINIBAND FPGA TEST HARNESS Architecture</dc:title>
  <dc:creator>princet</dc:creator>
  <cp:lastModifiedBy>E CpE</cp:lastModifiedBy>
  <cp:revision>3</cp:revision>
  <dcterms:created xsi:type="dcterms:W3CDTF">2009-03-30T21:52:00Z</dcterms:created>
  <dcterms:modified xsi:type="dcterms:W3CDTF">2009-04-01T16:49:00Z</dcterms:modified>
</cp:coreProperties>
</file>