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Incident Report: Introduction to Phishing</w:t>
      </w:r>
    </w:p>
    <w:p>
      <w:pPr>
        <w:spacing w:after="40"/>
      </w:pPr>
      <w:r>
        <w:t xml:space="preserve">Prepared for: </w:t>
      </w:r>
      <w:r>
        <w:rPr>
          <w:b/>
          <w:bCs/>
        </w:rPr>
        <w:t xml:space="preserve">CISO</w:t>
      </w:r>
    </w:p>
    <w:p>
      <w:pPr>
        <w:spacing w:after="40"/>
      </w:pPr>
      <w:r>
        <w:t xml:space="preserve">Prepared by: </w:t>
      </w:r>
      <w:r>
        <w:rPr>
          <w:i/>
          <w:iCs/>
          <w:color w:val="C00000"/>
        </w:rPr>
        <w:t xml:space="preserve">[Your Name]</w:t>
      </w:r>
    </w:p>
    <w:p>
      <w:pPr>
        <w:spacing w:after="40"/>
      </w:pPr>
      <w:r>
        <w:t xml:space="preserve">Date of Report: </w:t>
      </w:r>
      <w:r>
        <w:rPr>
          <w:i/>
          <w:iCs/>
          <w:color w:val="C00000"/>
        </w:rPr>
        <w:t xml:space="preserve">[Insert date]</w:t>
      </w:r>
    </w:p>
    <w:p>
      <w:pPr>
        <w:spacing w:after="300"/>
      </w:pPr>
      <w:r>
        <w:t xml:space="preserve">Investigation Platform: </w:t>
      </w:r>
      <w:r>
        <w:t xml:space="preserve">Elastic (Kibana) — TryHackMe SOC Simulator</w:t>
      </w:r>
    </w:p>
    <w:p>
      <w:pPr>
        <w:pStyle w:val="Heading1"/>
        <w:spacing w:after="160" w:before="320"/>
      </w:pPr>
      <w:r>
        <w:t xml:space="preserve">1. Executive Summary</w:t>
      </w:r>
    </w:p>
    <w:p>
      <w:pPr>
        <w:spacing w:after="160"/>
      </w:pPr>
      <w:r>
        <w:t xml:space="preserve">Between </w:t>
      </w:r>
      <w:r>
        <w:rPr>
          <w:i/>
          <w:iCs/>
          <w:color w:val="C00000"/>
        </w:rPr>
        <w:t xml:space="preserve">[insert alert window, e.g. 09:00–09:45 UTC]</w:t>
      </w:r>
      <w:r>
        <w:t xml:space="preserve">, the SOC received four alerts from the SOC Simulator queue related to suspected phishing activity. Investigation using Kibana Discover confirmed one alert as a </w:t>
      </w:r>
      <w:r>
        <w:rPr>
          <w:b/>
          <w:bCs/>
        </w:rPr>
        <w:t xml:space="preserve">False Positive</w:t>
      </w:r>
      <w:r>
        <w:t xml:space="preserve"> (a legitimate recurring onboarding email) and three alerts as </w:t>
      </w:r>
      <w:r>
        <w:rPr>
          <w:b/>
          <w:bCs/>
        </w:rPr>
        <w:t xml:space="preserve">True Positive</w:t>
      </w:r>
      <w:r>
        <w:t xml:space="preserve"> phishing attempts, one of which resulted in a user click-through that was subsequently blocked by the perimeter firewall. No credential compromise or successful outbound connection was confirmed. Recommended actions include forcing a password reset and MFA enrolment for the affected user, tuning email/spam filtering to block spoofed and homoglyph domains, and escalating the click-through event for continued monitoring.</w:t>
      </w:r>
    </w:p>
    <w:p>
      <w:pPr>
        <w:pStyle w:val="Heading1"/>
        <w:spacing w:after="160" w:before="320"/>
      </w:pPr>
      <w:r>
        <w:t xml:space="preserve">2. Incident Details</w:t>
      </w:r>
    </w:p>
    <w:p>
      <w:pPr>
        <w:spacing w:after="160"/>
      </w:pPr>
      <w:r>
        <w:t xml:space="preserve">Alert Source: </w:t>
      </w:r>
      <w:r>
        <w:t xml:space="preserve">SOC Simulator alert queue — email security gateway and firewall telemetry, indexed in Elastic/Kibana.</w:t>
      </w:r>
    </w:p>
    <w:p>
      <w:pPr>
        <w:spacing w:after="160"/>
      </w:pPr>
      <w:r>
        <w:t xml:space="preserve">Date/Time: </w:t>
      </w:r>
      <w:r>
        <w:rPr>
          <w:i/>
          <w:iCs/>
          <w:color w:val="C00000"/>
        </w:rPr>
        <w:t xml:space="preserve">[Insert exact date/time range from Kibana Discover, with timezone]</w:t>
      </w:r>
    </w:p>
    <w:p>
      <w:pPr>
        <w:spacing w:after="160"/>
      </w:pPr>
      <w:r>
        <w:t xml:space="preserve">Affected User(s): </w:t>
      </w:r>
      <w:r>
        <w:rPr>
          <w:i/>
          <w:iCs/>
          <w:color w:val="C00000"/>
        </w:rPr>
        <w:t xml:space="preserve">[Insert usernames — e.g. J. Garcia (Alert 1), HR mailbox recipient (Alert 2), user who clicked link (Alert 3), Microsoft sign-in target (Alert 4)]</w:t>
      </w:r>
    </w:p>
    <w:p>
      <w:pPr>
        <w:spacing w:after="160"/>
      </w:pPr>
      <w:r>
        <w:t xml:space="preserve">Alert Classification: </w:t>
      </w:r>
      <w:r>
        <w:t xml:space="preserve">Suspected phishing — email-borne social engineering, one instance progressing to a blocked outbound web request.</w:t>
      </w:r>
    </w:p>
    <w:p>
      <w:pPr>
        <w:pStyle w:val="Heading1"/>
        <w:spacing w:after="160" w:before="320"/>
      </w:pPr>
      <w:r>
        <w:t xml:space="preserve">3. Investigation Timeline</w:t>
      </w:r>
    </w:p>
    <w:p>The investigation was conducted entirely within Kibana Discover, using field-level searches and time-range pivots to establish sender legitimacy, recipient history, and any resulting user or network activity for each alert.</w:p>
    <w:p>
      <w:pPr>
        <w:spacing w:after="160"/>
      </w:pPr>
      <w:r>
        <w:rPr>
          <w:b/>
          <w:bCs/>
        </w:rPr>
        <w:t xml:space="preserve">Alert 1 — Onboarding Email. </w:t>
      </w:r>
      <w:r>
        <w:t xml:space="preserve">The alert queue surfaced an email referencing an onboarding process addressed to the affected user. Reading the message body first established context: it requested the recipient click a link framed as part of a routine onboarding step. To assess legitimacy, a Discover search was run scoping </w:t>
      </w:r>
    </w:p>
    <w:p>
      <w:pPr>
        <w:pStyle w:val="ListParagraph"/>
        <w:numPr>
          <w:ilvl w:val="0"/>
          <w:numId w:val="2"/>
        </w:numPr>
        <w:spacing w:after="80"/>
      </w:pPr>
      <w:r>
        <w:rPr>
          <w:i/>
          <w:iCs/>
          <w:color w:val="C00000"/>
        </w:rPr>
        <w:t xml:space="preserve">sender.address: "[insert sender address]" </w:t>
      </w:r>
      <w:r>
        <w:t xml:space="preserve">over a 24-hour window to establish whether this sender had contacted the recipient before.</w:t>
      </w:r>
    </w:p>
    <w:p>
      <w:pPr>
        <w:pStyle w:val="ListParagraph"/>
        <w:numPr>
          <w:ilvl w:val="0"/>
          <w:numId w:val="2"/>
        </w:numPr>
        <w:spacing w:after="80"/>
      </w:pPr>
      <w:r>
        <w:t xml:space="preserve">The search returned two prior emails from the same sender to the same recipient, sent close together in time — consistent with an automated onboarding workflow rather than a spoofed or unsolicited sender.</w:t>
      </w:r>
    </w:p>
    <w:p>
      <w:pPr>
        <w:pStyle w:val="ListParagraph"/>
        <w:numPr>
          <w:ilvl w:val="0"/>
          <w:numId w:val="2"/>
        </w:numPr>
        <w:spacing w:after="80"/>
      </w:pPr>
      <w:r>
        <w:t xml:space="preserve">A follow-up search on </w:t>
      </w:r>
      <w:r>
        <w:rPr>
          <w:i/>
          <w:iCs/>
          <w:color w:val="C00000"/>
        </w:rPr>
        <w:t xml:space="preserve">recipient.address: "[insert recipient]" </w:t>
      </w:r>
      <w:r>
        <w:t xml:space="preserve">across all senders confirmed no other unusual or unexplained activity for this user in the same window.</w:t>
      </w:r>
    </w:p>
    <w:p>On the basis of consistent sender history and absence of any other suspicious indicators, this alert was closed as a false positive.</w:p>
    <w:p>
      <w:pPr>
        <w:spacing w:after="160"/>
      </w:pPr>
      <w:r>
        <w:rPr>
          <w:b/>
          <w:bCs/>
        </w:rPr>
        <w:t xml:space="preserve">Alert 2 — Spoofed Delivery Notification. </w:t>
      </w:r>
      <w:r>
        <w:t xml:space="preserve">This alert involved an email impersonating a shipping/delivery notification. Two indicators were visible on initial read: urgency language directing the recipient to act immediately, and a link that did not resolve to the sender's claimed domain, routed instead through a URL shortener.</w:t>
      </w:r>
    </w:p>
    <w:p>
      <w:pPr>
        <w:pStyle w:val="ListParagraph"/>
        <w:numPr>
          <w:ilvl w:val="0"/>
          <w:numId w:val="2"/>
        </w:numPr>
        <w:spacing w:after="80"/>
      </w:pPr>
      <w:r>
        <w:t xml:space="preserve">A Discover search on </w:t>
      </w:r>
      <w:r>
        <w:rPr>
          <w:i/>
          <w:iCs/>
          <w:color w:val="C00000"/>
        </w:rPr>
        <w:t xml:space="preserve">sender.address: "[insert sender]" </w:t>
      </w:r>
      <w:r>
        <w:t xml:space="preserve">returned a single email, sent once to one recipient, with no prior communication history — a strong indicator of an unsolicited, targeted send rather than legitimate correspondence.</w:t>
      </w:r>
    </w:p>
    <w:p>
      <w:pPr>
        <w:pStyle w:val="ListParagraph"/>
        <w:numPr>
          <w:ilvl w:val="0"/>
          <w:numId w:val="2"/>
        </w:numPr>
        <w:spacing w:after="80"/>
      </w:pPr>
      <w:r>
        <w:t xml:space="preserve">The mismatch between the claimed brand and the actual sending domain, combined with the shortened link and lack of sender history, was sufficient to classify this as malicious without requiring detonation of the link.</w:t>
      </w:r>
    </w:p>
    <w:p>This alert was classified as a true positive — a credential-harvesting phishing attempt.</w:p>
    <w:p>
      <w:pPr>
        <w:spacing w:after="160"/>
      </w:pPr>
      <w:r>
        <w:rPr>
          <w:b/>
          <w:bCs/>
        </w:rPr>
        <w:t xml:space="preserve">Alert 3 — Click-Through and Firewall Block. </w:t>
      </w:r>
      <w:r>
        <w:t xml:space="preserve">A related alert indicated outbound web activity matching the malicious link from Alert 2. This required pivoting from email telemetry to network/firewall logs within the same Kibana environment.</w:t>
      </w:r>
    </w:p>
    <w:p>
      <w:pPr>
        <w:pStyle w:val="ListParagraph"/>
        <w:numPr>
          <w:ilvl w:val="0"/>
          <w:numId w:val="2"/>
        </w:numPr>
        <w:spacing w:after="80"/>
      </w:pPr>
      <w:r>
        <w:t xml:space="preserve">A search scoped to </w:t>
      </w:r>
      <w:r>
        <w:rPr>
          <w:i/>
          <w:iCs/>
          <w:color w:val="C00000"/>
        </w:rPr>
        <w:t xml:space="preserve">destination.ip: "[insert destination IP]" </w:t>
      </w:r>
      <w:r>
        <w:t xml:space="preserve">and the associated URL confirmed a single outbound request matching the phishing link identified in Alert 2.</w:t>
      </w:r>
    </w:p>
    <w:p>
      <w:pPr>
        <w:pStyle w:val="ListParagraph"/>
        <w:numPr>
          <w:ilvl w:val="0"/>
          <w:numId w:val="2"/>
        </w:numPr>
        <w:spacing w:after="80"/>
      </w:pPr>
      <w:r>
        <w:t xml:space="preserve">The firewall action field showed the connection was </w:t>
      </w:r>
      <w:r>
        <w:rPr>
          <w:b/>
          <w:bCs/>
        </w:rPr>
        <w:t xml:space="preserve">blocked</w:t>
      </w:r>
      <w:r>
        <w:t xml:space="preserve">, while a separate, unrelated request from the same source around the same time was allowed — confirming the block was specific to the malicious destination and not a broader connectivity issue.</w:t>
      </w:r>
    </w:p>
    <w:p>
      <w:pPr>
        <w:pStyle w:val="ListParagraph"/>
        <w:numPr>
          <w:ilvl w:val="0"/>
          <w:numId w:val="2"/>
        </w:numPr>
        <w:spacing w:after="80"/>
      </w:pPr>
      <w:r>
        <w:t xml:space="preserve">A reputation check on the destination domain (OSINT, used only to corroborate — not as primary evidence) showed prior abuse reports associated with the shortening service, consistent with the Kibana findings.</w:t>
      </w:r>
    </w:p>
    <w:p>Because the user's client had initiated the connection regardless of the eventual block, this was classified as a true positive requiring escalation, given the risk that credentials may have been entered before the block took effect.</w:p>
    <w:p>
      <w:pPr>
        <w:spacing w:after="160"/>
      </w:pPr>
      <w:r>
        <w:rPr>
          <w:b/>
          <w:bCs/>
        </w:rPr>
        <w:t xml:space="preserve">Alert 4 — Spoofed Microsoft Sign-In Notification. </w:t>
      </w:r>
      <w:r>
        <w:t xml:space="preserve">The final alert referenced an unusual sign-in attempt notification, apparently from Microsoft. Close inspection of the sender domain in the raw event data revealed character-level spoofing (a homoglyph substitution and an altered top-level domain), a classic indicator of domain impersonation.</w:t>
      </w:r>
    </w:p>
    <w:p>
      <w:pPr>
        <w:pStyle w:val="ListParagraph"/>
        <w:numPr>
          <w:ilvl w:val="0"/>
          <w:numId w:val="2"/>
        </w:numPr>
        <w:spacing w:after="80"/>
      </w:pPr>
      <w:r>
        <w:t xml:space="preserve">A search on the claimed source IP address (</w:t>
      </w:r>
      <w:r>
        <w:rPr>
          <w:i/>
          <w:iCs/>
          <w:color w:val="C00000"/>
        </w:rPr>
        <w:t xml:space="preserve">[insert source IP]</w:t>
      </w:r>
      <w:r>
        <w:t xml:space="preserve">) against authentication logs over an extended window confirmed no successful or attempted login from that address — the notification was a lure, not evidence of an actual account compromise.</w:t>
      </w:r>
    </w:p>
    <w:p>
      <w:pPr>
        <w:pStyle w:val="ListParagraph"/>
        <w:numPr>
          <w:ilvl w:val="0"/>
          <w:numId w:val="2"/>
        </w:numPr>
        <w:spacing w:after="80"/>
      </w:pPr>
      <w:r>
        <w:t xml:space="preserve">A search on the sender address confirmed this was the only email sent by this sender to this recipient, reinforcing the unsolicited, spoofed nature of the message.</w:t>
      </w:r>
    </w:p>
    <w:p>This alert was classified as a true positive — a spoofed-domain phishing attempt with no confirmed account compromise.</w:p>
    <w:p>
      <w:pPr>
        <w:pStyle w:val="Heading1"/>
        <w:spacing w:after="160" w:before="320"/>
      </w:pPr>
      <w:r>
        <w:t xml:space="preserve">4. Evidence &amp; Analysis</w:t>
      </w:r>
    </w:p>
    <w:p>The following Kibana queries and pivots were used to reach each verdict. Screenshots of each search and its results are included as supporting figures.</w:p>
    <w:p>
      <w:pPr>
        <w:spacing w:after="160"/>
      </w:pPr>
      <w:r>
        <w:rPr>
          <w:b/>
          <w:bCs/>
        </w:rPr>
        <w:t xml:space="preserve">Alert 1 (Onboarding):</w:t>
      </w:r>
    </w:p>
    <w:p>
      <w:pPr>
        <w:pStyle w:val="ListParagraph"/>
        <w:numPr>
          <w:ilvl w:val="0"/>
          <w:numId w:val="2"/>
        </w:numPr>
        <w:spacing w:after="80"/>
      </w:pPr>
      <w:r>
        <w:t xml:space="preserve">Query: </w:t>
      </w:r>
      <w:r>
        <w:rPr>
          <w:i/>
          <w:iCs/>
          <w:color w:val="C00000"/>
        </w:rPr>
        <w:t xml:space="preserve">sender.address: "[insert]" AND recipient.address: "[insert]"</w:t>
      </w:r>
      <w:r>
        <w:t xml:space="preserve">, 24h window.</w:t>
      </w:r>
    </w:p>
    <w:p>
      <w:pPr>
        <w:pStyle w:val="ListParagraph"/>
        <w:numPr>
          <w:ilvl w:val="0"/>
          <w:numId w:val="2"/>
        </w:numPr>
        <w:spacing w:after="80"/>
      </w:pPr>
      <w:r>
        <w:rPr>
          <w:i/>
          <w:iCs/>
          <w:color w:val="C00000"/>
        </w:rPr>
        <w:t xml:space="preserve">[Insert screenshot — Figure 1: Discover results showing prior sender history]</w:t>
      </w:r>
    </w:p>
    <w:p>
      <w:pPr>
        <w:spacing w:after="160"/>
      </w:pPr>
      <w:r>
        <w:rPr>
          <w:b/>
          <w:bCs/>
        </w:rPr>
        <w:t xml:space="preserve">Alert 2 (Spoofed Delivery Notification):</w:t>
      </w:r>
    </w:p>
    <w:p>
      <w:pPr>
        <w:pStyle w:val="ListParagraph"/>
        <w:numPr>
          <w:ilvl w:val="0"/>
          <w:numId w:val="2"/>
        </w:numPr>
        <w:spacing w:after="80"/>
      </w:pPr>
      <w:r>
        <w:t xml:space="preserve">Query: </w:t>
      </w:r>
      <w:r>
        <w:rPr>
          <w:i/>
          <w:iCs/>
          <w:color w:val="C00000"/>
        </w:rPr>
        <w:t xml:space="preserve">sender.address: "[insert]"</w:t>
      </w:r>
      <w:r>
        <w:t xml:space="preserve">, all-time or extended window, to confirm no prior sender history.</w:t>
      </w:r>
    </w:p>
    <w:p>
      <w:pPr>
        <w:pStyle w:val="ListParagraph"/>
        <w:numPr>
          <w:ilvl w:val="0"/>
          <w:numId w:val="2"/>
        </w:numPr>
        <w:spacing w:after="80"/>
      </w:pPr>
      <w:r>
        <w:rPr>
          <w:i/>
          <w:iCs/>
          <w:color w:val="C00000"/>
        </w:rPr>
        <w:t xml:space="preserve">[Insert screenshot — Figure 2: sender domain vs. link destination mismatch]</w:t>
      </w:r>
    </w:p>
    <w:p>
      <w:pPr>
        <w:spacing w:after="160"/>
      </w:pPr>
      <w:r>
        <w:rPr>
          <w:b/>
          <w:bCs/>
        </w:rPr>
        <w:t xml:space="preserve">Alert 3 (Click-Through):</w:t>
      </w:r>
    </w:p>
    <w:p>
      <w:pPr>
        <w:pStyle w:val="ListParagraph"/>
        <w:numPr>
          <w:ilvl w:val="0"/>
          <w:numId w:val="2"/>
        </w:numPr>
        <w:spacing w:after="80"/>
      </w:pPr>
      <w:r>
        <w:t xml:space="preserve">Query: </w:t>
      </w:r>
      <w:r>
        <w:rPr>
          <w:i/>
          <w:iCs/>
          <w:color w:val="C00000"/>
        </w:rPr>
        <w:t xml:space="preserve">destination.ip: "[insert]" OR url.original: "[insert]"</w:t>
      </w:r>
      <w:r>
        <w:t xml:space="preserve">, filtered on firewall action field.</w:t>
      </w:r>
    </w:p>
    <w:p>
      <w:pPr>
        <w:pStyle w:val="ListParagraph"/>
        <w:numPr>
          <w:ilvl w:val="0"/>
          <w:numId w:val="2"/>
        </w:numPr>
        <w:spacing w:after="80"/>
      </w:pPr>
      <w:r>
        <w:rPr>
          <w:i/>
          <w:iCs/>
          <w:color w:val="C00000"/>
        </w:rPr>
        <w:t xml:space="preserve">[Insert screenshot — Figure 3: firewall log showing blocked action]</w:t>
      </w:r>
    </w:p>
    <w:p>
      <w:pPr>
        <w:spacing w:after="160"/>
      </w:pPr>
      <w:r>
        <w:rPr>
          <w:b/>
          <w:bCs/>
        </w:rPr>
        <w:t xml:space="preserve">Alert 4 (Spoofed Microsoft Sign-In):</w:t>
      </w:r>
    </w:p>
    <w:p>
      <w:pPr>
        <w:pStyle w:val="ListParagraph"/>
        <w:numPr>
          <w:ilvl w:val="0"/>
          <w:numId w:val="2"/>
        </w:numPr>
        <w:spacing w:after="80"/>
      </w:pPr>
      <w:r>
        <w:t xml:space="preserve">Query: </w:t>
      </w:r>
      <w:r>
        <w:rPr>
          <w:i/>
          <w:iCs/>
          <w:color w:val="C00000"/>
        </w:rPr>
        <w:t xml:space="preserve">source.ip: "[insert]"</w:t>
      </w:r>
      <w:r>
        <w:t xml:space="preserve"> against authentication index, 7-day window.</w:t>
      </w:r>
    </w:p>
    <w:p>
      <w:pPr>
        <w:pStyle w:val="ListParagraph"/>
        <w:numPr>
          <w:ilvl w:val="0"/>
          <w:numId w:val="2"/>
        </w:numPr>
        <w:spacing w:after="80"/>
      </w:pPr>
      <w:r>
        <w:rPr>
          <w:i/>
          <w:iCs/>
          <w:color w:val="C00000"/>
        </w:rPr>
        <w:t xml:space="preserve">[Insert screenshot — Figure 4: raw sender domain showing homoglyph spoofing]</w:t>
      </w:r>
    </w:p>
    <w:p>
      <w:pPr>
        <w:pStyle w:val="Heading1"/>
        <w:spacing w:after="160" w:before="320"/>
      </w:pPr>
      <w:r>
        <w:t xml:space="preserve">5. Indicators of Compromise (IOCs)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78" w:color="auto" w:val="clear"/>
          </w:tcPr>
          <w:p>
            <w:r>
              <w:rPr>
                <w:b/>
                <w:bCs/>
                <w:color w:val="FFFFFF"/>
              </w:rPr>
              <w:t xml:space="preserve">IOC Type</w:t>
            </w:r>
          </w:p>
        </w:tc>
        <w:tc>
          <w:tcPr>
            <w:tcW w:type="dxa" w:w="3000"/>
            <w:shd w:fill="1F4E78" w:color="auto" w:val="clear"/>
          </w:tcPr>
          <w:p>
            <w:r>
              <w:rPr>
                <w:b/>
                <w:bCs/>
                <w:color w:val="FFFFFF"/>
              </w:rPr>
              <w:t xml:space="preserve">Value</w:t>
            </w:r>
          </w:p>
        </w:tc>
        <w:tc>
          <w:tcPr>
            <w:tcW w:type="dxa" w:w="3000"/>
            <w:shd w:fill="1F4E78" w:color="auto" w:val="clear"/>
          </w:tcPr>
          <w:p>
            <w:r>
              <w:rPr>
                <w:b/>
                <w:bCs/>
                <w:color w:val="FFFFFF"/>
              </w:rPr>
              <w:t xml:space="preserve">Notes</w:t>
            </w:r>
          </w:p>
        </w:tc>
      </w:tr>
      <w:tr>
        <w:tc>
          <w:tcPr>
            <w:tcW w:type="dxa" w:w="3000"/>
          </w:tcPr>
          <w:p>
            <w:r>
              <w:t xml:space="preserve">Sender address</w:t>
            </w:r>
          </w:p>
        </w:tc>
        <w:tc>
          <w:tcPr>
            <w:tcW w:type="dxa" w:w="3000"/>
          </w:tcPr>
          <w:p>
            <w:r>
              <w:t xml:space="preserve">[Insert — Alert 1]</w:t>
            </w:r>
          </w:p>
        </w:tc>
        <w:tc>
          <w:tcPr>
            <w:tcW w:type="dxa" w:w="3000"/>
          </w:tcPr>
          <w:p>
            <w:r>
              <w:t xml:space="preserve">Legitimate — false positive</w:t>
            </w:r>
          </w:p>
        </w:tc>
      </w:tr>
      <w:tr>
        <w:tc>
          <w:tcPr>
            <w:tcW w:type="dxa" w:w="3000"/>
          </w:tcPr>
          <w:p>
            <w:r>
              <w:t xml:space="preserve">Sender address</w:t>
            </w:r>
          </w:p>
        </w:tc>
        <w:tc>
          <w:tcPr>
            <w:tcW w:type="dxa" w:w="3000"/>
          </w:tcPr>
          <w:p>
            <w:r>
              <w:t xml:space="preserve">[Insert — Alert 2]</w:t>
            </w:r>
          </w:p>
        </w:tc>
        <w:tc>
          <w:tcPr>
            <w:tcW w:type="dxa" w:w="3000"/>
          </w:tcPr>
          <w:p>
            <w:r>
              <w:t xml:space="preserve">Spoofed delivery notification</w:t>
            </w:r>
          </w:p>
        </w:tc>
      </w:tr>
      <w:tr>
        <w:tc>
          <w:tcPr>
            <w:tcW w:type="dxa" w:w="3000"/>
          </w:tcPr>
          <w:p>
            <w:r>
              <w:t xml:space="preserve">Shortened URL</w:t>
            </w:r>
          </w:p>
        </w:tc>
        <w:tc>
          <w:tcPr>
            <w:tcW w:type="dxa" w:w="3000"/>
          </w:tcPr>
          <w:p>
            <w:r>
              <w:t xml:space="preserve">[Insert — Alert 2/3]</w:t>
            </w:r>
          </w:p>
        </w:tc>
        <w:tc>
          <w:tcPr>
            <w:tcW w:type="dxa" w:w="3000"/>
          </w:tcPr>
          <w:p>
            <w:r>
              <w:t xml:space="preserve">Credential harvesting link</w:t>
            </w:r>
          </w:p>
        </w:tc>
      </w:tr>
      <w:tr>
        <w:tc>
          <w:tcPr>
            <w:tcW w:type="dxa" w:w="3000"/>
          </w:tcPr>
          <w:p>
            <w:r>
              <w:t xml:space="preserve">Destination IP</w:t>
            </w:r>
          </w:p>
        </w:tc>
        <w:tc>
          <w:tcPr>
            <w:tcW w:type="dxa" w:w="3000"/>
          </w:tcPr>
          <w:p>
            <w:r>
              <w:t xml:space="preserve">[Insert — Alert 3]</w:t>
            </w:r>
          </w:p>
        </w:tc>
        <w:tc>
          <w:tcPr>
            <w:tcW w:type="dxa" w:w="3000"/>
          </w:tcPr>
          <w:p>
            <w:r>
              <w:t xml:space="preserve">Blocked by firewall</w:t>
            </w:r>
          </w:p>
        </w:tc>
      </w:tr>
      <w:tr>
        <w:tc>
          <w:tcPr>
            <w:tcW w:type="dxa" w:w="3000"/>
          </w:tcPr>
          <w:p>
            <w:r>
              <w:t xml:space="preserve">Sender domain</w:t>
            </w:r>
          </w:p>
        </w:tc>
        <w:tc>
          <w:tcPr>
            <w:tcW w:type="dxa" w:w="3000"/>
          </w:tcPr>
          <w:p>
            <w:r>
              <w:t xml:space="preserve">[Insert — Alert 4]</w:t>
            </w:r>
          </w:p>
        </w:tc>
        <w:tc>
          <w:tcPr>
            <w:tcW w:type="dxa" w:w="3000"/>
          </w:tcPr>
          <w:p>
            <w:r>
              <w:t xml:space="preserve">Homoglyph spoof of Microsoft domain</w:t>
            </w:r>
          </w:p>
        </w:tc>
      </w:tr>
      <w:tr>
        <w:tc>
          <w:tcPr>
            <w:tcW w:type="dxa" w:w="3000"/>
          </w:tcPr>
          <w:p>
            <w:r>
              <w:t xml:space="preserve">Source IP</w:t>
            </w:r>
          </w:p>
        </w:tc>
        <w:tc>
          <w:tcPr>
            <w:tcW w:type="dxa" w:w="3000"/>
          </w:tcPr>
          <w:p>
            <w:r>
              <w:t xml:space="preserve">[Insert — Alert 4]</w:t>
            </w:r>
          </w:p>
        </w:tc>
        <w:tc>
          <w:tcPr>
            <w:tcW w:type="dxa" w:w="3000"/>
          </w:tcPr>
          <w:p>
            <w:r>
              <w:t xml:space="preserve">No successful authentication observed</w:t>
            </w:r>
          </w:p>
        </w:tc>
      </w:tr>
    </w:tbl>
    <w:p>
      <w:pPr>
        <w:pStyle w:val="Heading1"/>
        <w:spacing w:after="160" w:before="320"/>
      </w:pPr>
      <w:r>
        <w:t xml:space="preserve">6. Verdict &amp; Severity</w:t>
      </w:r>
    </w:p>
    <w:p>
      <w:pPr>
        <w:spacing w:after="160"/>
      </w:pPr>
      <w:r>
        <w:t xml:space="preserve">Alert 1: </w:t>
      </w:r>
      <w:r>
        <w:rPr>
          <w:b/>
          <w:bCs/>
        </w:rPr>
        <w:t xml:space="preserve">False Positive</w:t>
      </w:r>
      <w:r>
        <w:t xml:space="preserve"> — Severity: Informational. Legitimate recurring sender activity.</w:t>
      </w:r>
    </w:p>
    <w:p>
      <w:pPr>
        <w:spacing w:after="160"/>
      </w:pPr>
      <w:r>
        <w:t xml:space="preserve">Alert 2: </w:t>
      </w:r>
      <w:r>
        <w:rPr>
          <w:b/>
          <w:bCs/>
        </w:rPr>
        <w:t xml:space="preserve">True Positive</w:t>
      </w:r>
      <w:r>
        <w:t xml:space="preserve"> — Severity: </w:t>
      </w:r>
      <w:r>
        <w:rPr>
          <w:i/>
          <w:iCs/>
          <w:color w:val="C00000"/>
        </w:rPr>
        <w:t xml:space="preserve">[Medium/High — justify based on scale, e.g. single-target vs. mass send]</w:t>
      </w:r>
      <w:r>
        <w:t xml:space="preserve">. Spoofed sender, no prior relationship, shortened redirect link.</w:t>
      </w:r>
    </w:p>
    <w:p>
      <w:pPr>
        <w:spacing w:after="160"/>
      </w:pPr>
      <w:r>
        <w:t xml:space="preserve">Alert 3: </w:t>
      </w:r>
      <w:r>
        <w:rPr>
          <w:b/>
          <w:bCs/>
        </w:rPr>
        <w:t xml:space="preserve">True Positive</w:t>
      </w:r>
      <w:r>
        <w:t xml:space="preserve"> — Severity: High. User click-through occurred; block was enforced at the network layer, but pre-block credential entry cannot be ruled out from email/network telemetry alone.</w:t>
      </w:r>
    </w:p>
    <w:p>
      <w:pPr>
        <w:spacing w:after="160"/>
      </w:pPr>
      <w:r>
        <w:t xml:space="preserve">Alert 4: </w:t>
      </w:r>
      <w:r>
        <w:rPr>
          <w:b/>
          <w:bCs/>
        </w:rPr>
        <w:t xml:space="preserve">True Positive</w:t>
      </w:r>
      <w:r>
        <w:t xml:space="preserve"> — Severity: Medium. Spoofed domain confirmed, but no successful or attempted authentication observed from the malicious source.</w:t>
      </w:r>
    </w:p>
    <w:p>
      <w:pPr>
        <w:pStyle w:val="Heading1"/>
        <w:spacing w:after="160" w:before="320"/>
      </w:pPr>
      <w:r>
        <w:t xml:space="preserve">7. Recommendations &amp; Remediation</w:t>
      </w:r>
    </w:p>
    <w:p>
      <w:pPr>
        <w:pStyle w:val="ListParagraph"/>
        <w:numPr>
          <w:ilvl w:val="0"/>
          <w:numId w:val="2"/>
        </w:numPr>
        <w:spacing w:after="80"/>
      </w:pPr>
      <w:r>
        <w:t xml:space="preserve">Force a password reset and enforce MFA enrolment for the user involved in the Alert 3 click-through, given the inability to fully rule out credential entry prior to the firewall block.</w:t>
      </w:r>
    </w:p>
    <w:p>
      <w:pPr>
        <w:pStyle w:val="ListParagraph"/>
        <w:numPr>
          <w:ilvl w:val="0"/>
          <w:numId w:val="2"/>
        </w:numPr>
        <w:spacing w:after="80"/>
      </w:pPr>
      <w:r>
        <w:t xml:space="preserve">Tune email/spam filtering rules to flag or quarantine messages from newly-seen senders with urgency language and shortened or redirect-style links.</w:t>
      </w:r>
    </w:p>
    <w:p>
      <w:pPr>
        <w:pStyle w:val="ListParagraph"/>
        <w:numPr>
          <w:ilvl w:val="0"/>
          <w:numId w:val="2"/>
        </w:numPr>
        <w:spacing w:after="80"/>
      </w:pPr>
      <w:r>
        <w:t xml:space="preserve">Add the identified malicious domains and IOCs to blocklists at the email gateway and firewall to prevent recurrence.</w:t>
      </w:r>
    </w:p>
    <w:p>
      <w:pPr>
        <w:pStyle w:val="ListParagraph"/>
        <w:numPr>
          <w:ilvl w:val="0"/>
          <w:numId w:val="2"/>
        </w:numPr>
        <w:spacing w:after="80"/>
      </w:pPr>
      <w:r>
        <w:t xml:space="preserve">Implement or tighten DMARC/SPF/DKIM enforcement to reduce the success rate of domain-spoofing attempts such as the one seen in Alert 4.</w:t>
      </w:r>
    </w:p>
    <w:p>
      <w:pPr>
        <w:pStyle w:val="ListParagraph"/>
        <w:numPr>
          <w:ilvl w:val="0"/>
          <w:numId w:val="2"/>
        </w:numPr>
        <w:spacing w:after="80"/>
      </w:pPr>
      <w:r>
        <w:t xml:space="preserve">Provide targeted user awareness communication referencing the specific lures observed (delivery notification and fake Microsoft sign-in alert), since both rely on urgency and brand impersonation.</w:t>
      </w:r>
    </w:p>
    <w:p>
      <w:pPr>
        <w:pStyle w:val="Heading1"/>
        <w:spacing w:after="160" w:before="320"/>
      </w:pPr>
      <w:r>
        <w:t xml:space="preserve">8. Lessons Learned</w:t>
      </w:r>
    </w:p>
    <w:p>
      <w:pPr>
        <w:pStyle w:val="ListParagraph"/>
        <w:numPr>
          <w:ilvl w:val="0"/>
          <w:numId w:val="2"/>
        </w:numPr>
        <w:spacing w:after="80"/>
      </w:pPr>
      <w:r>
        <w:t xml:space="preserve">Checking sender history (has this address contacted this recipient before?) is a fast, reliable first filter for legitimacy and should be the default first pivot on any email-based alert.</w:t>
      </w:r>
    </w:p>
    <w:p>
      <w:pPr>
        <w:pStyle w:val="ListParagraph"/>
        <w:numPr>
          <w:ilvl w:val="0"/>
          <w:numId w:val="2"/>
        </w:numPr>
        <w:spacing w:after="80"/>
      </w:pPr>
      <w:r>
        <w:t xml:space="preserve">Domain spoofing is not always obvious from a glance — character-level review of the sending domain (homoglyphs, altered TLDs) caught what a quick read would have missed.</w:t>
      </w:r>
    </w:p>
    <w:p>
      <w:pPr>
        <w:pStyle w:val="ListParagraph"/>
        <w:numPr>
          <w:ilvl w:val="0"/>
          <w:numId w:val="2"/>
        </w:numPr>
        <w:spacing w:after="80"/>
      </w:pPr>
      <w:r>
        <w:t xml:space="preserve">A blocked connection does not close an investigation — Alert 3 shows that click-through activity still warrants escalation even when the network layer prevented the connection from succeeding.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2026-08-04T09:05:51.330Z</dcterms:created>
  <dcterms:modified xsi:type="dcterms:W3CDTF">2026-08-04T09:05:51.330Z</dcterms:modified>
</cp:coreProperties>
</file>

<file path=docProps/custom.xml><?xml version="1.0" encoding="utf-8"?>
<Properties xmlns="http://schemas.openxmlformats.org/officeDocument/2006/custom-properties" xmlns:vt="http://schemas.openxmlformats.org/officeDocument/2006/docPropsVTypes"/>
</file>