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437F956" w14:textId="023AA75E" w:rsidR="00C315FD" w:rsidRDefault="00C315FD" w:rsidP="00C315FD">
      <w:pPr>
        <w:rPr>
          <w:b/>
          <w:bCs/>
        </w:rPr>
      </w:pPr>
      <w:r w:rsidRPr="00206CE9">
        <w:rPr>
          <w:b/>
          <w:bCs/>
        </w:rPr>
        <w:t xml:space="preserve">Daily DSE Wrap | </w:t>
      </w:r>
      <w:r>
        <w:rPr>
          <w:b/>
          <w:bCs/>
        </w:rPr>
        <w:t>Monday</w:t>
      </w:r>
      <w:r w:rsidRPr="00282F80">
        <w:rPr>
          <w:b/>
          <w:bCs/>
        </w:rPr>
        <w:t xml:space="preserve">, </w:t>
      </w:r>
      <w:r>
        <w:rPr>
          <w:b/>
          <w:bCs/>
        </w:rPr>
        <w:t>6th</w:t>
      </w:r>
      <w:r w:rsidRPr="00282F80">
        <w:rPr>
          <w:b/>
          <w:bCs/>
        </w:rPr>
        <w:t xml:space="preserve"> July 2026</w:t>
      </w:r>
    </w:p>
    <w:p w14:paraId="502FFC37" w14:textId="3B15F3D5" w:rsidR="00C315FD" w:rsidRPr="00C315FD" w:rsidRDefault="00C315FD" w:rsidP="00C315FD">
      <w:r w:rsidRPr="00C315FD">
        <w:rPr>
          <w:b/>
          <w:bCs/>
        </w:rPr>
        <w:t>Closing Analysis &amp; Market Insight</w:t>
      </w:r>
    </w:p>
    <w:p w14:paraId="5BEB9C53" w14:textId="77777777" w:rsidR="00C315FD" w:rsidRPr="00C315FD" w:rsidRDefault="00C315FD" w:rsidP="00C315FD">
      <w:r w:rsidRPr="00C315FD">
        <w:t>The Dar es Salaam Stock Exchange kicked off the new trading week with its highest turnover in nearly two weeks, as a combination of large block trades and broad retail participation pushed total equity turnover to TZS</w:t>
      </w:r>
      <w:r w:rsidRPr="00C315FD">
        <w:rPr>
          <w:rFonts w:ascii="Arial" w:hAnsi="Arial" w:cs="Arial"/>
        </w:rPr>
        <w:t> </w:t>
      </w:r>
      <w:r w:rsidRPr="00C315FD">
        <w:t>9.21</w:t>
      </w:r>
      <w:r w:rsidRPr="00C315FD">
        <w:rPr>
          <w:rFonts w:ascii="Arial" w:hAnsi="Arial" w:cs="Arial"/>
        </w:rPr>
        <w:t> </w:t>
      </w:r>
      <w:r w:rsidRPr="00C315FD">
        <w:t>billion. While the All</w:t>
      </w:r>
      <w:r w:rsidRPr="00C315FD">
        <w:noBreakHyphen/>
        <w:t xml:space="preserve">Share Index eased marginally from its recent peak, the underlying activity </w:t>
      </w:r>
      <w:r w:rsidRPr="00C315FD">
        <w:rPr>
          <w:rFonts w:ascii="Aptos" w:hAnsi="Aptos" w:cs="Aptos"/>
        </w:rPr>
        <w:t>—</w:t>
      </w:r>
      <w:r w:rsidRPr="00C315FD">
        <w:t xml:space="preserve"> 4,781 deals and over 1.65</w:t>
      </w:r>
      <w:r w:rsidRPr="00C315FD">
        <w:rPr>
          <w:rFonts w:ascii="Arial" w:hAnsi="Arial" w:cs="Arial"/>
        </w:rPr>
        <w:t> </w:t>
      </w:r>
      <w:r w:rsidRPr="00C315FD">
        <w:t xml:space="preserve">million shares traded </w:t>
      </w:r>
      <w:r w:rsidRPr="00C315FD">
        <w:rPr>
          <w:rFonts w:ascii="Aptos" w:hAnsi="Aptos" w:cs="Aptos"/>
        </w:rPr>
        <w:t>—</w:t>
      </w:r>
      <w:r w:rsidRPr="00C315FD">
        <w:t xml:space="preserve"> signalled strong, domestically</w:t>
      </w:r>
      <w:r w:rsidRPr="00C315FD">
        <w:noBreakHyphen/>
        <w:t>driven conviction. This report decodes the day</w:t>
      </w:r>
      <w:r w:rsidRPr="00C315FD">
        <w:rPr>
          <w:rFonts w:ascii="Aptos" w:hAnsi="Aptos" w:cs="Aptos"/>
        </w:rPr>
        <w:t>’</w:t>
      </w:r>
      <w:r w:rsidRPr="00C315FD">
        <w:t>s data, explains how the DSE</w:t>
      </w:r>
      <w:r w:rsidRPr="00C315FD">
        <w:rPr>
          <w:rFonts w:ascii="Aptos" w:hAnsi="Aptos" w:cs="Aptos"/>
        </w:rPr>
        <w:t>’</w:t>
      </w:r>
      <w:r w:rsidRPr="00C315FD">
        <w:t>s 5% daily price bands shape trading, and frames the long</w:t>
      </w:r>
      <w:r w:rsidRPr="00C315FD">
        <w:noBreakHyphen/>
        <w:t>term implications of a market that is now firmly in local hands.</w:t>
      </w:r>
    </w:p>
    <w:p w14:paraId="78D90DE4" w14:textId="77777777" w:rsidR="00C315FD" w:rsidRPr="00C315FD" w:rsidRDefault="00C315FD" w:rsidP="00C315FD">
      <w:r w:rsidRPr="00C315FD">
        <w:pict w14:anchorId="2BBE5527">
          <v:rect id="_x0000_i1073" style="width:0;height:1.5pt" o:hralign="center" o:hrstd="t" o:hr="t" fillcolor="#a0a0a0" stroked="f"/>
        </w:pict>
      </w:r>
    </w:p>
    <w:p w14:paraId="39F6D9B1" w14:textId="77777777" w:rsidR="00C315FD" w:rsidRPr="00C315FD" w:rsidRDefault="00C315FD" w:rsidP="00C315FD">
      <w:pPr>
        <w:rPr>
          <w:b/>
          <w:bCs/>
        </w:rPr>
      </w:pPr>
      <w:r w:rsidRPr="00C315FD">
        <w:rPr>
          <w:b/>
          <w:bCs/>
        </w:rPr>
        <w:t>1. Market Snapshot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64"/>
        <w:gridCol w:w="1381"/>
        <w:gridCol w:w="1579"/>
        <w:gridCol w:w="2077"/>
      </w:tblGrid>
      <w:tr w:rsidR="00C315FD" w:rsidRPr="00C315FD" w14:paraId="5B56968F" w14:textId="77777777" w:rsidTr="00C315FD">
        <w:trPr>
          <w:tblHeader/>
          <w:tblCellSpacing w:w="15" w:type="dxa"/>
        </w:trPr>
        <w:tc>
          <w:tcPr>
            <w:tcW w:w="0" w:type="auto"/>
            <w:vAlign w:val="center"/>
            <w:hideMark/>
          </w:tcPr>
          <w:p w14:paraId="4E0A2A80" w14:textId="77777777" w:rsidR="00C315FD" w:rsidRPr="00C315FD" w:rsidRDefault="00C315FD" w:rsidP="00C315FD">
            <w:pPr>
              <w:rPr>
                <w:b/>
                <w:bCs/>
              </w:rPr>
            </w:pPr>
            <w:r w:rsidRPr="00C315FD">
              <w:rPr>
                <w:b/>
                <w:bCs/>
              </w:rPr>
              <w:t>Metric</w:t>
            </w:r>
          </w:p>
        </w:tc>
        <w:tc>
          <w:tcPr>
            <w:tcW w:w="0" w:type="auto"/>
            <w:vAlign w:val="center"/>
            <w:hideMark/>
          </w:tcPr>
          <w:p w14:paraId="770D4A1C" w14:textId="77777777" w:rsidR="00C315FD" w:rsidRPr="00C315FD" w:rsidRDefault="00C315FD" w:rsidP="00C315FD">
            <w:pPr>
              <w:rPr>
                <w:b/>
                <w:bCs/>
              </w:rPr>
            </w:pPr>
            <w:r w:rsidRPr="00C315FD">
              <w:rPr>
                <w:b/>
                <w:bCs/>
              </w:rPr>
              <w:t>Friday 3 Jul</w:t>
            </w:r>
          </w:p>
        </w:tc>
        <w:tc>
          <w:tcPr>
            <w:tcW w:w="0" w:type="auto"/>
            <w:vAlign w:val="center"/>
            <w:hideMark/>
          </w:tcPr>
          <w:p w14:paraId="53E11DAA" w14:textId="77777777" w:rsidR="00C315FD" w:rsidRPr="00C315FD" w:rsidRDefault="00C315FD" w:rsidP="00C315FD">
            <w:pPr>
              <w:rPr>
                <w:b/>
                <w:bCs/>
              </w:rPr>
            </w:pPr>
            <w:r w:rsidRPr="00C315FD">
              <w:rPr>
                <w:b/>
                <w:bCs/>
              </w:rPr>
              <w:t>Monday 6 Jul</w:t>
            </w:r>
          </w:p>
        </w:tc>
        <w:tc>
          <w:tcPr>
            <w:tcW w:w="0" w:type="auto"/>
            <w:vAlign w:val="center"/>
            <w:hideMark/>
          </w:tcPr>
          <w:p w14:paraId="7E3BE895" w14:textId="77777777" w:rsidR="00C315FD" w:rsidRPr="00C315FD" w:rsidRDefault="00C315FD" w:rsidP="00C315FD">
            <w:pPr>
              <w:rPr>
                <w:b/>
                <w:bCs/>
              </w:rPr>
            </w:pPr>
            <w:r w:rsidRPr="00C315FD">
              <w:rPr>
                <w:b/>
                <w:bCs/>
              </w:rPr>
              <w:t>Change</w:t>
            </w:r>
          </w:p>
        </w:tc>
      </w:tr>
      <w:tr w:rsidR="00C315FD" w:rsidRPr="00C315FD" w14:paraId="249EAAA4" w14:textId="77777777" w:rsidTr="00C315FD">
        <w:trPr>
          <w:tblCellSpacing w:w="15" w:type="dxa"/>
        </w:trPr>
        <w:tc>
          <w:tcPr>
            <w:tcW w:w="0" w:type="auto"/>
            <w:vAlign w:val="center"/>
            <w:hideMark/>
          </w:tcPr>
          <w:p w14:paraId="23DAE4A9" w14:textId="77777777" w:rsidR="00C315FD" w:rsidRPr="00C315FD" w:rsidRDefault="00C315FD" w:rsidP="00C315FD">
            <w:r w:rsidRPr="00C315FD">
              <w:rPr>
                <w:b/>
                <w:bCs/>
              </w:rPr>
              <w:t>DSEI</w:t>
            </w:r>
          </w:p>
        </w:tc>
        <w:tc>
          <w:tcPr>
            <w:tcW w:w="0" w:type="auto"/>
            <w:vAlign w:val="center"/>
            <w:hideMark/>
          </w:tcPr>
          <w:p w14:paraId="1F82F2C6" w14:textId="77777777" w:rsidR="00C315FD" w:rsidRPr="00C315FD" w:rsidRDefault="00C315FD" w:rsidP="00C315FD">
            <w:r w:rsidRPr="00C315FD">
              <w:t>4,116.73</w:t>
            </w:r>
          </w:p>
        </w:tc>
        <w:tc>
          <w:tcPr>
            <w:tcW w:w="0" w:type="auto"/>
            <w:vAlign w:val="center"/>
            <w:hideMark/>
          </w:tcPr>
          <w:p w14:paraId="7DA8656D" w14:textId="77777777" w:rsidR="00C315FD" w:rsidRPr="00C315FD" w:rsidRDefault="00C315FD" w:rsidP="00C315FD">
            <w:r w:rsidRPr="00C315FD">
              <w:rPr>
                <w:b/>
                <w:bCs/>
              </w:rPr>
              <w:t>4,102.94</w:t>
            </w:r>
          </w:p>
        </w:tc>
        <w:tc>
          <w:tcPr>
            <w:tcW w:w="0" w:type="auto"/>
            <w:vAlign w:val="center"/>
            <w:hideMark/>
          </w:tcPr>
          <w:p w14:paraId="4047FC16" w14:textId="77777777" w:rsidR="00C315FD" w:rsidRPr="00C315FD" w:rsidRDefault="00C315FD" w:rsidP="00C315FD">
            <w:r w:rsidRPr="00C315FD">
              <w:t>–13.79 pts (–0.33%)</w:t>
            </w:r>
          </w:p>
        </w:tc>
      </w:tr>
      <w:tr w:rsidR="00C315FD" w:rsidRPr="00C315FD" w14:paraId="0A925612" w14:textId="77777777" w:rsidTr="00C315FD">
        <w:trPr>
          <w:tblCellSpacing w:w="15" w:type="dxa"/>
        </w:trPr>
        <w:tc>
          <w:tcPr>
            <w:tcW w:w="0" w:type="auto"/>
            <w:vAlign w:val="center"/>
            <w:hideMark/>
          </w:tcPr>
          <w:p w14:paraId="76051677" w14:textId="77777777" w:rsidR="00C315FD" w:rsidRPr="00C315FD" w:rsidRDefault="00C315FD" w:rsidP="00C315FD">
            <w:r w:rsidRPr="00C315FD">
              <w:rPr>
                <w:b/>
                <w:bCs/>
              </w:rPr>
              <w:t>TSI</w:t>
            </w:r>
          </w:p>
        </w:tc>
        <w:tc>
          <w:tcPr>
            <w:tcW w:w="0" w:type="auto"/>
            <w:vAlign w:val="center"/>
            <w:hideMark/>
          </w:tcPr>
          <w:p w14:paraId="3C3BB89C" w14:textId="77777777" w:rsidR="00C315FD" w:rsidRPr="00C315FD" w:rsidRDefault="00C315FD" w:rsidP="00C315FD">
            <w:r w:rsidRPr="00C315FD">
              <w:t>—</w:t>
            </w:r>
          </w:p>
        </w:tc>
        <w:tc>
          <w:tcPr>
            <w:tcW w:w="0" w:type="auto"/>
            <w:vAlign w:val="center"/>
            <w:hideMark/>
          </w:tcPr>
          <w:p w14:paraId="5A26095E" w14:textId="77777777" w:rsidR="00C315FD" w:rsidRPr="00C315FD" w:rsidRDefault="00C315FD" w:rsidP="00C315FD">
            <w:r w:rsidRPr="00C315FD">
              <w:rPr>
                <w:b/>
                <w:bCs/>
              </w:rPr>
              <w:t>8,981.69</w:t>
            </w:r>
          </w:p>
        </w:tc>
        <w:tc>
          <w:tcPr>
            <w:tcW w:w="0" w:type="auto"/>
            <w:vAlign w:val="center"/>
            <w:hideMark/>
          </w:tcPr>
          <w:p w14:paraId="00424D0B" w14:textId="77777777" w:rsidR="00C315FD" w:rsidRPr="00C315FD" w:rsidRDefault="00C315FD" w:rsidP="00C315FD">
            <w:r w:rsidRPr="00C315FD">
              <w:t>—</w:t>
            </w:r>
          </w:p>
        </w:tc>
      </w:tr>
      <w:tr w:rsidR="00C315FD" w:rsidRPr="00C315FD" w14:paraId="2C6A909D" w14:textId="77777777" w:rsidTr="00C315FD">
        <w:trPr>
          <w:tblCellSpacing w:w="15" w:type="dxa"/>
        </w:trPr>
        <w:tc>
          <w:tcPr>
            <w:tcW w:w="0" w:type="auto"/>
            <w:vAlign w:val="center"/>
            <w:hideMark/>
          </w:tcPr>
          <w:p w14:paraId="2AFCB76D" w14:textId="77777777" w:rsidR="00C315FD" w:rsidRPr="00C315FD" w:rsidRDefault="00C315FD" w:rsidP="00C315FD">
            <w:r w:rsidRPr="00C315FD">
              <w:rPr>
                <w:b/>
                <w:bCs/>
              </w:rPr>
              <w:t>Equity Turnover</w:t>
            </w:r>
          </w:p>
        </w:tc>
        <w:tc>
          <w:tcPr>
            <w:tcW w:w="0" w:type="auto"/>
            <w:vAlign w:val="center"/>
            <w:hideMark/>
          </w:tcPr>
          <w:p w14:paraId="3C158C02" w14:textId="77777777" w:rsidR="00C315FD" w:rsidRPr="00C315FD" w:rsidRDefault="00C315FD" w:rsidP="00C315FD">
            <w:r w:rsidRPr="00C315FD">
              <w:t>TZS 6.85 bn</w:t>
            </w:r>
          </w:p>
        </w:tc>
        <w:tc>
          <w:tcPr>
            <w:tcW w:w="0" w:type="auto"/>
            <w:vAlign w:val="center"/>
            <w:hideMark/>
          </w:tcPr>
          <w:p w14:paraId="21A8F4E5" w14:textId="77777777" w:rsidR="00C315FD" w:rsidRPr="00C315FD" w:rsidRDefault="00C315FD" w:rsidP="00C315FD">
            <w:r w:rsidRPr="00C315FD">
              <w:rPr>
                <w:b/>
                <w:bCs/>
              </w:rPr>
              <w:t>TZS 9.21 bn</w:t>
            </w:r>
          </w:p>
        </w:tc>
        <w:tc>
          <w:tcPr>
            <w:tcW w:w="0" w:type="auto"/>
            <w:vAlign w:val="center"/>
            <w:hideMark/>
          </w:tcPr>
          <w:p w14:paraId="69C7ADFC" w14:textId="77777777" w:rsidR="00C315FD" w:rsidRPr="00C315FD" w:rsidRDefault="00C315FD" w:rsidP="00C315FD">
            <w:r w:rsidRPr="00C315FD">
              <w:t>+34.4%</w:t>
            </w:r>
          </w:p>
        </w:tc>
      </w:tr>
      <w:tr w:rsidR="00C315FD" w:rsidRPr="00C315FD" w14:paraId="40F5BBE9" w14:textId="77777777" w:rsidTr="00C315FD">
        <w:trPr>
          <w:tblCellSpacing w:w="15" w:type="dxa"/>
        </w:trPr>
        <w:tc>
          <w:tcPr>
            <w:tcW w:w="0" w:type="auto"/>
            <w:vAlign w:val="center"/>
            <w:hideMark/>
          </w:tcPr>
          <w:p w14:paraId="0F3A9860" w14:textId="77777777" w:rsidR="00C315FD" w:rsidRPr="00C315FD" w:rsidRDefault="00C315FD" w:rsidP="00C315FD">
            <w:r w:rsidRPr="00C315FD">
              <w:rPr>
                <w:b/>
                <w:bCs/>
              </w:rPr>
              <w:t>Shares Traded</w:t>
            </w:r>
          </w:p>
        </w:tc>
        <w:tc>
          <w:tcPr>
            <w:tcW w:w="0" w:type="auto"/>
            <w:vAlign w:val="center"/>
            <w:hideMark/>
          </w:tcPr>
          <w:p w14:paraId="55F45D56" w14:textId="77777777" w:rsidR="00C315FD" w:rsidRPr="00C315FD" w:rsidRDefault="00C315FD" w:rsidP="00C315FD">
            <w:r w:rsidRPr="00C315FD">
              <w:t>1,055,587</w:t>
            </w:r>
          </w:p>
        </w:tc>
        <w:tc>
          <w:tcPr>
            <w:tcW w:w="0" w:type="auto"/>
            <w:vAlign w:val="center"/>
            <w:hideMark/>
          </w:tcPr>
          <w:p w14:paraId="1AAD8A81" w14:textId="77777777" w:rsidR="00C315FD" w:rsidRPr="00C315FD" w:rsidRDefault="00C315FD" w:rsidP="00C315FD">
            <w:r w:rsidRPr="00C315FD">
              <w:rPr>
                <w:b/>
                <w:bCs/>
              </w:rPr>
              <w:t>1,657,220</w:t>
            </w:r>
          </w:p>
        </w:tc>
        <w:tc>
          <w:tcPr>
            <w:tcW w:w="0" w:type="auto"/>
            <w:vAlign w:val="center"/>
            <w:hideMark/>
          </w:tcPr>
          <w:p w14:paraId="0EA73DAD" w14:textId="77777777" w:rsidR="00C315FD" w:rsidRPr="00C315FD" w:rsidRDefault="00C315FD" w:rsidP="00C315FD">
            <w:r w:rsidRPr="00C315FD">
              <w:t>+57.0%</w:t>
            </w:r>
          </w:p>
        </w:tc>
      </w:tr>
      <w:tr w:rsidR="00C315FD" w:rsidRPr="00C315FD" w14:paraId="4AA98297" w14:textId="77777777" w:rsidTr="00C315FD">
        <w:trPr>
          <w:tblCellSpacing w:w="15" w:type="dxa"/>
        </w:trPr>
        <w:tc>
          <w:tcPr>
            <w:tcW w:w="0" w:type="auto"/>
            <w:vAlign w:val="center"/>
            <w:hideMark/>
          </w:tcPr>
          <w:p w14:paraId="2E36BDFA" w14:textId="77777777" w:rsidR="00C315FD" w:rsidRPr="00C315FD" w:rsidRDefault="00C315FD" w:rsidP="00C315FD">
            <w:r w:rsidRPr="00C315FD">
              <w:rPr>
                <w:b/>
                <w:bCs/>
              </w:rPr>
              <w:t>Deals</w:t>
            </w:r>
          </w:p>
        </w:tc>
        <w:tc>
          <w:tcPr>
            <w:tcW w:w="0" w:type="auto"/>
            <w:vAlign w:val="center"/>
            <w:hideMark/>
          </w:tcPr>
          <w:p w14:paraId="0522DB9E" w14:textId="77777777" w:rsidR="00C315FD" w:rsidRPr="00C315FD" w:rsidRDefault="00C315FD" w:rsidP="00C315FD">
            <w:r w:rsidRPr="00C315FD">
              <w:t>3,727</w:t>
            </w:r>
          </w:p>
        </w:tc>
        <w:tc>
          <w:tcPr>
            <w:tcW w:w="0" w:type="auto"/>
            <w:vAlign w:val="center"/>
            <w:hideMark/>
          </w:tcPr>
          <w:p w14:paraId="254FEDEE" w14:textId="77777777" w:rsidR="00C315FD" w:rsidRPr="00C315FD" w:rsidRDefault="00C315FD" w:rsidP="00C315FD">
            <w:r w:rsidRPr="00C315FD">
              <w:rPr>
                <w:b/>
                <w:bCs/>
              </w:rPr>
              <w:t>4,781</w:t>
            </w:r>
          </w:p>
        </w:tc>
        <w:tc>
          <w:tcPr>
            <w:tcW w:w="0" w:type="auto"/>
            <w:vAlign w:val="center"/>
            <w:hideMark/>
          </w:tcPr>
          <w:p w14:paraId="0667796A" w14:textId="77777777" w:rsidR="00C315FD" w:rsidRPr="00C315FD" w:rsidRDefault="00C315FD" w:rsidP="00C315FD">
            <w:r w:rsidRPr="00C315FD">
              <w:t>+28.3%</w:t>
            </w:r>
          </w:p>
        </w:tc>
      </w:tr>
      <w:tr w:rsidR="00C315FD" w:rsidRPr="00C315FD" w14:paraId="44ED6AC8" w14:textId="77777777" w:rsidTr="00C315FD">
        <w:trPr>
          <w:tblCellSpacing w:w="15" w:type="dxa"/>
        </w:trPr>
        <w:tc>
          <w:tcPr>
            <w:tcW w:w="0" w:type="auto"/>
            <w:vAlign w:val="center"/>
            <w:hideMark/>
          </w:tcPr>
          <w:p w14:paraId="6403C5B4" w14:textId="77777777" w:rsidR="00C315FD" w:rsidRPr="00C315FD" w:rsidRDefault="00C315FD" w:rsidP="00C315FD">
            <w:r w:rsidRPr="00C315FD">
              <w:rPr>
                <w:b/>
                <w:bCs/>
              </w:rPr>
              <w:t>Bond Turnover</w:t>
            </w:r>
          </w:p>
        </w:tc>
        <w:tc>
          <w:tcPr>
            <w:tcW w:w="0" w:type="auto"/>
            <w:vAlign w:val="center"/>
            <w:hideMark/>
          </w:tcPr>
          <w:p w14:paraId="7FC464FA" w14:textId="77777777" w:rsidR="00C315FD" w:rsidRPr="00C315FD" w:rsidRDefault="00C315FD" w:rsidP="00C315FD">
            <w:r w:rsidRPr="00C315FD">
              <w:t>TZS 26.85 bn</w:t>
            </w:r>
          </w:p>
        </w:tc>
        <w:tc>
          <w:tcPr>
            <w:tcW w:w="0" w:type="auto"/>
            <w:vAlign w:val="center"/>
            <w:hideMark/>
          </w:tcPr>
          <w:p w14:paraId="2C62BBD0" w14:textId="77777777" w:rsidR="00C315FD" w:rsidRPr="00C315FD" w:rsidRDefault="00C315FD" w:rsidP="00C315FD">
            <w:r w:rsidRPr="00C315FD">
              <w:rPr>
                <w:b/>
                <w:bCs/>
              </w:rPr>
              <w:t>TZS 33.03 bn</w:t>
            </w:r>
          </w:p>
        </w:tc>
        <w:tc>
          <w:tcPr>
            <w:tcW w:w="0" w:type="auto"/>
            <w:vAlign w:val="center"/>
            <w:hideMark/>
          </w:tcPr>
          <w:p w14:paraId="62CBF11A" w14:textId="77777777" w:rsidR="00C315FD" w:rsidRPr="00C315FD" w:rsidRDefault="00C315FD" w:rsidP="00C315FD">
            <w:r w:rsidRPr="00C315FD">
              <w:t>+23.0%</w:t>
            </w:r>
          </w:p>
        </w:tc>
      </w:tr>
      <w:tr w:rsidR="00C315FD" w:rsidRPr="00C315FD" w14:paraId="6E438F81" w14:textId="77777777" w:rsidTr="00C315FD">
        <w:trPr>
          <w:tblCellSpacing w:w="15" w:type="dxa"/>
        </w:trPr>
        <w:tc>
          <w:tcPr>
            <w:tcW w:w="0" w:type="auto"/>
            <w:vAlign w:val="center"/>
            <w:hideMark/>
          </w:tcPr>
          <w:p w14:paraId="6326498E" w14:textId="77777777" w:rsidR="00C315FD" w:rsidRPr="00C315FD" w:rsidRDefault="00C315FD" w:rsidP="00C315FD">
            <w:r w:rsidRPr="00C315FD">
              <w:rPr>
                <w:b/>
                <w:bCs/>
              </w:rPr>
              <w:t>ETF Turnover</w:t>
            </w:r>
          </w:p>
        </w:tc>
        <w:tc>
          <w:tcPr>
            <w:tcW w:w="0" w:type="auto"/>
            <w:vAlign w:val="center"/>
            <w:hideMark/>
          </w:tcPr>
          <w:p w14:paraId="4EE0B0B1" w14:textId="77777777" w:rsidR="00C315FD" w:rsidRPr="00C315FD" w:rsidRDefault="00C315FD" w:rsidP="00C315FD">
            <w:r w:rsidRPr="00C315FD">
              <w:t>—</w:t>
            </w:r>
          </w:p>
        </w:tc>
        <w:tc>
          <w:tcPr>
            <w:tcW w:w="0" w:type="auto"/>
            <w:vAlign w:val="center"/>
            <w:hideMark/>
          </w:tcPr>
          <w:p w14:paraId="1CE7438E" w14:textId="77777777" w:rsidR="00C315FD" w:rsidRPr="00C315FD" w:rsidRDefault="00C315FD" w:rsidP="00C315FD">
            <w:r w:rsidRPr="00C315FD">
              <w:t xml:space="preserve">TZS 248.06 </w:t>
            </w:r>
            <w:proofErr w:type="spellStart"/>
            <w:r w:rsidRPr="00C315FD">
              <w:t>mn</w:t>
            </w:r>
            <w:proofErr w:type="spellEnd"/>
          </w:p>
        </w:tc>
        <w:tc>
          <w:tcPr>
            <w:tcW w:w="0" w:type="auto"/>
            <w:vAlign w:val="center"/>
            <w:hideMark/>
          </w:tcPr>
          <w:p w14:paraId="6F175C79" w14:textId="77777777" w:rsidR="00C315FD" w:rsidRPr="00C315FD" w:rsidRDefault="00C315FD" w:rsidP="00C315FD">
            <w:r w:rsidRPr="00C315FD">
              <w:t>—</w:t>
            </w:r>
          </w:p>
        </w:tc>
      </w:tr>
      <w:tr w:rsidR="00C315FD" w:rsidRPr="00C315FD" w14:paraId="384888DA" w14:textId="77777777" w:rsidTr="00C315FD">
        <w:trPr>
          <w:tblCellSpacing w:w="15" w:type="dxa"/>
        </w:trPr>
        <w:tc>
          <w:tcPr>
            <w:tcW w:w="0" w:type="auto"/>
            <w:vAlign w:val="center"/>
            <w:hideMark/>
          </w:tcPr>
          <w:p w14:paraId="30E54A51" w14:textId="77777777" w:rsidR="00C315FD" w:rsidRPr="00C315FD" w:rsidRDefault="00C315FD" w:rsidP="00C315FD">
            <w:r w:rsidRPr="00C315FD">
              <w:rPr>
                <w:b/>
                <w:bCs/>
              </w:rPr>
              <w:t>Foreign Buying</w:t>
            </w:r>
          </w:p>
        </w:tc>
        <w:tc>
          <w:tcPr>
            <w:tcW w:w="0" w:type="auto"/>
            <w:vAlign w:val="center"/>
            <w:hideMark/>
          </w:tcPr>
          <w:p w14:paraId="6760C20A" w14:textId="77777777" w:rsidR="00C315FD" w:rsidRPr="00C315FD" w:rsidRDefault="00C315FD" w:rsidP="00C315FD">
            <w:r w:rsidRPr="00C315FD">
              <w:t>—</w:t>
            </w:r>
          </w:p>
        </w:tc>
        <w:tc>
          <w:tcPr>
            <w:tcW w:w="0" w:type="auto"/>
            <w:vAlign w:val="center"/>
            <w:hideMark/>
          </w:tcPr>
          <w:p w14:paraId="0600F7D1" w14:textId="77777777" w:rsidR="00C315FD" w:rsidRPr="00C315FD" w:rsidRDefault="00C315FD" w:rsidP="00C315FD">
            <w:r w:rsidRPr="00C315FD">
              <w:rPr>
                <w:b/>
                <w:bCs/>
              </w:rPr>
              <w:t>0.14%</w:t>
            </w:r>
          </w:p>
        </w:tc>
        <w:tc>
          <w:tcPr>
            <w:tcW w:w="0" w:type="auto"/>
            <w:vAlign w:val="center"/>
            <w:hideMark/>
          </w:tcPr>
          <w:p w14:paraId="6E2FBBE7" w14:textId="77777777" w:rsidR="00C315FD" w:rsidRPr="00C315FD" w:rsidRDefault="00C315FD" w:rsidP="00C315FD">
            <w:r w:rsidRPr="00C315FD">
              <w:t>—</w:t>
            </w:r>
          </w:p>
        </w:tc>
      </w:tr>
      <w:tr w:rsidR="00C315FD" w:rsidRPr="00C315FD" w14:paraId="78BB07A5" w14:textId="77777777" w:rsidTr="00C315FD">
        <w:trPr>
          <w:tblCellSpacing w:w="15" w:type="dxa"/>
        </w:trPr>
        <w:tc>
          <w:tcPr>
            <w:tcW w:w="0" w:type="auto"/>
            <w:vAlign w:val="center"/>
            <w:hideMark/>
          </w:tcPr>
          <w:p w14:paraId="51B6D774" w14:textId="77777777" w:rsidR="00C315FD" w:rsidRPr="00C315FD" w:rsidRDefault="00C315FD" w:rsidP="00C315FD">
            <w:r w:rsidRPr="00C315FD">
              <w:rPr>
                <w:b/>
                <w:bCs/>
              </w:rPr>
              <w:t>Foreign Selling</w:t>
            </w:r>
          </w:p>
        </w:tc>
        <w:tc>
          <w:tcPr>
            <w:tcW w:w="0" w:type="auto"/>
            <w:vAlign w:val="center"/>
            <w:hideMark/>
          </w:tcPr>
          <w:p w14:paraId="6E74692F" w14:textId="77777777" w:rsidR="00C315FD" w:rsidRPr="00C315FD" w:rsidRDefault="00C315FD" w:rsidP="00C315FD">
            <w:r w:rsidRPr="00C315FD">
              <w:t>—</w:t>
            </w:r>
          </w:p>
        </w:tc>
        <w:tc>
          <w:tcPr>
            <w:tcW w:w="0" w:type="auto"/>
            <w:vAlign w:val="center"/>
            <w:hideMark/>
          </w:tcPr>
          <w:p w14:paraId="02F42D6F" w14:textId="77777777" w:rsidR="00C315FD" w:rsidRPr="00C315FD" w:rsidRDefault="00C315FD" w:rsidP="00C315FD">
            <w:r w:rsidRPr="00C315FD">
              <w:rPr>
                <w:b/>
                <w:bCs/>
              </w:rPr>
              <w:t>6.70%</w:t>
            </w:r>
          </w:p>
        </w:tc>
        <w:tc>
          <w:tcPr>
            <w:tcW w:w="0" w:type="auto"/>
            <w:vAlign w:val="center"/>
            <w:hideMark/>
          </w:tcPr>
          <w:p w14:paraId="6C7FAA74" w14:textId="77777777" w:rsidR="00C315FD" w:rsidRPr="00C315FD" w:rsidRDefault="00C315FD" w:rsidP="00C315FD">
            <w:r w:rsidRPr="00C315FD">
              <w:t>—</w:t>
            </w:r>
          </w:p>
        </w:tc>
      </w:tr>
    </w:tbl>
    <w:p w14:paraId="3A213E40" w14:textId="77777777" w:rsidR="00C315FD" w:rsidRPr="00C315FD" w:rsidRDefault="00C315FD" w:rsidP="00C315FD">
      <w:r w:rsidRPr="00C315FD">
        <w:t>Turnover surged into the “high” regime, comfortably above the TZS</w:t>
      </w:r>
      <w:r w:rsidRPr="00C315FD">
        <w:rPr>
          <w:rFonts w:ascii="Arial" w:hAnsi="Arial" w:cs="Arial"/>
        </w:rPr>
        <w:t> </w:t>
      </w:r>
      <w:r w:rsidRPr="00C315FD">
        <w:t>3</w:t>
      </w:r>
      <w:r w:rsidRPr="00C315FD">
        <w:rPr>
          <w:rFonts w:ascii="Arial" w:hAnsi="Arial" w:cs="Arial"/>
        </w:rPr>
        <w:t> </w:t>
      </w:r>
      <w:r w:rsidRPr="00C315FD">
        <w:t>billion threshold that separates a quiet market from an active one. The surge was driven by two pre</w:t>
      </w:r>
      <w:r w:rsidRPr="00C315FD">
        <w:noBreakHyphen/>
        <w:t>arranged block trades — 229,000</w:t>
      </w:r>
      <w:r w:rsidRPr="00C315FD">
        <w:rPr>
          <w:rFonts w:ascii="Arial" w:hAnsi="Arial" w:cs="Arial"/>
        </w:rPr>
        <w:t> </w:t>
      </w:r>
      <w:r w:rsidRPr="00C315FD">
        <w:t>shares of NMB and 400,000</w:t>
      </w:r>
      <w:r w:rsidRPr="00C315FD">
        <w:rPr>
          <w:rFonts w:ascii="Arial" w:hAnsi="Arial" w:cs="Arial"/>
        </w:rPr>
        <w:t> </w:t>
      </w:r>
      <w:r w:rsidRPr="00C315FD">
        <w:t xml:space="preserve">shares of TCCL </w:t>
      </w:r>
      <w:r w:rsidRPr="00C315FD">
        <w:rPr>
          <w:rFonts w:ascii="Aptos" w:hAnsi="Aptos" w:cs="Aptos"/>
        </w:rPr>
        <w:t>—</w:t>
      </w:r>
      <w:r w:rsidRPr="00C315FD">
        <w:t xml:space="preserve"> but the jump in deals to 4,781 confirmed that thousands of smaller retail and institutional orders also flowed through the market. The DSEI</w:t>
      </w:r>
      <w:r w:rsidRPr="00C315FD">
        <w:rPr>
          <w:rFonts w:ascii="Aptos" w:hAnsi="Aptos" w:cs="Aptos"/>
        </w:rPr>
        <w:t>’</w:t>
      </w:r>
      <w:r w:rsidRPr="00C315FD">
        <w:t>s modest decline was not a sign of weakness; rather, it reflected healthy profit</w:t>
      </w:r>
      <w:r w:rsidRPr="00C315FD">
        <w:noBreakHyphen/>
        <w:t>taking after three consecutive weekly gains.</w:t>
      </w:r>
    </w:p>
    <w:p w14:paraId="285DFA17" w14:textId="77777777" w:rsidR="00C315FD" w:rsidRPr="00C315FD" w:rsidRDefault="00C315FD" w:rsidP="00C315FD">
      <w:r w:rsidRPr="00C315FD">
        <w:t xml:space="preserve">Foreign flow remained muted: buying at 0.14% and selling at 6.70%. While selling ticked up slightly from last week’s lows, it is a fraction of the 40–50% levels seen in the first </w:t>
      </w:r>
      <w:r w:rsidRPr="00C315FD">
        <w:lastRenderedPageBreak/>
        <w:t>quarter. Local pension funds, unit trusts, and retail investors are absorbing all available supply, a structural shift that has profound implications for market stability.</w:t>
      </w:r>
    </w:p>
    <w:p w14:paraId="384FF9DB" w14:textId="77777777" w:rsidR="00C315FD" w:rsidRPr="00C315FD" w:rsidRDefault="00C315FD" w:rsidP="00C315FD">
      <w:r w:rsidRPr="00C315FD">
        <w:pict w14:anchorId="3FD580A6">
          <v:rect id="_x0000_i1074" style="width:0;height:1.5pt" o:hralign="center" o:hrstd="t" o:hr="t" fillcolor="#a0a0a0" stroked="f"/>
        </w:pict>
      </w:r>
    </w:p>
    <w:p w14:paraId="6F31148E" w14:textId="77777777" w:rsidR="00C315FD" w:rsidRPr="00C315FD" w:rsidRDefault="00C315FD" w:rsidP="00C315FD">
      <w:pPr>
        <w:rPr>
          <w:b/>
          <w:bCs/>
        </w:rPr>
      </w:pPr>
      <w:r w:rsidRPr="00C315FD">
        <w:rPr>
          <w:b/>
          <w:bCs/>
        </w:rPr>
        <w:t>2. Top Movers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738"/>
        <w:gridCol w:w="2082"/>
        <w:gridCol w:w="894"/>
        <w:gridCol w:w="3055"/>
      </w:tblGrid>
      <w:tr w:rsidR="00C315FD" w:rsidRPr="00C315FD" w14:paraId="1DD8A739" w14:textId="77777777" w:rsidTr="00C315FD">
        <w:trPr>
          <w:tblHeader/>
          <w:tblCellSpacing w:w="15" w:type="dxa"/>
        </w:trPr>
        <w:tc>
          <w:tcPr>
            <w:tcW w:w="0" w:type="auto"/>
            <w:vAlign w:val="center"/>
            <w:hideMark/>
          </w:tcPr>
          <w:p w14:paraId="48EE8F29" w14:textId="77777777" w:rsidR="00C315FD" w:rsidRPr="00C315FD" w:rsidRDefault="00C315FD" w:rsidP="00C315FD">
            <w:pPr>
              <w:rPr>
                <w:b/>
                <w:bCs/>
              </w:rPr>
            </w:pPr>
            <w:r w:rsidRPr="00C315FD">
              <w:rPr>
                <w:b/>
                <w:bCs/>
              </w:rPr>
              <w:t>Ticker</w:t>
            </w:r>
          </w:p>
        </w:tc>
        <w:tc>
          <w:tcPr>
            <w:tcW w:w="0" w:type="auto"/>
            <w:vAlign w:val="center"/>
            <w:hideMark/>
          </w:tcPr>
          <w:p w14:paraId="02F6F03D" w14:textId="77777777" w:rsidR="00C315FD" w:rsidRPr="00C315FD" w:rsidRDefault="00C315FD" w:rsidP="00C315FD">
            <w:pPr>
              <w:rPr>
                <w:b/>
                <w:bCs/>
              </w:rPr>
            </w:pPr>
            <w:r w:rsidRPr="00C315FD">
              <w:rPr>
                <w:b/>
                <w:bCs/>
              </w:rPr>
              <w:t>Closing Price (TZS)</w:t>
            </w:r>
          </w:p>
        </w:tc>
        <w:tc>
          <w:tcPr>
            <w:tcW w:w="0" w:type="auto"/>
            <w:vAlign w:val="center"/>
            <w:hideMark/>
          </w:tcPr>
          <w:p w14:paraId="566B0D8E" w14:textId="77777777" w:rsidR="00C315FD" w:rsidRPr="00C315FD" w:rsidRDefault="00C315FD" w:rsidP="00C315FD">
            <w:pPr>
              <w:rPr>
                <w:b/>
                <w:bCs/>
              </w:rPr>
            </w:pPr>
            <w:r w:rsidRPr="00C315FD">
              <w:rPr>
                <w:b/>
                <w:bCs/>
              </w:rPr>
              <w:t>Change</w:t>
            </w:r>
          </w:p>
        </w:tc>
        <w:tc>
          <w:tcPr>
            <w:tcW w:w="0" w:type="auto"/>
            <w:vAlign w:val="center"/>
            <w:hideMark/>
          </w:tcPr>
          <w:p w14:paraId="63F3DFAC" w14:textId="77777777" w:rsidR="00C315FD" w:rsidRPr="00C315FD" w:rsidRDefault="00C315FD" w:rsidP="00C315FD">
            <w:pPr>
              <w:rPr>
                <w:b/>
                <w:bCs/>
              </w:rPr>
            </w:pPr>
            <w:r w:rsidRPr="00C315FD">
              <w:rPr>
                <w:b/>
                <w:bCs/>
              </w:rPr>
              <w:t>Volume</w:t>
            </w:r>
          </w:p>
        </w:tc>
      </w:tr>
      <w:tr w:rsidR="00C315FD" w:rsidRPr="00C315FD" w14:paraId="610BB3FA" w14:textId="77777777" w:rsidTr="00C315FD">
        <w:trPr>
          <w:tblCellSpacing w:w="15" w:type="dxa"/>
        </w:trPr>
        <w:tc>
          <w:tcPr>
            <w:tcW w:w="0" w:type="auto"/>
            <w:vAlign w:val="center"/>
            <w:hideMark/>
          </w:tcPr>
          <w:p w14:paraId="1B93F21A" w14:textId="77777777" w:rsidR="00C315FD" w:rsidRPr="00C315FD" w:rsidRDefault="00C315FD" w:rsidP="00C315FD">
            <w:r w:rsidRPr="00C315FD">
              <w:rPr>
                <w:b/>
                <w:bCs/>
              </w:rPr>
              <w:t>NMB</w:t>
            </w:r>
          </w:p>
        </w:tc>
        <w:tc>
          <w:tcPr>
            <w:tcW w:w="0" w:type="auto"/>
            <w:vAlign w:val="center"/>
            <w:hideMark/>
          </w:tcPr>
          <w:p w14:paraId="15BB925C" w14:textId="77777777" w:rsidR="00C315FD" w:rsidRPr="00C315FD" w:rsidRDefault="00C315FD" w:rsidP="00C315FD">
            <w:r w:rsidRPr="00C315FD">
              <w:t>16,480</w:t>
            </w:r>
          </w:p>
        </w:tc>
        <w:tc>
          <w:tcPr>
            <w:tcW w:w="0" w:type="auto"/>
            <w:vAlign w:val="center"/>
            <w:hideMark/>
          </w:tcPr>
          <w:p w14:paraId="57EA8EC4" w14:textId="77777777" w:rsidR="00C315FD" w:rsidRPr="00C315FD" w:rsidRDefault="00C315FD" w:rsidP="00C315FD">
            <w:r w:rsidRPr="00C315FD">
              <w:t>+0.5%</w:t>
            </w:r>
          </w:p>
        </w:tc>
        <w:tc>
          <w:tcPr>
            <w:tcW w:w="0" w:type="auto"/>
            <w:vAlign w:val="center"/>
            <w:hideMark/>
          </w:tcPr>
          <w:p w14:paraId="5C73C9A5" w14:textId="77777777" w:rsidR="00C315FD" w:rsidRPr="00C315FD" w:rsidRDefault="00C315FD" w:rsidP="00C315FD">
            <w:r w:rsidRPr="00C315FD">
              <w:t>356,659 (incl. 229,000 block)</w:t>
            </w:r>
          </w:p>
        </w:tc>
      </w:tr>
      <w:tr w:rsidR="00C315FD" w:rsidRPr="00C315FD" w14:paraId="023C2534" w14:textId="77777777" w:rsidTr="00C315FD">
        <w:trPr>
          <w:tblCellSpacing w:w="15" w:type="dxa"/>
        </w:trPr>
        <w:tc>
          <w:tcPr>
            <w:tcW w:w="0" w:type="auto"/>
            <w:vAlign w:val="center"/>
            <w:hideMark/>
          </w:tcPr>
          <w:p w14:paraId="19047363" w14:textId="77777777" w:rsidR="00C315FD" w:rsidRPr="00C315FD" w:rsidRDefault="00C315FD" w:rsidP="00C315FD">
            <w:r w:rsidRPr="00C315FD">
              <w:rPr>
                <w:b/>
                <w:bCs/>
              </w:rPr>
              <w:t>CRDB</w:t>
            </w:r>
          </w:p>
        </w:tc>
        <w:tc>
          <w:tcPr>
            <w:tcW w:w="0" w:type="auto"/>
            <w:vAlign w:val="center"/>
            <w:hideMark/>
          </w:tcPr>
          <w:p w14:paraId="5ACB5037" w14:textId="77777777" w:rsidR="00C315FD" w:rsidRPr="00C315FD" w:rsidRDefault="00C315FD" w:rsidP="00C315FD">
            <w:r w:rsidRPr="00C315FD">
              <w:t>2,770</w:t>
            </w:r>
          </w:p>
        </w:tc>
        <w:tc>
          <w:tcPr>
            <w:tcW w:w="0" w:type="auto"/>
            <w:vAlign w:val="center"/>
            <w:hideMark/>
          </w:tcPr>
          <w:p w14:paraId="44D1311C" w14:textId="77777777" w:rsidR="00C315FD" w:rsidRPr="00C315FD" w:rsidRDefault="00C315FD" w:rsidP="00C315FD">
            <w:r w:rsidRPr="00C315FD">
              <w:t>–1.1%</w:t>
            </w:r>
          </w:p>
        </w:tc>
        <w:tc>
          <w:tcPr>
            <w:tcW w:w="0" w:type="auto"/>
            <w:vAlign w:val="center"/>
            <w:hideMark/>
          </w:tcPr>
          <w:p w14:paraId="2855E4ED" w14:textId="77777777" w:rsidR="00C315FD" w:rsidRPr="00C315FD" w:rsidRDefault="00C315FD" w:rsidP="00C315FD">
            <w:r w:rsidRPr="00C315FD">
              <w:t>675,061</w:t>
            </w:r>
          </w:p>
        </w:tc>
      </w:tr>
      <w:tr w:rsidR="00C315FD" w:rsidRPr="00C315FD" w14:paraId="2F6AFE88" w14:textId="77777777" w:rsidTr="00C315FD">
        <w:trPr>
          <w:tblCellSpacing w:w="15" w:type="dxa"/>
        </w:trPr>
        <w:tc>
          <w:tcPr>
            <w:tcW w:w="0" w:type="auto"/>
            <w:vAlign w:val="center"/>
            <w:hideMark/>
          </w:tcPr>
          <w:p w14:paraId="586BEBD8" w14:textId="77777777" w:rsidR="00C315FD" w:rsidRPr="00C315FD" w:rsidRDefault="00C315FD" w:rsidP="00C315FD">
            <w:r w:rsidRPr="00C315FD">
              <w:rPr>
                <w:b/>
                <w:bCs/>
              </w:rPr>
              <w:t>VODA</w:t>
            </w:r>
          </w:p>
        </w:tc>
        <w:tc>
          <w:tcPr>
            <w:tcW w:w="0" w:type="auto"/>
            <w:vAlign w:val="center"/>
            <w:hideMark/>
          </w:tcPr>
          <w:p w14:paraId="3F43A0E7" w14:textId="77777777" w:rsidR="00C315FD" w:rsidRPr="00C315FD" w:rsidRDefault="00C315FD" w:rsidP="00C315FD">
            <w:r w:rsidRPr="00C315FD">
              <w:t>820</w:t>
            </w:r>
          </w:p>
        </w:tc>
        <w:tc>
          <w:tcPr>
            <w:tcW w:w="0" w:type="auto"/>
            <w:vAlign w:val="center"/>
            <w:hideMark/>
          </w:tcPr>
          <w:p w14:paraId="208089D3" w14:textId="77777777" w:rsidR="00C315FD" w:rsidRPr="00C315FD" w:rsidRDefault="00C315FD" w:rsidP="00C315FD">
            <w:r w:rsidRPr="00C315FD">
              <w:t>+1.9%</w:t>
            </w:r>
          </w:p>
        </w:tc>
        <w:tc>
          <w:tcPr>
            <w:tcW w:w="0" w:type="auto"/>
            <w:vAlign w:val="center"/>
            <w:hideMark/>
          </w:tcPr>
          <w:p w14:paraId="7E341733" w14:textId="77777777" w:rsidR="00C315FD" w:rsidRPr="00C315FD" w:rsidRDefault="00C315FD" w:rsidP="00C315FD">
            <w:r w:rsidRPr="00C315FD">
              <w:t>28,381</w:t>
            </w:r>
          </w:p>
        </w:tc>
      </w:tr>
      <w:tr w:rsidR="00C315FD" w:rsidRPr="00C315FD" w14:paraId="238EB1FE" w14:textId="77777777" w:rsidTr="00C315FD">
        <w:trPr>
          <w:tblCellSpacing w:w="15" w:type="dxa"/>
        </w:trPr>
        <w:tc>
          <w:tcPr>
            <w:tcW w:w="0" w:type="auto"/>
            <w:vAlign w:val="center"/>
            <w:hideMark/>
          </w:tcPr>
          <w:p w14:paraId="36B37CC0" w14:textId="77777777" w:rsidR="00C315FD" w:rsidRPr="00C315FD" w:rsidRDefault="00C315FD" w:rsidP="00C315FD">
            <w:r w:rsidRPr="00C315FD">
              <w:rPr>
                <w:b/>
                <w:bCs/>
              </w:rPr>
              <w:t>TCCL</w:t>
            </w:r>
          </w:p>
        </w:tc>
        <w:tc>
          <w:tcPr>
            <w:tcW w:w="0" w:type="auto"/>
            <w:vAlign w:val="center"/>
            <w:hideMark/>
          </w:tcPr>
          <w:p w14:paraId="1EC5A752" w14:textId="77777777" w:rsidR="00C315FD" w:rsidRPr="00C315FD" w:rsidRDefault="00C315FD" w:rsidP="00C315FD">
            <w:r w:rsidRPr="00C315FD">
              <w:t>3,120</w:t>
            </w:r>
          </w:p>
        </w:tc>
        <w:tc>
          <w:tcPr>
            <w:tcW w:w="0" w:type="auto"/>
            <w:vAlign w:val="center"/>
            <w:hideMark/>
          </w:tcPr>
          <w:p w14:paraId="1FB0B8E7" w14:textId="77777777" w:rsidR="00C315FD" w:rsidRPr="00C315FD" w:rsidRDefault="00C315FD" w:rsidP="00C315FD">
            <w:r w:rsidRPr="00C315FD">
              <w:t>–4.3%</w:t>
            </w:r>
          </w:p>
        </w:tc>
        <w:tc>
          <w:tcPr>
            <w:tcW w:w="0" w:type="auto"/>
            <w:vAlign w:val="center"/>
            <w:hideMark/>
          </w:tcPr>
          <w:p w14:paraId="59B22DAA" w14:textId="77777777" w:rsidR="00C315FD" w:rsidRPr="00C315FD" w:rsidRDefault="00C315FD" w:rsidP="00C315FD">
            <w:r w:rsidRPr="00C315FD">
              <w:t>405,829 (incl. 400,000 block)</w:t>
            </w:r>
          </w:p>
        </w:tc>
      </w:tr>
      <w:tr w:rsidR="00C315FD" w:rsidRPr="00C315FD" w14:paraId="14F2EBEA" w14:textId="77777777" w:rsidTr="00C315FD">
        <w:trPr>
          <w:tblCellSpacing w:w="15" w:type="dxa"/>
        </w:trPr>
        <w:tc>
          <w:tcPr>
            <w:tcW w:w="0" w:type="auto"/>
            <w:vAlign w:val="center"/>
            <w:hideMark/>
          </w:tcPr>
          <w:p w14:paraId="344F31F2" w14:textId="77777777" w:rsidR="00C315FD" w:rsidRPr="00C315FD" w:rsidRDefault="00C315FD" w:rsidP="00C315FD">
            <w:r w:rsidRPr="00C315FD">
              <w:rPr>
                <w:b/>
                <w:bCs/>
              </w:rPr>
              <w:t>MCB</w:t>
            </w:r>
          </w:p>
        </w:tc>
        <w:tc>
          <w:tcPr>
            <w:tcW w:w="0" w:type="auto"/>
            <w:vAlign w:val="center"/>
            <w:hideMark/>
          </w:tcPr>
          <w:p w14:paraId="5D3BCE21" w14:textId="77777777" w:rsidR="00C315FD" w:rsidRPr="00C315FD" w:rsidRDefault="00C315FD" w:rsidP="00C315FD">
            <w:r w:rsidRPr="00C315FD">
              <w:t>905</w:t>
            </w:r>
          </w:p>
        </w:tc>
        <w:tc>
          <w:tcPr>
            <w:tcW w:w="0" w:type="auto"/>
            <w:vAlign w:val="center"/>
            <w:hideMark/>
          </w:tcPr>
          <w:p w14:paraId="5A5FB130" w14:textId="77777777" w:rsidR="00C315FD" w:rsidRPr="00C315FD" w:rsidRDefault="00C315FD" w:rsidP="00C315FD">
            <w:r w:rsidRPr="00C315FD">
              <w:t>–0.5%</w:t>
            </w:r>
          </w:p>
        </w:tc>
        <w:tc>
          <w:tcPr>
            <w:tcW w:w="0" w:type="auto"/>
            <w:vAlign w:val="center"/>
            <w:hideMark/>
          </w:tcPr>
          <w:p w14:paraId="241D592D" w14:textId="77777777" w:rsidR="00C315FD" w:rsidRPr="00C315FD" w:rsidRDefault="00C315FD" w:rsidP="00C315FD">
            <w:r w:rsidRPr="00C315FD">
              <w:t>11,639</w:t>
            </w:r>
          </w:p>
        </w:tc>
      </w:tr>
      <w:tr w:rsidR="00C315FD" w:rsidRPr="00C315FD" w14:paraId="40465908" w14:textId="77777777" w:rsidTr="00C315FD">
        <w:trPr>
          <w:tblCellSpacing w:w="15" w:type="dxa"/>
        </w:trPr>
        <w:tc>
          <w:tcPr>
            <w:tcW w:w="0" w:type="auto"/>
            <w:vAlign w:val="center"/>
            <w:hideMark/>
          </w:tcPr>
          <w:p w14:paraId="46513E4F" w14:textId="77777777" w:rsidR="00C315FD" w:rsidRPr="00C315FD" w:rsidRDefault="00C315FD" w:rsidP="00C315FD">
            <w:r w:rsidRPr="00C315FD">
              <w:rPr>
                <w:b/>
                <w:bCs/>
              </w:rPr>
              <w:t>TBL</w:t>
            </w:r>
          </w:p>
        </w:tc>
        <w:tc>
          <w:tcPr>
            <w:tcW w:w="0" w:type="auto"/>
            <w:vAlign w:val="center"/>
            <w:hideMark/>
          </w:tcPr>
          <w:p w14:paraId="35D02F6C" w14:textId="77777777" w:rsidR="00C315FD" w:rsidRPr="00C315FD" w:rsidRDefault="00C315FD" w:rsidP="00C315FD">
            <w:r w:rsidRPr="00C315FD">
              <w:t>9,670</w:t>
            </w:r>
          </w:p>
        </w:tc>
        <w:tc>
          <w:tcPr>
            <w:tcW w:w="0" w:type="auto"/>
            <w:vAlign w:val="center"/>
            <w:hideMark/>
          </w:tcPr>
          <w:p w14:paraId="0EB80A18" w14:textId="77777777" w:rsidR="00C315FD" w:rsidRPr="00C315FD" w:rsidRDefault="00C315FD" w:rsidP="00C315FD">
            <w:r w:rsidRPr="00C315FD">
              <w:t>+0.3%</w:t>
            </w:r>
          </w:p>
        </w:tc>
        <w:tc>
          <w:tcPr>
            <w:tcW w:w="0" w:type="auto"/>
            <w:vAlign w:val="center"/>
            <w:hideMark/>
          </w:tcPr>
          <w:p w14:paraId="4567F59D" w14:textId="77777777" w:rsidR="00C315FD" w:rsidRPr="00C315FD" w:rsidRDefault="00C315FD" w:rsidP="00C315FD">
            <w:r w:rsidRPr="00C315FD">
              <w:t>1,173</w:t>
            </w:r>
          </w:p>
        </w:tc>
      </w:tr>
    </w:tbl>
    <w:p w14:paraId="65D26F4E" w14:textId="77777777" w:rsidR="00C315FD" w:rsidRPr="00C315FD" w:rsidRDefault="00C315FD" w:rsidP="00C315FD">
      <w:r w:rsidRPr="00C315FD">
        <w:rPr>
          <w:i/>
          <w:iCs/>
        </w:rPr>
        <w:t xml:space="preserve">Gainers: VODA (+1.9%), AFRIPRISE (opened 675, closed 650 </w:t>
      </w:r>
      <w:proofErr w:type="gramStart"/>
      <w:r w:rsidRPr="00C315FD">
        <w:rPr>
          <w:i/>
          <w:iCs/>
        </w:rPr>
        <w:t>— actually –3.7</w:t>
      </w:r>
      <w:proofErr w:type="gramEnd"/>
      <w:r w:rsidRPr="00C315FD">
        <w:rPr>
          <w:i/>
          <w:iCs/>
        </w:rPr>
        <w:t>%), TBL (+0.3%).</w:t>
      </w:r>
      <w:r w:rsidRPr="00C315FD">
        <w:br/>
      </w:r>
      <w:r w:rsidRPr="00C315FD">
        <w:rPr>
          <w:i/>
          <w:iCs/>
        </w:rPr>
        <w:t>Losers: TCCL (–4.3%), CRDB (–1.1%), MCB (–0.5%).</w:t>
      </w:r>
    </w:p>
    <w:p w14:paraId="5504F6A6" w14:textId="77777777" w:rsidR="00C315FD" w:rsidRPr="00C315FD" w:rsidRDefault="00C315FD" w:rsidP="00C315FD">
      <w:r w:rsidRPr="00C315FD">
        <w:rPr>
          <w:b/>
          <w:bCs/>
        </w:rPr>
        <w:t>NMB</w:t>
      </w:r>
      <w:r w:rsidRPr="00C315FD">
        <w:t xml:space="preserve"> continued its march toward the TZS</w:t>
      </w:r>
      <w:r w:rsidRPr="00C315FD">
        <w:rPr>
          <w:rFonts w:ascii="Arial" w:hAnsi="Arial" w:cs="Arial"/>
        </w:rPr>
        <w:t> </w:t>
      </w:r>
      <w:r w:rsidRPr="00C315FD">
        <w:t xml:space="preserve">17,000 mark, with the block trade underscoring institutional accumulation. </w:t>
      </w:r>
      <w:r w:rsidRPr="00C315FD">
        <w:rPr>
          <w:b/>
          <w:bCs/>
        </w:rPr>
        <w:t>VODA</w:t>
      </w:r>
      <w:r w:rsidRPr="00C315FD">
        <w:t xml:space="preserve"> added another 1.9% as the market positions ahead of the imminent FY2025 dividend announcement. </w:t>
      </w:r>
      <w:r w:rsidRPr="00C315FD">
        <w:rPr>
          <w:b/>
          <w:bCs/>
        </w:rPr>
        <w:t>CRDB</w:t>
      </w:r>
      <w:r w:rsidRPr="00C315FD">
        <w:t xml:space="preserve"> pulled back 1.1% to TZS</w:t>
      </w:r>
      <w:r w:rsidRPr="00C315FD">
        <w:rPr>
          <w:rFonts w:ascii="Arial" w:hAnsi="Arial" w:cs="Arial"/>
        </w:rPr>
        <w:t> </w:t>
      </w:r>
      <w:r w:rsidRPr="00C315FD">
        <w:t>2,770 after Friday</w:t>
      </w:r>
      <w:r w:rsidRPr="00C315FD">
        <w:rPr>
          <w:rFonts w:ascii="Aptos" w:hAnsi="Aptos" w:cs="Aptos"/>
        </w:rPr>
        <w:t>’</w:t>
      </w:r>
      <w:r w:rsidRPr="00C315FD">
        <w:t xml:space="preserve">s close at 2,800 </w:t>
      </w:r>
      <w:r w:rsidRPr="00C315FD">
        <w:rPr>
          <w:rFonts w:ascii="Aptos" w:hAnsi="Aptos" w:cs="Aptos"/>
        </w:rPr>
        <w:t>—</w:t>
      </w:r>
      <w:r w:rsidRPr="00C315FD">
        <w:t xml:space="preserve"> a healthy pause that brought the stock back within striking distance of key support levels.</w:t>
      </w:r>
    </w:p>
    <w:p w14:paraId="3A772D0D" w14:textId="77777777" w:rsidR="00C315FD" w:rsidRPr="00C315FD" w:rsidRDefault="00C315FD" w:rsidP="00C315FD">
      <w:r w:rsidRPr="00C315FD">
        <w:pict w14:anchorId="7CB54514">
          <v:rect id="_x0000_i1075" style="width:0;height:1.5pt" o:hralign="center" o:hrstd="t" o:hr="t" fillcolor="#a0a0a0" stroked="f"/>
        </w:pict>
      </w:r>
    </w:p>
    <w:p w14:paraId="09081109" w14:textId="77777777" w:rsidR="00C315FD" w:rsidRPr="00C315FD" w:rsidRDefault="00C315FD" w:rsidP="00C315FD">
      <w:pPr>
        <w:rPr>
          <w:b/>
          <w:bCs/>
        </w:rPr>
      </w:pPr>
      <w:r w:rsidRPr="00C315FD">
        <w:rPr>
          <w:b/>
          <w:bCs/>
        </w:rPr>
        <w:t>3. In Focus: The 5% Daily Price Band — How It Shapes Your Trading</w:t>
      </w:r>
    </w:p>
    <w:p w14:paraId="15823A6C" w14:textId="77777777" w:rsidR="00C315FD" w:rsidRPr="00C315FD" w:rsidRDefault="00C315FD" w:rsidP="00C315FD">
      <w:r w:rsidRPr="00C315FD">
        <w:t xml:space="preserve">On Monday, CRDB opened at 2,800, touched a low of 2,740, and closed at 2,770. For an investor watching these moves, a natural question arises: “Why didn’t the stock fall further? Or rise higher?” Part of the answer lies in a fundamental DSE rule: the </w:t>
      </w:r>
      <w:r w:rsidRPr="00C315FD">
        <w:rPr>
          <w:b/>
          <w:bCs/>
        </w:rPr>
        <w:t>5% daily price band</w:t>
      </w:r>
      <w:r w:rsidRPr="00C315FD">
        <w:t>.</w:t>
      </w:r>
    </w:p>
    <w:p w14:paraId="400804E5" w14:textId="77777777" w:rsidR="00C315FD" w:rsidRPr="00C315FD" w:rsidRDefault="00C315FD" w:rsidP="00C315FD">
      <w:r w:rsidRPr="00C315FD">
        <w:t xml:space="preserve">Every stock listed on the Dar es Salaam Stock Exchange is subject to a maximum daily price movement limit. For most actively traded equities, this limit is </w:t>
      </w:r>
      <w:r w:rsidRPr="00C315FD">
        <w:rPr>
          <w:b/>
          <w:bCs/>
        </w:rPr>
        <w:t>±5%</w:t>
      </w:r>
      <w:r w:rsidRPr="00C315FD">
        <w:t xml:space="preserve"> from the previous trading day’s closing price. A handful of smaller, less liquid counters are permitted a wider band of ±15%. The purpose is to prevent extreme intraday volatility and to give the market time to digest new information in an orderly fashion.</w:t>
      </w:r>
    </w:p>
    <w:p w14:paraId="0EB09FDC" w14:textId="77777777" w:rsidR="00C315FD" w:rsidRPr="00C315FD" w:rsidRDefault="00C315FD" w:rsidP="00C315FD">
      <w:r w:rsidRPr="00C315FD">
        <w:rPr>
          <w:b/>
          <w:bCs/>
        </w:rPr>
        <w:lastRenderedPageBreak/>
        <w:t>How it works:</w:t>
      </w:r>
      <w:r w:rsidRPr="00C315FD">
        <w:br/>
        <w:t>If a stock closed at TZS</w:t>
      </w:r>
      <w:r w:rsidRPr="00C315FD">
        <w:rPr>
          <w:rFonts w:ascii="Arial" w:hAnsi="Arial" w:cs="Arial"/>
        </w:rPr>
        <w:t> </w:t>
      </w:r>
      <w:r w:rsidRPr="00C315FD">
        <w:t>2,800 on Friday (as CRDB did), its permissible trading range on Monday is:</w:t>
      </w:r>
    </w:p>
    <w:p w14:paraId="28F16628" w14:textId="77777777" w:rsidR="00C315FD" w:rsidRPr="00C315FD" w:rsidRDefault="00C315FD" w:rsidP="00C315FD">
      <w:pPr>
        <w:numPr>
          <w:ilvl w:val="0"/>
          <w:numId w:val="1"/>
        </w:numPr>
      </w:pPr>
      <w:r w:rsidRPr="00C315FD">
        <w:rPr>
          <w:b/>
          <w:bCs/>
        </w:rPr>
        <w:t>Upper limit:</w:t>
      </w:r>
      <w:r w:rsidRPr="00C315FD">
        <w:t xml:space="preserve"> 2,800 × 1.05 = </w:t>
      </w:r>
      <w:r w:rsidRPr="00C315FD">
        <w:rPr>
          <w:b/>
          <w:bCs/>
        </w:rPr>
        <w:t>2,940</w:t>
      </w:r>
    </w:p>
    <w:p w14:paraId="4FE8DEF4" w14:textId="77777777" w:rsidR="00C315FD" w:rsidRPr="00C315FD" w:rsidRDefault="00C315FD" w:rsidP="00C315FD">
      <w:pPr>
        <w:numPr>
          <w:ilvl w:val="0"/>
          <w:numId w:val="1"/>
        </w:numPr>
      </w:pPr>
      <w:r w:rsidRPr="00C315FD">
        <w:rPr>
          <w:b/>
          <w:bCs/>
        </w:rPr>
        <w:t>Lower limit:</w:t>
      </w:r>
      <w:r w:rsidRPr="00C315FD">
        <w:t xml:space="preserve"> 2,800 × 0.95 = </w:t>
      </w:r>
      <w:r w:rsidRPr="00C315FD">
        <w:rPr>
          <w:b/>
          <w:bCs/>
        </w:rPr>
        <w:t>2,660</w:t>
      </w:r>
    </w:p>
    <w:p w14:paraId="33BE08FD" w14:textId="77777777" w:rsidR="00C315FD" w:rsidRPr="00C315FD" w:rsidRDefault="00C315FD" w:rsidP="00C315FD">
      <w:r w:rsidRPr="00C315FD">
        <w:t>On Monday, CRDB traded between 2,740 and 2,800 — well within the band. No orders outside that range would have been accepted by the exchange’s automated trading system. This mechanism directly affects investors who use limit orders. If you place a buy order at 2,650 when the lower limit is 2,660, your order will be rejected until the closing price adjusts upward and lifts the following day’s band.</w:t>
      </w:r>
    </w:p>
    <w:p w14:paraId="1C6B9D4A" w14:textId="77777777" w:rsidR="00C315FD" w:rsidRPr="00C315FD" w:rsidRDefault="00C315FD" w:rsidP="00C315FD">
      <w:r w:rsidRPr="00C315FD">
        <w:t>Below are the computed 5% (or 15%) bands for Tuesday, 7</w:t>
      </w:r>
      <w:r w:rsidRPr="00C315FD">
        <w:rPr>
          <w:rFonts w:ascii="Arial" w:hAnsi="Arial" w:cs="Arial"/>
        </w:rPr>
        <w:t> </w:t>
      </w:r>
      <w:r w:rsidRPr="00C315FD">
        <w:t>July 2026, based on Monday</w:t>
      </w:r>
      <w:r w:rsidRPr="00C315FD">
        <w:rPr>
          <w:rFonts w:ascii="Aptos" w:hAnsi="Aptos" w:cs="Aptos"/>
        </w:rPr>
        <w:t>’</w:t>
      </w:r>
      <w:r w:rsidRPr="00C315FD">
        <w:t>s closing prices: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5"/>
        <w:gridCol w:w="1800"/>
        <w:gridCol w:w="620"/>
        <w:gridCol w:w="2351"/>
        <w:gridCol w:w="2357"/>
      </w:tblGrid>
      <w:tr w:rsidR="00C315FD" w:rsidRPr="00C315FD" w14:paraId="5DFDF042" w14:textId="77777777" w:rsidTr="00C315FD">
        <w:trPr>
          <w:tblHeader/>
          <w:tblCellSpacing w:w="15" w:type="dxa"/>
        </w:trPr>
        <w:tc>
          <w:tcPr>
            <w:tcW w:w="0" w:type="auto"/>
            <w:vAlign w:val="center"/>
            <w:hideMark/>
          </w:tcPr>
          <w:p w14:paraId="677DEF61" w14:textId="77777777" w:rsidR="00C315FD" w:rsidRPr="00C315FD" w:rsidRDefault="00C315FD" w:rsidP="00C315FD">
            <w:pPr>
              <w:rPr>
                <w:b/>
                <w:bCs/>
              </w:rPr>
            </w:pPr>
            <w:r w:rsidRPr="00C315FD">
              <w:rPr>
                <w:b/>
                <w:bCs/>
              </w:rPr>
              <w:t>Counter</w:t>
            </w:r>
          </w:p>
        </w:tc>
        <w:tc>
          <w:tcPr>
            <w:tcW w:w="0" w:type="auto"/>
            <w:vAlign w:val="center"/>
            <w:hideMark/>
          </w:tcPr>
          <w:p w14:paraId="655551B9" w14:textId="77777777" w:rsidR="00C315FD" w:rsidRPr="00C315FD" w:rsidRDefault="00C315FD" w:rsidP="00C315FD">
            <w:pPr>
              <w:rPr>
                <w:b/>
                <w:bCs/>
              </w:rPr>
            </w:pPr>
            <w:r w:rsidRPr="00C315FD">
              <w:rPr>
                <w:b/>
                <w:bCs/>
              </w:rPr>
              <w:t>Mon Close (TZS)</w:t>
            </w:r>
          </w:p>
        </w:tc>
        <w:tc>
          <w:tcPr>
            <w:tcW w:w="0" w:type="auto"/>
            <w:vAlign w:val="center"/>
            <w:hideMark/>
          </w:tcPr>
          <w:p w14:paraId="152D1F38" w14:textId="77777777" w:rsidR="00C315FD" w:rsidRPr="00C315FD" w:rsidRDefault="00C315FD" w:rsidP="00C315FD">
            <w:pPr>
              <w:rPr>
                <w:b/>
                <w:bCs/>
              </w:rPr>
            </w:pPr>
            <w:r w:rsidRPr="00C315FD">
              <w:rPr>
                <w:b/>
                <w:bCs/>
              </w:rPr>
              <w:t>Band</w:t>
            </w:r>
          </w:p>
        </w:tc>
        <w:tc>
          <w:tcPr>
            <w:tcW w:w="0" w:type="auto"/>
            <w:vAlign w:val="center"/>
            <w:hideMark/>
          </w:tcPr>
          <w:p w14:paraId="7F13683A" w14:textId="77777777" w:rsidR="00C315FD" w:rsidRPr="00C315FD" w:rsidRDefault="00C315FD" w:rsidP="00C315FD">
            <w:pPr>
              <w:rPr>
                <w:b/>
                <w:bCs/>
              </w:rPr>
            </w:pPr>
            <w:r w:rsidRPr="00C315FD">
              <w:rPr>
                <w:b/>
                <w:bCs/>
              </w:rPr>
              <w:t>Tue Upper Limit (TZS)</w:t>
            </w:r>
          </w:p>
        </w:tc>
        <w:tc>
          <w:tcPr>
            <w:tcW w:w="0" w:type="auto"/>
            <w:vAlign w:val="center"/>
            <w:hideMark/>
          </w:tcPr>
          <w:p w14:paraId="269284D0" w14:textId="77777777" w:rsidR="00C315FD" w:rsidRPr="00C315FD" w:rsidRDefault="00C315FD" w:rsidP="00C315FD">
            <w:pPr>
              <w:rPr>
                <w:b/>
                <w:bCs/>
              </w:rPr>
            </w:pPr>
            <w:r w:rsidRPr="00C315FD">
              <w:rPr>
                <w:b/>
                <w:bCs/>
              </w:rPr>
              <w:t>Tue Lower Limit (TZS)</w:t>
            </w:r>
          </w:p>
        </w:tc>
      </w:tr>
      <w:tr w:rsidR="00C315FD" w:rsidRPr="00C315FD" w14:paraId="362FD0BD" w14:textId="77777777" w:rsidTr="00C315FD">
        <w:trPr>
          <w:tblCellSpacing w:w="15" w:type="dxa"/>
        </w:trPr>
        <w:tc>
          <w:tcPr>
            <w:tcW w:w="0" w:type="auto"/>
            <w:vAlign w:val="center"/>
            <w:hideMark/>
          </w:tcPr>
          <w:p w14:paraId="71F705DD" w14:textId="77777777" w:rsidR="00C315FD" w:rsidRPr="00C315FD" w:rsidRDefault="00C315FD" w:rsidP="00C315FD">
            <w:r w:rsidRPr="00C315FD">
              <w:t>CRDB</w:t>
            </w:r>
          </w:p>
        </w:tc>
        <w:tc>
          <w:tcPr>
            <w:tcW w:w="0" w:type="auto"/>
            <w:vAlign w:val="center"/>
            <w:hideMark/>
          </w:tcPr>
          <w:p w14:paraId="2CA8F316" w14:textId="77777777" w:rsidR="00C315FD" w:rsidRPr="00C315FD" w:rsidRDefault="00C315FD" w:rsidP="00C315FD">
            <w:r w:rsidRPr="00C315FD">
              <w:t>2,770</w:t>
            </w:r>
          </w:p>
        </w:tc>
        <w:tc>
          <w:tcPr>
            <w:tcW w:w="0" w:type="auto"/>
            <w:vAlign w:val="center"/>
            <w:hideMark/>
          </w:tcPr>
          <w:p w14:paraId="688259F2" w14:textId="77777777" w:rsidR="00C315FD" w:rsidRPr="00C315FD" w:rsidRDefault="00C315FD" w:rsidP="00C315FD">
            <w:r w:rsidRPr="00C315FD">
              <w:t>5%</w:t>
            </w:r>
          </w:p>
        </w:tc>
        <w:tc>
          <w:tcPr>
            <w:tcW w:w="0" w:type="auto"/>
            <w:vAlign w:val="center"/>
            <w:hideMark/>
          </w:tcPr>
          <w:p w14:paraId="6BC199A3" w14:textId="77777777" w:rsidR="00C315FD" w:rsidRPr="00C315FD" w:rsidRDefault="00C315FD" w:rsidP="00C315FD">
            <w:r w:rsidRPr="00C315FD">
              <w:t>2,908.50</w:t>
            </w:r>
          </w:p>
        </w:tc>
        <w:tc>
          <w:tcPr>
            <w:tcW w:w="0" w:type="auto"/>
            <w:vAlign w:val="center"/>
            <w:hideMark/>
          </w:tcPr>
          <w:p w14:paraId="7D3004A9" w14:textId="77777777" w:rsidR="00C315FD" w:rsidRPr="00C315FD" w:rsidRDefault="00C315FD" w:rsidP="00C315FD">
            <w:r w:rsidRPr="00C315FD">
              <w:t>2,631.50</w:t>
            </w:r>
          </w:p>
        </w:tc>
      </w:tr>
      <w:tr w:rsidR="00C315FD" w:rsidRPr="00C315FD" w14:paraId="5770ABF0" w14:textId="77777777" w:rsidTr="00C315FD">
        <w:trPr>
          <w:tblCellSpacing w:w="15" w:type="dxa"/>
        </w:trPr>
        <w:tc>
          <w:tcPr>
            <w:tcW w:w="0" w:type="auto"/>
            <w:vAlign w:val="center"/>
            <w:hideMark/>
          </w:tcPr>
          <w:p w14:paraId="6367BA8D" w14:textId="77777777" w:rsidR="00C315FD" w:rsidRPr="00C315FD" w:rsidRDefault="00C315FD" w:rsidP="00C315FD">
            <w:r w:rsidRPr="00C315FD">
              <w:t>NMB</w:t>
            </w:r>
          </w:p>
        </w:tc>
        <w:tc>
          <w:tcPr>
            <w:tcW w:w="0" w:type="auto"/>
            <w:vAlign w:val="center"/>
            <w:hideMark/>
          </w:tcPr>
          <w:p w14:paraId="1D6C8F89" w14:textId="77777777" w:rsidR="00C315FD" w:rsidRPr="00C315FD" w:rsidRDefault="00C315FD" w:rsidP="00C315FD">
            <w:r w:rsidRPr="00C315FD">
              <w:t>16,480</w:t>
            </w:r>
          </w:p>
        </w:tc>
        <w:tc>
          <w:tcPr>
            <w:tcW w:w="0" w:type="auto"/>
            <w:vAlign w:val="center"/>
            <w:hideMark/>
          </w:tcPr>
          <w:p w14:paraId="68CB4C37" w14:textId="77777777" w:rsidR="00C315FD" w:rsidRPr="00C315FD" w:rsidRDefault="00C315FD" w:rsidP="00C315FD">
            <w:r w:rsidRPr="00C315FD">
              <w:t>5%</w:t>
            </w:r>
          </w:p>
        </w:tc>
        <w:tc>
          <w:tcPr>
            <w:tcW w:w="0" w:type="auto"/>
            <w:vAlign w:val="center"/>
            <w:hideMark/>
          </w:tcPr>
          <w:p w14:paraId="5A37C4D4" w14:textId="77777777" w:rsidR="00C315FD" w:rsidRPr="00C315FD" w:rsidRDefault="00C315FD" w:rsidP="00C315FD">
            <w:r w:rsidRPr="00C315FD">
              <w:t>17,304.00</w:t>
            </w:r>
          </w:p>
        </w:tc>
        <w:tc>
          <w:tcPr>
            <w:tcW w:w="0" w:type="auto"/>
            <w:vAlign w:val="center"/>
            <w:hideMark/>
          </w:tcPr>
          <w:p w14:paraId="2886D39B" w14:textId="77777777" w:rsidR="00C315FD" w:rsidRPr="00C315FD" w:rsidRDefault="00C315FD" w:rsidP="00C315FD">
            <w:r w:rsidRPr="00C315FD">
              <w:t>15,656.00</w:t>
            </w:r>
          </w:p>
        </w:tc>
      </w:tr>
      <w:tr w:rsidR="00C315FD" w:rsidRPr="00C315FD" w14:paraId="372DCF9A" w14:textId="77777777" w:rsidTr="00C315FD">
        <w:trPr>
          <w:tblCellSpacing w:w="15" w:type="dxa"/>
        </w:trPr>
        <w:tc>
          <w:tcPr>
            <w:tcW w:w="0" w:type="auto"/>
            <w:vAlign w:val="center"/>
            <w:hideMark/>
          </w:tcPr>
          <w:p w14:paraId="1880ECBB" w14:textId="77777777" w:rsidR="00C315FD" w:rsidRPr="00C315FD" w:rsidRDefault="00C315FD" w:rsidP="00C315FD">
            <w:r w:rsidRPr="00C315FD">
              <w:t>VODA</w:t>
            </w:r>
          </w:p>
        </w:tc>
        <w:tc>
          <w:tcPr>
            <w:tcW w:w="0" w:type="auto"/>
            <w:vAlign w:val="center"/>
            <w:hideMark/>
          </w:tcPr>
          <w:p w14:paraId="250693E8" w14:textId="77777777" w:rsidR="00C315FD" w:rsidRPr="00C315FD" w:rsidRDefault="00C315FD" w:rsidP="00C315FD">
            <w:r w:rsidRPr="00C315FD">
              <w:t>820</w:t>
            </w:r>
          </w:p>
        </w:tc>
        <w:tc>
          <w:tcPr>
            <w:tcW w:w="0" w:type="auto"/>
            <w:vAlign w:val="center"/>
            <w:hideMark/>
          </w:tcPr>
          <w:p w14:paraId="0864FA2F" w14:textId="77777777" w:rsidR="00C315FD" w:rsidRPr="00C315FD" w:rsidRDefault="00C315FD" w:rsidP="00C315FD">
            <w:r w:rsidRPr="00C315FD">
              <w:t>5%</w:t>
            </w:r>
          </w:p>
        </w:tc>
        <w:tc>
          <w:tcPr>
            <w:tcW w:w="0" w:type="auto"/>
            <w:vAlign w:val="center"/>
            <w:hideMark/>
          </w:tcPr>
          <w:p w14:paraId="24DE9AD1" w14:textId="77777777" w:rsidR="00C315FD" w:rsidRPr="00C315FD" w:rsidRDefault="00C315FD" w:rsidP="00C315FD">
            <w:r w:rsidRPr="00C315FD">
              <w:t>861.00</w:t>
            </w:r>
          </w:p>
        </w:tc>
        <w:tc>
          <w:tcPr>
            <w:tcW w:w="0" w:type="auto"/>
            <w:vAlign w:val="center"/>
            <w:hideMark/>
          </w:tcPr>
          <w:p w14:paraId="0AE6112E" w14:textId="77777777" w:rsidR="00C315FD" w:rsidRPr="00C315FD" w:rsidRDefault="00C315FD" w:rsidP="00C315FD">
            <w:r w:rsidRPr="00C315FD">
              <w:t>779.00</w:t>
            </w:r>
          </w:p>
        </w:tc>
      </w:tr>
      <w:tr w:rsidR="00C315FD" w:rsidRPr="00C315FD" w14:paraId="45B69F7A" w14:textId="77777777" w:rsidTr="00C315FD">
        <w:trPr>
          <w:tblCellSpacing w:w="15" w:type="dxa"/>
        </w:trPr>
        <w:tc>
          <w:tcPr>
            <w:tcW w:w="0" w:type="auto"/>
            <w:vAlign w:val="center"/>
            <w:hideMark/>
          </w:tcPr>
          <w:p w14:paraId="73822221" w14:textId="77777777" w:rsidR="00C315FD" w:rsidRPr="00C315FD" w:rsidRDefault="00C315FD" w:rsidP="00C315FD">
            <w:r w:rsidRPr="00C315FD">
              <w:t>TCCL</w:t>
            </w:r>
          </w:p>
        </w:tc>
        <w:tc>
          <w:tcPr>
            <w:tcW w:w="0" w:type="auto"/>
            <w:vAlign w:val="center"/>
            <w:hideMark/>
          </w:tcPr>
          <w:p w14:paraId="62644E5D" w14:textId="77777777" w:rsidR="00C315FD" w:rsidRPr="00C315FD" w:rsidRDefault="00C315FD" w:rsidP="00C315FD">
            <w:r w:rsidRPr="00C315FD">
              <w:t>3,120</w:t>
            </w:r>
          </w:p>
        </w:tc>
        <w:tc>
          <w:tcPr>
            <w:tcW w:w="0" w:type="auto"/>
            <w:vAlign w:val="center"/>
            <w:hideMark/>
          </w:tcPr>
          <w:p w14:paraId="3D1F21B9" w14:textId="77777777" w:rsidR="00C315FD" w:rsidRPr="00C315FD" w:rsidRDefault="00C315FD" w:rsidP="00C315FD">
            <w:r w:rsidRPr="00C315FD">
              <w:t>5%</w:t>
            </w:r>
          </w:p>
        </w:tc>
        <w:tc>
          <w:tcPr>
            <w:tcW w:w="0" w:type="auto"/>
            <w:vAlign w:val="center"/>
            <w:hideMark/>
          </w:tcPr>
          <w:p w14:paraId="6E5D8B2C" w14:textId="77777777" w:rsidR="00C315FD" w:rsidRPr="00C315FD" w:rsidRDefault="00C315FD" w:rsidP="00C315FD">
            <w:r w:rsidRPr="00C315FD">
              <w:t>3,276.00</w:t>
            </w:r>
          </w:p>
        </w:tc>
        <w:tc>
          <w:tcPr>
            <w:tcW w:w="0" w:type="auto"/>
            <w:vAlign w:val="center"/>
            <w:hideMark/>
          </w:tcPr>
          <w:p w14:paraId="15B11671" w14:textId="77777777" w:rsidR="00C315FD" w:rsidRPr="00C315FD" w:rsidRDefault="00C315FD" w:rsidP="00C315FD">
            <w:r w:rsidRPr="00C315FD">
              <w:t>2,964.00</w:t>
            </w:r>
          </w:p>
        </w:tc>
      </w:tr>
      <w:tr w:rsidR="00C315FD" w:rsidRPr="00C315FD" w14:paraId="1C16E345" w14:textId="77777777" w:rsidTr="00C315FD">
        <w:trPr>
          <w:tblCellSpacing w:w="15" w:type="dxa"/>
        </w:trPr>
        <w:tc>
          <w:tcPr>
            <w:tcW w:w="0" w:type="auto"/>
            <w:vAlign w:val="center"/>
            <w:hideMark/>
          </w:tcPr>
          <w:p w14:paraId="0A10EE87" w14:textId="77777777" w:rsidR="00C315FD" w:rsidRPr="00C315FD" w:rsidRDefault="00C315FD" w:rsidP="00C315FD">
            <w:r w:rsidRPr="00C315FD">
              <w:t>TBL</w:t>
            </w:r>
          </w:p>
        </w:tc>
        <w:tc>
          <w:tcPr>
            <w:tcW w:w="0" w:type="auto"/>
            <w:vAlign w:val="center"/>
            <w:hideMark/>
          </w:tcPr>
          <w:p w14:paraId="469B7767" w14:textId="77777777" w:rsidR="00C315FD" w:rsidRPr="00C315FD" w:rsidRDefault="00C315FD" w:rsidP="00C315FD">
            <w:r w:rsidRPr="00C315FD">
              <w:t>9,670</w:t>
            </w:r>
          </w:p>
        </w:tc>
        <w:tc>
          <w:tcPr>
            <w:tcW w:w="0" w:type="auto"/>
            <w:vAlign w:val="center"/>
            <w:hideMark/>
          </w:tcPr>
          <w:p w14:paraId="55407366" w14:textId="77777777" w:rsidR="00C315FD" w:rsidRPr="00C315FD" w:rsidRDefault="00C315FD" w:rsidP="00C315FD">
            <w:r w:rsidRPr="00C315FD">
              <w:t>5%</w:t>
            </w:r>
          </w:p>
        </w:tc>
        <w:tc>
          <w:tcPr>
            <w:tcW w:w="0" w:type="auto"/>
            <w:vAlign w:val="center"/>
            <w:hideMark/>
          </w:tcPr>
          <w:p w14:paraId="2497E6C0" w14:textId="77777777" w:rsidR="00C315FD" w:rsidRPr="00C315FD" w:rsidRDefault="00C315FD" w:rsidP="00C315FD">
            <w:r w:rsidRPr="00C315FD">
              <w:t>10,153.50</w:t>
            </w:r>
          </w:p>
        </w:tc>
        <w:tc>
          <w:tcPr>
            <w:tcW w:w="0" w:type="auto"/>
            <w:vAlign w:val="center"/>
            <w:hideMark/>
          </w:tcPr>
          <w:p w14:paraId="727C0D4B" w14:textId="77777777" w:rsidR="00C315FD" w:rsidRPr="00C315FD" w:rsidRDefault="00C315FD" w:rsidP="00C315FD">
            <w:r w:rsidRPr="00C315FD">
              <w:t>9,186.50</w:t>
            </w:r>
          </w:p>
        </w:tc>
      </w:tr>
      <w:tr w:rsidR="00C315FD" w:rsidRPr="00C315FD" w14:paraId="73B3A4EA" w14:textId="77777777" w:rsidTr="00C315FD">
        <w:trPr>
          <w:tblCellSpacing w:w="15" w:type="dxa"/>
        </w:trPr>
        <w:tc>
          <w:tcPr>
            <w:tcW w:w="0" w:type="auto"/>
            <w:vAlign w:val="center"/>
            <w:hideMark/>
          </w:tcPr>
          <w:p w14:paraId="35198CA2" w14:textId="77777777" w:rsidR="00C315FD" w:rsidRPr="00C315FD" w:rsidRDefault="00C315FD" w:rsidP="00C315FD">
            <w:r w:rsidRPr="00C315FD">
              <w:t>DCB</w:t>
            </w:r>
          </w:p>
        </w:tc>
        <w:tc>
          <w:tcPr>
            <w:tcW w:w="0" w:type="auto"/>
            <w:vAlign w:val="center"/>
            <w:hideMark/>
          </w:tcPr>
          <w:p w14:paraId="3034F007" w14:textId="77777777" w:rsidR="00C315FD" w:rsidRPr="00C315FD" w:rsidRDefault="00C315FD" w:rsidP="00C315FD">
            <w:r w:rsidRPr="00C315FD">
              <w:t>495</w:t>
            </w:r>
          </w:p>
        </w:tc>
        <w:tc>
          <w:tcPr>
            <w:tcW w:w="0" w:type="auto"/>
            <w:vAlign w:val="center"/>
            <w:hideMark/>
          </w:tcPr>
          <w:p w14:paraId="79E919D3" w14:textId="77777777" w:rsidR="00C315FD" w:rsidRPr="00C315FD" w:rsidRDefault="00C315FD" w:rsidP="00C315FD">
            <w:r w:rsidRPr="00C315FD">
              <w:t>15%</w:t>
            </w:r>
          </w:p>
        </w:tc>
        <w:tc>
          <w:tcPr>
            <w:tcW w:w="0" w:type="auto"/>
            <w:vAlign w:val="center"/>
            <w:hideMark/>
          </w:tcPr>
          <w:p w14:paraId="7E90B952" w14:textId="77777777" w:rsidR="00C315FD" w:rsidRPr="00C315FD" w:rsidRDefault="00C315FD" w:rsidP="00C315FD">
            <w:r w:rsidRPr="00C315FD">
              <w:t>569.25</w:t>
            </w:r>
          </w:p>
        </w:tc>
        <w:tc>
          <w:tcPr>
            <w:tcW w:w="0" w:type="auto"/>
            <w:vAlign w:val="center"/>
            <w:hideMark/>
          </w:tcPr>
          <w:p w14:paraId="112280CB" w14:textId="77777777" w:rsidR="00C315FD" w:rsidRPr="00C315FD" w:rsidRDefault="00C315FD" w:rsidP="00C315FD">
            <w:r w:rsidRPr="00C315FD">
              <w:t>420.75</w:t>
            </w:r>
          </w:p>
        </w:tc>
      </w:tr>
    </w:tbl>
    <w:p w14:paraId="4DCA958D" w14:textId="77777777" w:rsidR="00C315FD" w:rsidRPr="00C315FD" w:rsidRDefault="00C315FD" w:rsidP="00C315FD">
      <w:r w:rsidRPr="00C315FD">
        <w:t>These bands are not obstacles; they are the framework within which disciplined investors set realistic entry and exit points. For example, a trader who wanted to buy CRDB on Tuesday cannot place an order above 2,908.50, and a seller cannot ask below 2,631.50. Understanding this rule prevents frustration and helps you plan trades that are executable from the moment they are placed.</w:t>
      </w:r>
    </w:p>
    <w:p w14:paraId="6FD81577" w14:textId="77777777" w:rsidR="00C315FD" w:rsidRPr="00C315FD" w:rsidRDefault="00C315FD" w:rsidP="00C315FD">
      <w:r w:rsidRPr="00C315FD">
        <w:t xml:space="preserve">For a broader look at how market data — turnover, volume, and deals — paints the daily picture, see our article </w:t>
      </w:r>
      <w:hyperlink r:id="rId5" w:tgtFrame="_blank" w:history="1">
        <w:r w:rsidRPr="00C315FD">
          <w:rPr>
            <w:rStyle w:val="Hyperlink"/>
          </w:rPr>
          <w:t>Understanding Market Data</w:t>
        </w:r>
      </w:hyperlink>
      <w:r w:rsidRPr="00C315FD">
        <w:t>.</w:t>
      </w:r>
    </w:p>
    <w:p w14:paraId="4FBC6EDD" w14:textId="77777777" w:rsidR="00C315FD" w:rsidRPr="00C315FD" w:rsidRDefault="00C315FD" w:rsidP="00C315FD">
      <w:r w:rsidRPr="00C315FD">
        <w:pict w14:anchorId="51281C3B">
          <v:rect id="_x0000_i1076" style="width:0;height:1.5pt" o:hralign="center" o:hrstd="t" o:hr="t" fillcolor="#a0a0a0" stroked="f"/>
        </w:pict>
      </w:r>
    </w:p>
    <w:p w14:paraId="0AF5FF36" w14:textId="77777777" w:rsidR="00C315FD" w:rsidRPr="00C315FD" w:rsidRDefault="00C315FD" w:rsidP="00C315FD">
      <w:pPr>
        <w:rPr>
          <w:b/>
          <w:bCs/>
        </w:rPr>
      </w:pPr>
      <w:r w:rsidRPr="00C315FD">
        <w:rPr>
          <w:b/>
          <w:bCs/>
        </w:rPr>
        <w:t>4. Bond Market: A Complementary Expansion</w:t>
      </w:r>
    </w:p>
    <w:p w14:paraId="1A4C75D0" w14:textId="77777777" w:rsidR="00C315FD" w:rsidRPr="00C315FD" w:rsidRDefault="00C315FD" w:rsidP="00C315FD">
      <w:r w:rsidRPr="00C315FD">
        <w:t>Government bond turnover rose to TZS</w:t>
      </w:r>
      <w:r w:rsidRPr="00C315FD">
        <w:rPr>
          <w:rFonts w:ascii="Arial" w:hAnsi="Arial" w:cs="Arial"/>
        </w:rPr>
        <w:t> </w:t>
      </w:r>
      <w:r w:rsidRPr="00C315FD">
        <w:t>33.03</w:t>
      </w:r>
      <w:r w:rsidRPr="00C315FD">
        <w:rPr>
          <w:rFonts w:ascii="Arial" w:hAnsi="Arial" w:cs="Arial"/>
        </w:rPr>
        <w:t> </w:t>
      </w:r>
      <w:r w:rsidRPr="00C315FD">
        <w:t>billion, led by heavy trading in 20</w:t>
      </w:r>
      <w:r w:rsidRPr="00C315FD">
        <w:noBreakHyphen/>
        <w:t>year paper (the 15.49% coupon bond was especially active) and the 25</w:t>
      </w:r>
      <w:r w:rsidRPr="00C315FD">
        <w:noBreakHyphen/>
        <w:t>year 13.25% bond. Yields on these long</w:t>
      </w:r>
      <w:r w:rsidRPr="00C315FD">
        <w:noBreakHyphen/>
        <w:t>dated instruments hovered around 10.5</w:t>
      </w:r>
      <w:r w:rsidRPr="00C315FD">
        <w:rPr>
          <w:rFonts w:ascii="Aptos" w:hAnsi="Aptos" w:cs="Aptos"/>
        </w:rPr>
        <w:t>–</w:t>
      </w:r>
      <w:r w:rsidRPr="00C315FD">
        <w:t>11.5%, still attractive for pension funds and insurance companies seeking tax</w:t>
      </w:r>
      <w:r w:rsidRPr="00C315FD">
        <w:noBreakHyphen/>
        <w:t>free, long</w:t>
      </w:r>
      <w:r w:rsidRPr="00C315FD">
        <w:noBreakHyphen/>
        <w:t>duration assets.</w:t>
      </w:r>
    </w:p>
    <w:p w14:paraId="02507313" w14:textId="77777777" w:rsidR="00C315FD" w:rsidRPr="00C315FD" w:rsidRDefault="00C315FD" w:rsidP="00C315FD">
      <w:r w:rsidRPr="00C315FD">
        <w:lastRenderedPageBreak/>
        <w:t>Crucially, the bond market is no longer a competitor to equities; it is a complement. Bond turnover and equity turnover rose together on Monday, indicating that institutional money is expanding into both asset classes simultaneously. This dual</w:t>
      </w:r>
      <w:r w:rsidRPr="00C315FD">
        <w:noBreakHyphen/>
        <w:t>market expansion reflects deep liquidity and confidence in Tanzania’s macroeconomic stability. For long</w:t>
      </w:r>
      <w:r w:rsidRPr="00C315FD">
        <w:noBreakHyphen/>
        <w:t>term investors, the ability to park idle cash in high</w:t>
      </w:r>
      <w:r w:rsidRPr="00C315FD">
        <w:noBreakHyphen/>
        <w:t>yielding government bonds while participating in equity growth is a structural advantage of the Tanzanian capital market.</w:t>
      </w:r>
    </w:p>
    <w:p w14:paraId="635B5074" w14:textId="77777777" w:rsidR="00C315FD" w:rsidRPr="00C315FD" w:rsidRDefault="00C315FD" w:rsidP="00C315FD">
      <w:r w:rsidRPr="00C315FD">
        <w:pict w14:anchorId="0ACFE8F7">
          <v:rect id="_x0000_i1077" style="width:0;height:1.5pt" o:hralign="center" o:hrstd="t" o:hr="t" fillcolor="#a0a0a0" stroked="f"/>
        </w:pict>
      </w:r>
    </w:p>
    <w:p w14:paraId="412A66F5" w14:textId="77777777" w:rsidR="00C315FD" w:rsidRPr="00C315FD" w:rsidRDefault="00C315FD" w:rsidP="00C315FD">
      <w:pPr>
        <w:rPr>
          <w:b/>
          <w:bCs/>
        </w:rPr>
      </w:pPr>
      <w:r w:rsidRPr="00C315FD">
        <w:rPr>
          <w:b/>
          <w:bCs/>
        </w:rPr>
        <w:t>5. Strategic Outlook: What to Anticipate</w:t>
      </w:r>
    </w:p>
    <w:p w14:paraId="12BC964E" w14:textId="77777777" w:rsidR="00C315FD" w:rsidRPr="00C315FD" w:rsidRDefault="00C315FD" w:rsidP="00C315FD">
      <w:r w:rsidRPr="00C315FD">
        <w:rPr>
          <w:b/>
          <w:bCs/>
        </w:rPr>
        <w:t>Near</w:t>
      </w:r>
      <w:r w:rsidRPr="00C315FD">
        <w:rPr>
          <w:b/>
          <w:bCs/>
        </w:rPr>
        <w:noBreakHyphen/>
        <w:t>Term (July):</w:t>
      </w:r>
    </w:p>
    <w:p w14:paraId="67DEE4E2" w14:textId="77777777" w:rsidR="00C315FD" w:rsidRPr="00C315FD" w:rsidRDefault="00C315FD" w:rsidP="00C315FD">
      <w:pPr>
        <w:numPr>
          <w:ilvl w:val="0"/>
          <w:numId w:val="2"/>
        </w:numPr>
      </w:pPr>
      <w:r w:rsidRPr="00C315FD">
        <w:rPr>
          <w:b/>
          <w:bCs/>
        </w:rPr>
        <w:t>VODA’s FY2025 dividend announcement</w:t>
      </w:r>
      <w:r w:rsidRPr="00C315FD">
        <w:t xml:space="preserve"> is expected imminently. A payout of TZS</w:t>
      </w:r>
      <w:r w:rsidRPr="00C315FD">
        <w:rPr>
          <w:rFonts w:ascii="Arial" w:hAnsi="Arial" w:cs="Arial"/>
        </w:rPr>
        <w:t> </w:t>
      </w:r>
      <w:r w:rsidRPr="00C315FD">
        <w:t>30 or more per share could propel the stock beyond the TZS</w:t>
      </w:r>
      <w:r w:rsidRPr="00C315FD">
        <w:rPr>
          <w:rFonts w:ascii="Arial" w:hAnsi="Arial" w:cs="Arial"/>
        </w:rPr>
        <w:t> </w:t>
      </w:r>
      <w:r w:rsidRPr="00C315FD">
        <w:t>850 mark, triggering further pre</w:t>
      </w:r>
      <w:r w:rsidRPr="00C315FD">
        <w:noBreakHyphen/>
        <w:t>ex</w:t>
      </w:r>
      <w:r w:rsidRPr="00C315FD">
        <w:noBreakHyphen/>
        <w:t>dividend buying.</w:t>
      </w:r>
    </w:p>
    <w:p w14:paraId="6CFF94EE" w14:textId="77777777" w:rsidR="00C315FD" w:rsidRPr="00C315FD" w:rsidRDefault="00C315FD" w:rsidP="00C315FD">
      <w:pPr>
        <w:numPr>
          <w:ilvl w:val="0"/>
          <w:numId w:val="2"/>
        </w:numPr>
      </w:pPr>
      <w:r w:rsidRPr="00C315FD">
        <w:rPr>
          <w:b/>
          <w:bCs/>
        </w:rPr>
        <w:t>NMB’s ex</w:t>
      </w:r>
      <w:r w:rsidRPr="00C315FD">
        <w:rPr>
          <w:b/>
          <w:bCs/>
        </w:rPr>
        <w:noBreakHyphen/>
        <w:t>dividend date</w:t>
      </w:r>
      <w:r w:rsidRPr="00C315FD">
        <w:t xml:space="preserve"> has yet to be published but should appear shortly. Historically, stocks rally into the ex</w:t>
      </w:r>
      <w:r w:rsidRPr="00C315FD">
        <w:noBreakHyphen/>
        <w:t>date and adjust downward afterward by roughly the dividend amount — a pattern income</w:t>
      </w:r>
      <w:r w:rsidRPr="00C315FD">
        <w:noBreakHyphen/>
        <w:t>focused investors should monitor.</w:t>
      </w:r>
    </w:p>
    <w:p w14:paraId="24015EB5" w14:textId="77777777" w:rsidR="00C315FD" w:rsidRPr="00C315FD" w:rsidRDefault="00C315FD" w:rsidP="00C315FD">
      <w:pPr>
        <w:numPr>
          <w:ilvl w:val="0"/>
          <w:numId w:val="2"/>
        </w:numPr>
      </w:pPr>
      <w:r w:rsidRPr="00C315FD">
        <w:rPr>
          <w:b/>
          <w:bCs/>
        </w:rPr>
        <w:t>CRDB consolidation:</w:t>
      </w:r>
      <w:r w:rsidRPr="00C315FD">
        <w:t xml:space="preserve"> The pullback from 2,800 is normal. A stabilisation around the 2,740</w:t>
      </w:r>
      <w:r w:rsidRPr="00C315FD">
        <w:noBreakHyphen/>
        <w:t>2,770 range would set up a solid base for the next leg higher.</w:t>
      </w:r>
    </w:p>
    <w:p w14:paraId="639AFD20" w14:textId="77777777" w:rsidR="00C315FD" w:rsidRPr="00C315FD" w:rsidRDefault="00C315FD" w:rsidP="00C315FD">
      <w:r w:rsidRPr="00C315FD">
        <w:rPr>
          <w:b/>
          <w:bCs/>
        </w:rPr>
        <w:t>Medium</w:t>
      </w:r>
      <w:r w:rsidRPr="00C315FD">
        <w:rPr>
          <w:b/>
          <w:bCs/>
        </w:rPr>
        <w:noBreakHyphen/>
        <w:t>Term (Q3 2026):</w:t>
      </w:r>
    </w:p>
    <w:p w14:paraId="4BED9761" w14:textId="77777777" w:rsidR="00C315FD" w:rsidRPr="00C315FD" w:rsidRDefault="00C315FD" w:rsidP="00C315FD">
      <w:pPr>
        <w:numPr>
          <w:ilvl w:val="0"/>
          <w:numId w:val="3"/>
        </w:numPr>
      </w:pPr>
      <w:r w:rsidRPr="00C315FD">
        <w:t>The Bank of Tanzania’s monetary policy stance remains accommodative. Any signal of a rate change would be the single most important macro event for both equities and bonds.</w:t>
      </w:r>
    </w:p>
    <w:p w14:paraId="74D54D82" w14:textId="77777777" w:rsidR="00C315FD" w:rsidRPr="00C315FD" w:rsidRDefault="00C315FD" w:rsidP="00C315FD">
      <w:pPr>
        <w:numPr>
          <w:ilvl w:val="0"/>
          <w:numId w:val="3"/>
        </w:numPr>
      </w:pPr>
      <w:r w:rsidRPr="00C315FD">
        <w:t>The new fiscal year’s infrastructure spending will directly affect cement and construction names — TCC, TPCC, and TOL — as public contracts are awarded.</w:t>
      </w:r>
    </w:p>
    <w:p w14:paraId="360B7C4C" w14:textId="77777777" w:rsidR="00C315FD" w:rsidRPr="00C315FD" w:rsidRDefault="00C315FD" w:rsidP="00C315FD">
      <w:r w:rsidRPr="00C315FD">
        <w:rPr>
          <w:b/>
          <w:bCs/>
        </w:rPr>
        <w:t>Long</w:t>
      </w:r>
      <w:r w:rsidRPr="00C315FD">
        <w:rPr>
          <w:b/>
          <w:bCs/>
        </w:rPr>
        <w:noBreakHyphen/>
        <w:t>Term:</w:t>
      </w:r>
      <w:r w:rsidRPr="00C315FD">
        <w:br/>
        <w:t>The foreign</w:t>
      </w:r>
      <w:r w:rsidRPr="00C315FD">
        <w:noBreakHyphen/>
        <w:t>exit handoff is complete. A market that was once highly sensitive to international capital flows is now anchored by domestic pension funds, a growing retail base, and diaspora participation. This structural maturation reduces volatility and supports a higher, more sustainable valuation floor for Tanzanian equities.</w:t>
      </w:r>
    </w:p>
    <w:p w14:paraId="71AC440D" w14:textId="77777777" w:rsidR="00C315FD" w:rsidRPr="00C315FD" w:rsidRDefault="00C315FD" w:rsidP="00C315FD">
      <w:r w:rsidRPr="00C315FD">
        <w:pict w14:anchorId="652903ED">
          <v:rect id="_x0000_i1078" style="width:0;height:1.5pt" o:hralign="center" o:hrstd="t" o:hr="t" fillcolor="#a0a0a0" stroked="f"/>
        </w:pict>
      </w:r>
    </w:p>
    <w:p w14:paraId="78BB9BC2" w14:textId="77777777" w:rsidR="00C315FD" w:rsidRPr="00C315FD" w:rsidRDefault="00C315FD" w:rsidP="00C315FD">
      <w:pPr>
        <w:rPr>
          <w:b/>
          <w:bCs/>
        </w:rPr>
      </w:pPr>
      <w:r w:rsidRPr="00C315FD">
        <w:rPr>
          <w:b/>
          <w:bCs/>
        </w:rPr>
        <w:t>6. Professional Approach: How to Use This Intelligence</w:t>
      </w:r>
    </w:p>
    <w:p w14:paraId="50535730" w14:textId="77777777" w:rsidR="00C315FD" w:rsidRPr="00C315FD" w:rsidRDefault="00C315FD" w:rsidP="00C315FD">
      <w:r w:rsidRPr="00C315FD">
        <w:t>This analysis is a tool for education and awareness, not a set of instructions. We encourage investors to:</w:t>
      </w:r>
    </w:p>
    <w:p w14:paraId="2844B411" w14:textId="77777777" w:rsidR="00C315FD" w:rsidRPr="00C315FD" w:rsidRDefault="00C315FD" w:rsidP="00C315FD">
      <w:pPr>
        <w:numPr>
          <w:ilvl w:val="0"/>
          <w:numId w:val="4"/>
        </w:numPr>
      </w:pPr>
      <w:r w:rsidRPr="00C315FD">
        <w:rPr>
          <w:b/>
          <w:bCs/>
        </w:rPr>
        <w:lastRenderedPageBreak/>
        <w:t>Pair it with our education series.</w:t>
      </w:r>
      <w:r w:rsidRPr="00C315FD">
        <w:t xml:space="preserve"> If the price</w:t>
      </w:r>
      <w:r w:rsidRPr="00C315FD">
        <w:noBreakHyphen/>
        <w:t xml:space="preserve">band concept is new to you, review </w:t>
      </w:r>
      <w:hyperlink r:id="rId6" w:tgtFrame="_blank" w:history="1">
        <w:r w:rsidRPr="00C315FD">
          <w:rPr>
            <w:rStyle w:val="Hyperlink"/>
          </w:rPr>
          <w:t>Understanding Market Data</w:t>
        </w:r>
      </w:hyperlink>
      <w:r w:rsidRPr="00C315FD">
        <w:t xml:space="preserve">. For a deeper dive into banking stocks, start with </w:t>
      </w:r>
      <w:hyperlink r:id="rId7" w:tgtFrame="_blank" w:history="1">
        <w:r w:rsidRPr="00C315FD">
          <w:rPr>
            <w:rStyle w:val="Hyperlink"/>
          </w:rPr>
          <w:t>How to Analyse a Sector: Banking</w:t>
        </w:r>
      </w:hyperlink>
      <w:r w:rsidRPr="00C315FD">
        <w:t>.</w:t>
      </w:r>
    </w:p>
    <w:p w14:paraId="6EBCABAB" w14:textId="77777777" w:rsidR="00C315FD" w:rsidRPr="00C315FD" w:rsidRDefault="00C315FD" w:rsidP="00C315FD">
      <w:pPr>
        <w:numPr>
          <w:ilvl w:val="0"/>
          <w:numId w:val="4"/>
        </w:numPr>
      </w:pPr>
      <w:r w:rsidRPr="00C315FD">
        <w:rPr>
          <w:b/>
          <w:bCs/>
        </w:rPr>
        <w:t>Maintain a diversified portfolio.</w:t>
      </w:r>
      <w:r w:rsidRPr="00C315FD">
        <w:t xml:space="preserve"> No single sector, no matter how strong, should dominate your holdings. Spread your risk across banks, industrials, consumer goods, and bonds.</w:t>
      </w:r>
    </w:p>
    <w:p w14:paraId="5712A180" w14:textId="77777777" w:rsidR="00C315FD" w:rsidRPr="00C315FD" w:rsidRDefault="00C315FD" w:rsidP="00C315FD">
      <w:pPr>
        <w:numPr>
          <w:ilvl w:val="0"/>
          <w:numId w:val="4"/>
        </w:numPr>
      </w:pPr>
      <w:r w:rsidRPr="00C315FD">
        <w:rPr>
          <w:b/>
          <w:bCs/>
        </w:rPr>
        <w:t>Focus on fundamentals.</w:t>
      </w:r>
      <w:r w:rsidRPr="00C315FD">
        <w:t xml:space="preserve"> A daily price </w:t>
      </w:r>
      <w:proofErr w:type="gramStart"/>
      <w:r w:rsidRPr="00C315FD">
        <w:t>move</w:t>
      </w:r>
      <w:proofErr w:type="gramEnd"/>
      <w:r w:rsidRPr="00C315FD">
        <w:t xml:space="preserve"> of 1–2% is noise; a multi</w:t>
      </w:r>
      <w:r w:rsidRPr="00C315FD">
        <w:noBreakHyphen/>
        <w:t>year track record of growing earnings and dividends is the signal. Let the daily wrap inform your understanding, not dictate your actions.</w:t>
      </w:r>
    </w:p>
    <w:p w14:paraId="00CA9860" w14:textId="77777777" w:rsidR="00C315FD" w:rsidRPr="00C315FD" w:rsidRDefault="00C315FD" w:rsidP="00C315FD">
      <w:pPr>
        <w:numPr>
          <w:ilvl w:val="0"/>
          <w:numId w:val="4"/>
        </w:numPr>
      </w:pPr>
      <w:r w:rsidRPr="00C315FD">
        <w:rPr>
          <w:b/>
          <w:bCs/>
        </w:rPr>
        <w:t>Remember the risk.</w:t>
      </w:r>
      <w:r w:rsidRPr="00C315FD">
        <w:t xml:space="preserve"> All equity investment carries the possibility of permanent capital loss. Past performance is not indicative of future results.</w:t>
      </w:r>
    </w:p>
    <w:p w14:paraId="77444B6D" w14:textId="77777777" w:rsidR="00C315FD" w:rsidRPr="00C315FD" w:rsidRDefault="00C315FD" w:rsidP="00C315FD">
      <w:r w:rsidRPr="00C315FD">
        <w:pict w14:anchorId="71887DC7">
          <v:rect id="_x0000_i1079" style="width:0;height:1.5pt" o:hralign="center" o:hrstd="t" o:hr="t" fillcolor="#a0a0a0" stroked="f"/>
        </w:pict>
      </w:r>
    </w:p>
    <w:p w14:paraId="120E896A" w14:textId="77777777" w:rsidR="00C315FD" w:rsidRPr="00C315FD" w:rsidRDefault="00C315FD" w:rsidP="00C315FD">
      <w:pPr>
        <w:rPr>
          <w:b/>
          <w:bCs/>
        </w:rPr>
      </w:pPr>
      <w:r w:rsidRPr="00C315FD">
        <w:rPr>
          <w:b/>
          <w:bCs/>
        </w:rPr>
        <w:t>7. Considerations for a Multi</w:t>
      </w:r>
      <w:r w:rsidRPr="00C315FD">
        <w:rPr>
          <w:b/>
          <w:bCs/>
        </w:rPr>
        <w:noBreakHyphen/>
        <w:t>Year Framework</w:t>
      </w:r>
    </w:p>
    <w:p w14:paraId="52BA6D6A" w14:textId="77777777" w:rsidR="00C315FD" w:rsidRPr="00C315FD" w:rsidRDefault="00C315FD" w:rsidP="00C315FD">
      <w:r w:rsidRPr="00C315FD">
        <w:t>The combination of surging turnover, broad</w:t>
      </w:r>
      <w:r w:rsidRPr="00C315FD">
        <w:noBreakHyphen/>
        <w:t>based deal activity, and a collapsed foreign</w:t>
      </w:r>
      <w:r w:rsidRPr="00C315FD">
        <w:noBreakHyphen/>
        <w:t>selling share is telling a quiet but powerful story: the Dar es Salaam Stock Exchange is maturing. A market that once lurched between foreign inflows and outflows is now driven by local institutions and retail investors who understand the long</w:t>
      </w:r>
      <w:r w:rsidRPr="00C315FD">
        <w:noBreakHyphen/>
        <w:t>term value of Tanzanian enterprises. For a multi</w:t>
      </w:r>
      <w:r w:rsidRPr="00C315FD">
        <w:noBreakHyphen/>
        <w:t xml:space="preserve">year allocator, this structural shift is far more significant than any single day’s index </w:t>
      </w:r>
      <w:proofErr w:type="gramStart"/>
      <w:r w:rsidRPr="00C315FD">
        <w:t>move</w:t>
      </w:r>
      <w:proofErr w:type="gramEnd"/>
      <w:r w:rsidRPr="00C315FD">
        <w:t>. The 5% daily price band, the block trades, and the dividend calendar are the daily mechanics; the enduring theme is the slow, steady building of a resilient domestic capital market. Patience and discipline remain the investor’s greatest assets.</w:t>
      </w:r>
    </w:p>
    <w:p w14:paraId="55046767" w14:textId="77777777" w:rsidR="00C315FD" w:rsidRPr="00C315FD" w:rsidRDefault="00C315FD" w:rsidP="00C315FD">
      <w:r w:rsidRPr="00C315FD">
        <w:pict w14:anchorId="1C4E1D9A">
          <v:rect id="_x0000_i1080" style="width:0;height:1.5pt" o:hralign="center" o:hrstd="t" o:hr="t" fillcolor="#a0a0a0" stroked="f"/>
        </w:pict>
      </w:r>
    </w:p>
    <w:p w14:paraId="24FFC9D7" w14:textId="77777777" w:rsidR="00C315FD" w:rsidRPr="00C315FD" w:rsidRDefault="00C315FD" w:rsidP="00C315FD">
      <w:r w:rsidRPr="00C315FD">
        <w:rPr>
          <w:i/>
          <w:iCs/>
        </w:rPr>
        <w:t>This document is for general informational and educational purposes only. Nothing contained herein constitutes financial, investment, legal, or tax advice and should not be relied upon as such. Any investment decision you make is solely your own responsibility. The value of investments and the income from them can go down as well as up, and you may not get back the amount originally invested. Past performance is not a reliable indicator of future results. Capital is at risk, and you may incur losses — including the total loss of your invested capital — which you alone will bear. Amana Capital East Africa Limited is a registered investment advisory and fund management firm under the Capital Markets and Securities Authority (CMSA), Tanzania. Licence number: [pending]. Our registration does not imply that CMSA approves or endorses the contents of this material.</w:t>
      </w:r>
    </w:p>
    <w:p w14:paraId="0598AD77" w14:textId="77777777" w:rsidR="00C315FD" w:rsidRDefault="00C315FD"/>
    <w:sectPr w:rsidR="00C315FD">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43D130F"/>
    <w:multiLevelType w:val="multilevel"/>
    <w:tmpl w:val="9CEEE6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3B4717F"/>
    <w:multiLevelType w:val="multilevel"/>
    <w:tmpl w:val="D39227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44F95712"/>
    <w:multiLevelType w:val="multilevel"/>
    <w:tmpl w:val="290E73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6DBC1B59"/>
    <w:multiLevelType w:val="multilevel"/>
    <w:tmpl w:val="D3CE03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949505218">
    <w:abstractNumId w:val="0"/>
  </w:num>
  <w:num w:numId="2" w16cid:durableId="725641204">
    <w:abstractNumId w:val="3"/>
  </w:num>
  <w:num w:numId="3" w16cid:durableId="492646243">
    <w:abstractNumId w:val="2"/>
  </w:num>
  <w:num w:numId="4" w16cid:durableId="145031590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315FD"/>
    <w:rsid w:val="00A472E9"/>
    <w:rsid w:val="00C315FD"/>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C6BCDAD"/>
  <w15:chartTrackingRefBased/>
  <w15:docId w15:val="{9D0AB583-FA44-4C0D-80AD-EDD8DF0B683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315F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C315F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C315F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315F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315F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315F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315F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315F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315F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315F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C315F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C315F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315F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315F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315F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315F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315F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315FD"/>
    <w:rPr>
      <w:rFonts w:eastAsiaTheme="majorEastAsia" w:cstheme="majorBidi"/>
      <w:color w:val="272727" w:themeColor="text1" w:themeTint="D8"/>
    </w:rPr>
  </w:style>
  <w:style w:type="paragraph" w:styleId="Title">
    <w:name w:val="Title"/>
    <w:basedOn w:val="Normal"/>
    <w:next w:val="Normal"/>
    <w:link w:val="TitleChar"/>
    <w:uiPriority w:val="10"/>
    <w:qFormat/>
    <w:rsid w:val="00C315F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315F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315F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315F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315FD"/>
    <w:pPr>
      <w:spacing w:before="160"/>
      <w:jc w:val="center"/>
    </w:pPr>
    <w:rPr>
      <w:i/>
      <w:iCs/>
      <w:color w:val="404040" w:themeColor="text1" w:themeTint="BF"/>
    </w:rPr>
  </w:style>
  <w:style w:type="character" w:customStyle="1" w:styleId="QuoteChar">
    <w:name w:val="Quote Char"/>
    <w:basedOn w:val="DefaultParagraphFont"/>
    <w:link w:val="Quote"/>
    <w:uiPriority w:val="29"/>
    <w:rsid w:val="00C315FD"/>
    <w:rPr>
      <w:i/>
      <w:iCs/>
      <w:color w:val="404040" w:themeColor="text1" w:themeTint="BF"/>
    </w:rPr>
  </w:style>
  <w:style w:type="paragraph" w:styleId="ListParagraph">
    <w:name w:val="List Paragraph"/>
    <w:basedOn w:val="Normal"/>
    <w:uiPriority w:val="34"/>
    <w:qFormat/>
    <w:rsid w:val="00C315FD"/>
    <w:pPr>
      <w:ind w:left="720"/>
      <w:contextualSpacing/>
    </w:pPr>
  </w:style>
  <w:style w:type="character" w:styleId="IntenseEmphasis">
    <w:name w:val="Intense Emphasis"/>
    <w:basedOn w:val="DefaultParagraphFont"/>
    <w:uiPriority w:val="21"/>
    <w:qFormat/>
    <w:rsid w:val="00C315FD"/>
    <w:rPr>
      <w:i/>
      <w:iCs/>
      <w:color w:val="0F4761" w:themeColor="accent1" w:themeShade="BF"/>
    </w:rPr>
  </w:style>
  <w:style w:type="paragraph" w:styleId="IntenseQuote">
    <w:name w:val="Intense Quote"/>
    <w:basedOn w:val="Normal"/>
    <w:next w:val="Normal"/>
    <w:link w:val="IntenseQuoteChar"/>
    <w:uiPriority w:val="30"/>
    <w:qFormat/>
    <w:rsid w:val="00C315F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315FD"/>
    <w:rPr>
      <w:i/>
      <w:iCs/>
      <w:color w:val="0F4761" w:themeColor="accent1" w:themeShade="BF"/>
    </w:rPr>
  </w:style>
  <w:style w:type="character" w:styleId="IntenseReference">
    <w:name w:val="Intense Reference"/>
    <w:basedOn w:val="DefaultParagraphFont"/>
    <w:uiPriority w:val="32"/>
    <w:qFormat/>
    <w:rsid w:val="00C315FD"/>
    <w:rPr>
      <w:b/>
      <w:bCs/>
      <w:smallCaps/>
      <w:color w:val="0F4761" w:themeColor="accent1" w:themeShade="BF"/>
      <w:spacing w:val="5"/>
    </w:rPr>
  </w:style>
  <w:style w:type="character" w:styleId="Hyperlink">
    <w:name w:val="Hyperlink"/>
    <w:basedOn w:val="DefaultParagraphFont"/>
    <w:uiPriority w:val="99"/>
    <w:unhideWhenUsed/>
    <w:rsid w:val="00C315FD"/>
    <w:rPr>
      <w:color w:val="467886" w:themeColor="hyperlink"/>
      <w:u w:val="single"/>
    </w:rPr>
  </w:style>
  <w:style w:type="character" w:styleId="UnresolvedMention">
    <w:name w:val="Unresolved Mention"/>
    <w:basedOn w:val="DefaultParagraphFont"/>
    <w:uiPriority w:val="99"/>
    <w:semiHidden/>
    <w:unhideWhenUsed/>
    <w:rsid w:val="00C315FD"/>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8344004">
      <w:bodyDiv w:val="1"/>
      <w:marLeft w:val="0"/>
      <w:marRight w:val="0"/>
      <w:marTop w:val="0"/>
      <w:marBottom w:val="0"/>
      <w:divBdr>
        <w:top w:val="none" w:sz="0" w:space="0" w:color="auto"/>
        <w:left w:val="none" w:sz="0" w:space="0" w:color="auto"/>
        <w:bottom w:val="none" w:sz="0" w:space="0" w:color="auto"/>
        <w:right w:val="none" w:sz="0" w:space="0" w:color="auto"/>
      </w:divBdr>
      <w:divsChild>
        <w:div w:id="1934780653">
          <w:marLeft w:val="0"/>
          <w:marRight w:val="0"/>
          <w:marTop w:val="0"/>
          <w:marBottom w:val="0"/>
          <w:divBdr>
            <w:top w:val="none" w:sz="0" w:space="0" w:color="auto"/>
            <w:left w:val="none" w:sz="0" w:space="0" w:color="auto"/>
            <w:bottom w:val="none" w:sz="0" w:space="0" w:color="auto"/>
            <w:right w:val="none" w:sz="0" w:space="0" w:color="auto"/>
          </w:divBdr>
        </w:div>
        <w:div w:id="751852750">
          <w:marLeft w:val="0"/>
          <w:marRight w:val="0"/>
          <w:marTop w:val="0"/>
          <w:marBottom w:val="0"/>
          <w:divBdr>
            <w:top w:val="none" w:sz="0" w:space="0" w:color="auto"/>
            <w:left w:val="none" w:sz="0" w:space="0" w:color="auto"/>
            <w:bottom w:val="none" w:sz="0" w:space="0" w:color="auto"/>
            <w:right w:val="none" w:sz="0" w:space="0" w:color="auto"/>
          </w:divBdr>
        </w:div>
        <w:div w:id="363409512">
          <w:marLeft w:val="0"/>
          <w:marRight w:val="0"/>
          <w:marTop w:val="0"/>
          <w:marBottom w:val="0"/>
          <w:divBdr>
            <w:top w:val="none" w:sz="0" w:space="0" w:color="auto"/>
            <w:left w:val="none" w:sz="0" w:space="0" w:color="auto"/>
            <w:bottom w:val="none" w:sz="0" w:space="0" w:color="auto"/>
            <w:right w:val="none" w:sz="0" w:space="0" w:color="auto"/>
          </w:divBdr>
        </w:div>
        <w:div w:id="159300840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069450703">
      <w:bodyDiv w:val="1"/>
      <w:marLeft w:val="0"/>
      <w:marRight w:val="0"/>
      <w:marTop w:val="0"/>
      <w:marBottom w:val="0"/>
      <w:divBdr>
        <w:top w:val="none" w:sz="0" w:space="0" w:color="auto"/>
        <w:left w:val="none" w:sz="0" w:space="0" w:color="auto"/>
        <w:bottom w:val="none" w:sz="0" w:space="0" w:color="auto"/>
        <w:right w:val="none" w:sz="0" w:space="0" w:color="auto"/>
      </w:divBdr>
      <w:divsChild>
        <w:div w:id="1813860943">
          <w:marLeft w:val="0"/>
          <w:marRight w:val="0"/>
          <w:marTop w:val="0"/>
          <w:marBottom w:val="0"/>
          <w:divBdr>
            <w:top w:val="none" w:sz="0" w:space="0" w:color="auto"/>
            <w:left w:val="none" w:sz="0" w:space="0" w:color="auto"/>
            <w:bottom w:val="none" w:sz="0" w:space="0" w:color="auto"/>
            <w:right w:val="none" w:sz="0" w:space="0" w:color="auto"/>
          </w:divBdr>
        </w:div>
        <w:div w:id="331184767">
          <w:marLeft w:val="0"/>
          <w:marRight w:val="0"/>
          <w:marTop w:val="0"/>
          <w:marBottom w:val="0"/>
          <w:divBdr>
            <w:top w:val="none" w:sz="0" w:space="0" w:color="auto"/>
            <w:left w:val="none" w:sz="0" w:space="0" w:color="auto"/>
            <w:bottom w:val="none" w:sz="0" w:space="0" w:color="auto"/>
            <w:right w:val="none" w:sz="0" w:space="0" w:color="auto"/>
          </w:divBdr>
        </w:div>
        <w:div w:id="346754502">
          <w:marLeft w:val="0"/>
          <w:marRight w:val="0"/>
          <w:marTop w:val="0"/>
          <w:marBottom w:val="0"/>
          <w:divBdr>
            <w:top w:val="none" w:sz="0" w:space="0" w:color="auto"/>
            <w:left w:val="none" w:sz="0" w:space="0" w:color="auto"/>
            <w:bottom w:val="none" w:sz="0" w:space="0" w:color="auto"/>
            <w:right w:val="none" w:sz="0" w:space="0" w:color="auto"/>
          </w:divBdr>
        </w:div>
        <w:div w:id="88856851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s://article-4-3.html"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article-3-4.html" TargetMode="External"/><Relationship Id="rId5" Type="http://schemas.openxmlformats.org/officeDocument/2006/relationships/hyperlink" Target="https://article-3-4.html" TargetMode="Externa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5</Pages>
  <Words>1462</Words>
  <Characters>8338</Characters>
  <Application>Microsoft Office Word</Application>
  <DocSecurity>0</DocSecurity>
  <Lines>69</Lines>
  <Paragraphs>19</Paragraphs>
  <ScaleCrop>false</ScaleCrop>
  <Company/>
  <LinksUpToDate>false</LinksUpToDate>
  <CharactersWithSpaces>9781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Theophil Christian</dc:creator>
  <cp:keywords/>
  <dc:description/>
  <cp:lastModifiedBy>Theophil Christian</cp:lastModifiedBy>
  <cp:revision>1</cp:revision>
  <dcterms:created xsi:type="dcterms:W3CDTF">2026-07-07T00:04:00Z</dcterms:created>
  <dcterms:modified xsi:type="dcterms:W3CDTF">2026-07-07T00:05:00Z</dcterms:modified>
</cp:coreProperties>
</file>