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0384" w14:textId="77777777" w:rsidR="004457C7" w:rsidRPr="004457C7" w:rsidRDefault="004457C7" w:rsidP="004457C7">
      <w:pPr>
        <w:rPr>
          <w:b/>
          <w:bCs/>
        </w:rPr>
      </w:pPr>
      <w:r w:rsidRPr="004457C7">
        <w:rPr>
          <w:b/>
          <w:bCs/>
        </w:rPr>
        <w:t>Daily DSE Wrap | Thursday, 6th August 2026</w:t>
      </w:r>
    </w:p>
    <w:p w14:paraId="32319068" w14:textId="77777777" w:rsidR="004457C7" w:rsidRPr="004457C7" w:rsidRDefault="004457C7" w:rsidP="004457C7">
      <w:r w:rsidRPr="004457C7">
        <w:rPr>
          <w:b/>
          <w:bCs/>
        </w:rPr>
        <w:t>Institutional Blocks Keep the Wheels Turning as the Market Consolidates Quietly</w:t>
      </w:r>
    </w:p>
    <w:p w14:paraId="327DBB20" w14:textId="77777777" w:rsidR="004457C7" w:rsidRPr="004457C7" w:rsidRDefault="004457C7" w:rsidP="004457C7">
      <w:r w:rsidRPr="004457C7">
        <w:t>The Dar es Salaam Stock Exchange drifted sideways on Thursday, with the All</w:t>
      </w:r>
      <w:r w:rsidRPr="004457C7">
        <w:noBreakHyphen/>
        <w:t>Share Index edging fractionally lower. But beneath the calm surface, two large pre</w:t>
      </w:r>
      <w:r w:rsidRPr="004457C7">
        <w:noBreakHyphen/>
        <w:t>arranged block trades — one in CRDB and another in VODA — showed that large investors continue to reposition their holdings. The session was a textbook example of a market that has absorbed the drama of July and is now operating at a steady, measured pace.</w:t>
      </w:r>
    </w:p>
    <w:p w14:paraId="1C809032" w14:textId="77777777" w:rsidR="004457C7" w:rsidRPr="004457C7" w:rsidRDefault="004457C7" w:rsidP="004457C7">
      <w:r w:rsidRPr="004457C7">
        <w:pict w14:anchorId="77B4BB7B">
          <v:rect id="_x0000_i1079" style="width:0;height:.75pt" o:hralign="center" o:hrstd="t" o:hr="t" fillcolor="#a0a0a0" stroked="f"/>
        </w:pict>
      </w:r>
    </w:p>
    <w:p w14:paraId="0B289247" w14:textId="77777777" w:rsidR="004457C7" w:rsidRPr="004457C7" w:rsidRDefault="004457C7" w:rsidP="004457C7">
      <w:pPr>
        <w:rPr>
          <w:b/>
          <w:bCs/>
        </w:rPr>
      </w:pPr>
      <w:r w:rsidRPr="004457C7">
        <w:rPr>
          <w:b/>
          <w:bCs/>
        </w:rPr>
        <w:t>1. Market Snapshot</w:t>
      </w:r>
    </w:p>
    <w:tbl>
      <w:tblPr>
        <w:tblW w:w="0" w:type="auto"/>
        <w:tblCellMar>
          <w:top w:w="15" w:type="dxa"/>
          <w:left w:w="15" w:type="dxa"/>
          <w:bottom w:w="15" w:type="dxa"/>
          <w:right w:w="15" w:type="dxa"/>
        </w:tblCellMar>
        <w:tblLook w:val="04A0" w:firstRow="1" w:lastRow="0" w:firstColumn="1" w:lastColumn="0" w:noHBand="0" w:noVBand="1"/>
      </w:tblPr>
      <w:tblGrid>
        <w:gridCol w:w="1929"/>
        <w:gridCol w:w="2310"/>
        <w:gridCol w:w="2043"/>
        <w:gridCol w:w="2114"/>
      </w:tblGrid>
      <w:tr w:rsidR="004457C7" w:rsidRPr="004457C7" w14:paraId="7B366F0F" w14:textId="77777777">
        <w:trPr>
          <w:tblHeader/>
        </w:trPr>
        <w:tc>
          <w:tcPr>
            <w:tcW w:w="0" w:type="auto"/>
            <w:tcBorders>
              <w:top w:val="nil"/>
            </w:tcBorders>
            <w:tcMar>
              <w:top w:w="150" w:type="dxa"/>
              <w:left w:w="0" w:type="dxa"/>
              <w:bottom w:w="150" w:type="dxa"/>
              <w:right w:w="240" w:type="dxa"/>
            </w:tcMar>
            <w:vAlign w:val="center"/>
            <w:hideMark/>
          </w:tcPr>
          <w:p w14:paraId="2E80658A" w14:textId="77777777" w:rsidR="004457C7" w:rsidRPr="004457C7" w:rsidRDefault="004457C7" w:rsidP="004457C7">
            <w:r w:rsidRPr="004457C7">
              <w:t>Metric</w:t>
            </w:r>
          </w:p>
        </w:tc>
        <w:tc>
          <w:tcPr>
            <w:tcW w:w="0" w:type="auto"/>
            <w:tcBorders>
              <w:top w:val="nil"/>
            </w:tcBorders>
            <w:tcMar>
              <w:top w:w="150" w:type="dxa"/>
              <w:left w:w="240" w:type="dxa"/>
              <w:bottom w:w="150" w:type="dxa"/>
              <w:right w:w="240" w:type="dxa"/>
            </w:tcMar>
            <w:vAlign w:val="center"/>
            <w:hideMark/>
          </w:tcPr>
          <w:p w14:paraId="0EC43E5F" w14:textId="77777777" w:rsidR="004457C7" w:rsidRPr="004457C7" w:rsidRDefault="004457C7" w:rsidP="004457C7">
            <w:r w:rsidRPr="004457C7">
              <w:t>Wednesday 5 Aug</w:t>
            </w:r>
          </w:p>
        </w:tc>
        <w:tc>
          <w:tcPr>
            <w:tcW w:w="0" w:type="auto"/>
            <w:tcBorders>
              <w:top w:val="nil"/>
            </w:tcBorders>
            <w:tcMar>
              <w:top w:w="150" w:type="dxa"/>
              <w:left w:w="240" w:type="dxa"/>
              <w:bottom w:w="150" w:type="dxa"/>
              <w:right w:w="240" w:type="dxa"/>
            </w:tcMar>
            <w:vAlign w:val="center"/>
            <w:hideMark/>
          </w:tcPr>
          <w:p w14:paraId="199970D2" w14:textId="77777777" w:rsidR="004457C7" w:rsidRPr="004457C7" w:rsidRDefault="004457C7" w:rsidP="004457C7">
            <w:r w:rsidRPr="004457C7">
              <w:t>Thursday 6 Aug</w:t>
            </w:r>
          </w:p>
        </w:tc>
        <w:tc>
          <w:tcPr>
            <w:tcW w:w="0" w:type="auto"/>
            <w:tcBorders>
              <w:top w:val="nil"/>
            </w:tcBorders>
            <w:tcMar>
              <w:top w:w="150" w:type="dxa"/>
              <w:left w:w="240" w:type="dxa"/>
              <w:bottom w:w="150" w:type="dxa"/>
              <w:right w:w="240" w:type="dxa"/>
            </w:tcMar>
            <w:vAlign w:val="center"/>
            <w:hideMark/>
          </w:tcPr>
          <w:p w14:paraId="2E89E582" w14:textId="77777777" w:rsidR="004457C7" w:rsidRPr="004457C7" w:rsidRDefault="004457C7" w:rsidP="004457C7">
            <w:r w:rsidRPr="004457C7">
              <w:t>Change</w:t>
            </w:r>
          </w:p>
        </w:tc>
      </w:tr>
      <w:tr w:rsidR="004457C7" w:rsidRPr="004457C7" w14:paraId="08CBEC6F" w14:textId="77777777">
        <w:tc>
          <w:tcPr>
            <w:tcW w:w="0" w:type="auto"/>
            <w:tcMar>
              <w:top w:w="150" w:type="dxa"/>
              <w:left w:w="0" w:type="dxa"/>
              <w:bottom w:w="150" w:type="dxa"/>
              <w:right w:w="240" w:type="dxa"/>
            </w:tcMar>
            <w:vAlign w:val="center"/>
            <w:hideMark/>
          </w:tcPr>
          <w:p w14:paraId="724F938C" w14:textId="77777777" w:rsidR="004457C7" w:rsidRPr="004457C7" w:rsidRDefault="004457C7" w:rsidP="004457C7">
            <w:r w:rsidRPr="004457C7">
              <w:rPr>
                <w:b/>
                <w:bCs/>
              </w:rPr>
              <w:t>DSEI</w:t>
            </w:r>
          </w:p>
        </w:tc>
        <w:tc>
          <w:tcPr>
            <w:tcW w:w="0" w:type="auto"/>
            <w:tcMar>
              <w:top w:w="150" w:type="dxa"/>
              <w:left w:w="240" w:type="dxa"/>
              <w:bottom w:w="150" w:type="dxa"/>
              <w:right w:w="240" w:type="dxa"/>
            </w:tcMar>
            <w:vAlign w:val="center"/>
            <w:hideMark/>
          </w:tcPr>
          <w:p w14:paraId="71DC60DC" w14:textId="77777777" w:rsidR="004457C7" w:rsidRPr="004457C7" w:rsidRDefault="004457C7" w:rsidP="004457C7">
            <w:r w:rsidRPr="004457C7">
              <w:t>4,188.97</w:t>
            </w:r>
          </w:p>
        </w:tc>
        <w:tc>
          <w:tcPr>
            <w:tcW w:w="0" w:type="auto"/>
            <w:tcMar>
              <w:top w:w="150" w:type="dxa"/>
              <w:left w:w="240" w:type="dxa"/>
              <w:bottom w:w="150" w:type="dxa"/>
              <w:right w:w="240" w:type="dxa"/>
            </w:tcMar>
            <w:vAlign w:val="center"/>
            <w:hideMark/>
          </w:tcPr>
          <w:p w14:paraId="2E7CD3A1" w14:textId="77777777" w:rsidR="004457C7" w:rsidRPr="004457C7" w:rsidRDefault="004457C7" w:rsidP="004457C7">
            <w:r w:rsidRPr="004457C7">
              <w:rPr>
                <w:b/>
                <w:bCs/>
              </w:rPr>
              <w:t>4,177.51</w:t>
            </w:r>
          </w:p>
        </w:tc>
        <w:tc>
          <w:tcPr>
            <w:tcW w:w="0" w:type="auto"/>
            <w:tcMar>
              <w:top w:w="150" w:type="dxa"/>
              <w:left w:w="240" w:type="dxa"/>
              <w:bottom w:w="150" w:type="dxa"/>
              <w:right w:w="0" w:type="dxa"/>
            </w:tcMar>
            <w:vAlign w:val="center"/>
            <w:hideMark/>
          </w:tcPr>
          <w:p w14:paraId="05CF9D23" w14:textId="77777777" w:rsidR="004457C7" w:rsidRPr="004457C7" w:rsidRDefault="004457C7" w:rsidP="004457C7">
            <w:r w:rsidRPr="004457C7">
              <w:t>–11.46 pts (–0.3%)</w:t>
            </w:r>
          </w:p>
        </w:tc>
      </w:tr>
      <w:tr w:rsidR="004457C7" w:rsidRPr="004457C7" w14:paraId="444800CD" w14:textId="77777777">
        <w:tc>
          <w:tcPr>
            <w:tcW w:w="0" w:type="auto"/>
            <w:tcMar>
              <w:top w:w="150" w:type="dxa"/>
              <w:left w:w="0" w:type="dxa"/>
              <w:bottom w:w="150" w:type="dxa"/>
              <w:right w:w="240" w:type="dxa"/>
            </w:tcMar>
            <w:vAlign w:val="center"/>
            <w:hideMark/>
          </w:tcPr>
          <w:p w14:paraId="123A11F4" w14:textId="77777777" w:rsidR="004457C7" w:rsidRPr="004457C7" w:rsidRDefault="004457C7" w:rsidP="004457C7">
            <w:r w:rsidRPr="004457C7">
              <w:rPr>
                <w:b/>
                <w:bCs/>
              </w:rPr>
              <w:t>TSI</w:t>
            </w:r>
          </w:p>
        </w:tc>
        <w:tc>
          <w:tcPr>
            <w:tcW w:w="0" w:type="auto"/>
            <w:tcMar>
              <w:top w:w="150" w:type="dxa"/>
              <w:left w:w="240" w:type="dxa"/>
              <w:bottom w:w="150" w:type="dxa"/>
              <w:right w:w="240" w:type="dxa"/>
            </w:tcMar>
            <w:vAlign w:val="center"/>
            <w:hideMark/>
          </w:tcPr>
          <w:p w14:paraId="58CF76E2" w14:textId="77777777" w:rsidR="004457C7" w:rsidRPr="004457C7" w:rsidRDefault="004457C7" w:rsidP="004457C7">
            <w:r w:rsidRPr="004457C7">
              <w:t>9,173.10</w:t>
            </w:r>
          </w:p>
        </w:tc>
        <w:tc>
          <w:tcPr>
            <w:tcW w:w="0" w:type="auto"/>
            <w:tcMar>
              <w:top w:w="150" w:type="dxa"/>
              <w:left w:w="240" w:type="dxa"/>
              <w:bottom w:w="150" w:type="dxa"/>
              <w:right w:w="240" w:type="dxa"/>
            </w:tcMar>
            <w:vAlign w:val="center"/>
            <w:hideMark/>
          </w:tcPr>
          <w:p w14:paraId="2A10B39D" w14:textId="77777777" w:rsidR="004457C7" w:rsidRPr="004457C7" w:rsidRDefault="004457C7" w:rsidP="004457C7">
            <w:r w:rsidRPr="004457C7">
              <w:rPr>
                <w:b/>
                <w:bCs/>
              </w:rPr>
              <w:t>9,187.64</w:t>
            </w:r>
          </w:p>
        </w:tc>
        <w:tc>
          <w:tcPr>
            <w:tcW w:w="0" w:type="auto"/>
            <w:tcMar>
              <w:top w:w="150" w:type="dxa"/>
              <w:left w:w="240" w:type="dxa"/>
              <w:bottom w:w="150" w:type="dxa"/>
              <w:right w:w="0" w:type="dxa"/>
            </w:tcMar>
            <w:vAlign w:val="center"/>
            <w:hideMark/>
          </w:tcPr>
          <w:p w14:paraId="5DC75D02" w14:textId="77777777" w:rsidR="004457C7" w:rsidRPr="004457C7" w:rsidRDefault="004457C7" w:rsidP="004457C7">
            <w:r w:rsidRPr="004457C7">
              <w:t>+14.54 pts</w:t>
            </w:r>
          </w:p>
        </w:tc>
      </w:tr>
      <w:tr w:rsidR="004457C7" w:rsidRPr="004457C7" w14:paraId="195156BA" w14:textId="77777777">
        <w:tc>
          <w:tcPr>
            <w:tcW w:w="0" w:type="auto"/>
            <w:tcMar>
              <w:top w:w="150" w:type="dxa"/>
              <w:left w:w="0" w:type="dxa"/>
              <w:bottom w:w="150" w:type="dxa"/>
              <w:right w:w="240" w:type="dxa"/>
            </w:tcMar>
            <w:vAlign w:val="center"/>
            <w:hideMark/>
          </w:tcPr>
          <w:p w14:paraId="1953819B" w14:textId="77777777" w:rsidR="004457C7" w:rsidRPr="004457C7" w:rsidRDefault="004457C7" w:rsidP="004457C7">
            <w:r w:rsidRPr="004457C7">
              <w:rPr>
                <w:b/>
                <w:bCs/>
              </w:rPr>
              <w:t>Equity Turnover</w:t>
            </w:r>
          </w:p>
        </w:tc>
        <w:tc>
          <w:tcPr>
            <w:tcW w:w="0" w:type="auto"/>
            <w:tcMar>
              <w:top w:w="150" w:type="dxa"/>
              <w:left w:w="240" w:type="dxa"/>
              <w:bottom w:w="150" w:type="dxa"/>
              <w:right w:w="240" w:type="dxa"/>
            </w:tcMar>
            <w:vAlign w:val="center"/>
            <w:hideMark/>
          </w:tcPr>
          <w:p w14:paraId="339FD593" w14:textId="77777777" w:rsidR="004457C7" w:rsidRPr="004457C7" w:rsidRDefault="004457C7" w:rsidP="004457C7">
            <w:r w:rsidRPr="004457C7">
              <w:t>TZS 4.53 bn</w:t>
            </w:r>
          </w:p>
        </w:tc>
        <w:tc>
          <w:tcPr>
            <w:tcW w:w="0" w:type="auto"/>
            <w:tcMar>
              <w:top w:w="150" w:type="dxa"/>
              <w:left w:w="240" w:type="dxa"/>
              <w:bottom w:w="150" w:type="dxa"/>
              <w:right w:w="240" w:type="dxa"/>
            </w:tcMar>
            <w:vAlign w:val="center"/>
            <w:hideMark/>
          </w:tcPr>
          <w:p w14:paraId="15D14012" w14:textId="77777777" w:rsidR="004457C7" w:rsidRPr="004457C7" w:rsidRDefault="004457C7" w:rsidP="004457C7">
            <w:r w:rsidRPr="004457C7">
              <w:rPr>
                <w:b/>
                <w:bCs/>
              </w:rPr>
              <w:t>TZS 3.83 bn</w:t>
            </w:r>
          </w:p>
        </w:tc>
        <w:tc>
          <w:tcPr>
            <w:tcW w:w="0" w:type="auto"/>
            <w:tcMar>
              <w:top w:w="150" w:type="dxa"/>
              <w:left w:w="240" w:type="dxa"/>
              <w:bottom w:w="150" w:type="dxa"/>
              <w:right w:w="0" w:type="dxa"/>
            </w:tcMar>
            <w:vAlign w:val="center"/>
            <w:hideMark/>
          </w:tcPr>
          <w:p w14:paraId="1793B9F3" w14:textId="77777777" w:rsidR="004457C7" w:rsidRPr="004457C7" w:rsidRDefault="004457C7" w:rsidP="004457C7">
            <w:r w:rsidRPr="004457C7">
              <w:t>–15.4%</w:t>
            </w:r>
          </w:p>
        </w:tc>
      </w:tr>
      <w:tr w:rsidR="004457C7" w:rsidRPr="004457C7" w14:paraId="43C527B9" w14:textId="77777777">
        <w:tc>
          <w:tcPr>
            <w:tcW w:w="0" w:type="auto"/>
            <w:tcMar>
              <w:top w:w="150" w:type="dxa"/>
              <w:left w:w="0" w:type="dxa"/>
              <w:bottom w:w="150" w:type="dxa"/>
              <w:right w:w="240" w:type="dxa"/>
            </w:tcMar>
            <w:vAlign w:val="center"/>
            <w:hideMark/>
          </w:tcPr>
          <w:p w14:paraId="6078E0EE" w14:textId="77777777" w:rsidR="004457C7" w:rsidRPr="004457C7" w:rsidRDefault="004457C7" w:rsidP="004457C7">
            <w:r w:rsidRPr="004457C7">
              <w:rPr>
                <w:b/>
                <w:bCs/>
              </w:rPr>
              <w:t>Shares Traded</w:t>
            </w:r>
          </w:p>
        </w:tc>
        <w:tc>
          <w:tcPr>
            <w:tcW w:w="0" w:type="auto"/>
            <w:tcMar>
              <w:top w:w="150" w:type="dxa"/>
              <w:left w:w="240" w:type="dxa"/>
              <w:bottom w:w="150" w:type="dxa"/>
              <w:right w:w="240" w:type="dxa"/>
            </w:tcMar>
            <w:vAlign w:val="center"/>
            <w:hideMark/>
          </w:tcPr>
          <w:p w14:paraId="1859EF9E" w14:textId="77777777" w:rsidR="004457C7" w:rsidRPr="004457C7" w:rsidRDefault="004457C7" w:rsidP="004457C7">
            <w:r w:rsidRPr="004457C7">
              <w:t>1,002,056</w:t>
            </w:r>
          </w:p>
        </w:tc>
        <w:tc>
          <w:tcPr>
            <w:tcW w:w="0" w:type="auto"/>
            <w:tcMar>
              <w:top w:w="150" w:type="dxa"/>
              <w:left w:w="240" w:type="dxa"/>
              <w:bottom w:w="150" w:type="dxa"/>
              <w:right w:w="240" w:type="dxa"/>
            </w:tcMar>
            <w:vAlign w:val="center"/>
            <w:hideMark/>
          </w:tcPr>
          <w:p w14:paraId="4D4A3C1E" w14:textId="77777777" w:rsidR="004457C7" w:rsidRPr="004457C7" w:rsidRDefault="004457C7" w:rsidP="004457C7">
            <w:r w:rsidRPr="004457C7">
              <w:rPr>
                <w:b/>
                <w:bCs/>
              </w:rPr>
              <w:t>1,653,888</w:t>
            </w:r>
          </w:p>
        </w:tc>
        <w:tc>
          <w:tcPr>
            <w:tcW w:w="0" w:type="auto"/>
            <w:tcMar>
              <w:top w:w="150" w:type="dxa"/>
              <w:left w:w="240" w:type="dxa"/>
              <w:bottom w:w="150" w:type="dxa"/>
              <w:right w:w="0" w:type="dxa"/>
            </w:tcMar>
            <w:vAlign w:val="center"/>
            <w:hideMark/>
          </w:tcPr>
          <w:p w14:paraId="33F11BD2" w14:textId="77777777" w:rsidR="004457C7" w:rsidRPr="004457C7" w:rsidRDefault="004457C7" w:rsidP="004457C7">
            <w:r w:rsidRPr="004457C7">
              <w:t>+65.0%</w:t>
            </w:r>
          </w:p>
        </w:tc>
      </w:tr>
      <w:tr w:rsidR="004457C7" w:rsidRPr="004457C7" w14:paraId="160B4637" w14:textId="77777777">
        <w:tc>
          <w:tcPr>
            <w:tcW w:w="0" w:type="auto"/>
            <w:tcMar>
              <w:top w:w="150" w:type="dxa"/>
              <w:left w:w="0" w:type="dxa"/>
              <w:bottom w:w="150" w:type="dxa"/>
              <w:right w:w="240" w:type="dxa"/>
            </w:tcMar>
            <w:vAlign w:val="center"/>
            <w:hideMark/>
          </w:tcPr>
          <w:p w14:paraId="7D91B547" w14:textId="77777777" w:rsidR="004457C7" w:rsidRPr="004457C7" w:rsidRDefault="004457C7" w:rsidP="004457C7">
            <w:r w:rsidRPr="004457C7">
              <w:rPr>
                <w:b/>
                <w:bCs/>
              </w:rPr>
              <w:t>Deals</w:t>
            </w:r>
          </w:p>
        </w:tc>
        <w:tc>
          <w:tcPr>
            <w:tcW w:w="0" w:type="auto"/>
            <w:tcMar>
              <w:top w:w="150" w:type="dxa"/>
              <w:left w:w="240" w:type="dxa"/>
              <w:bottom w:w="150" w:type="dxa"/>
              <w:right w:w="240" w:type="dxa"/>
            </w:tcMar>
            <w:vAlign w:val="center"/>
            <w:hideMark/>
          </w:tcPr>
          <w:p w14:paraId="59E45329" w14:textId="77777777" w:rsidR="004457C7" w:rsidRPr="004457C7" w:rsidRDefault="004457C7" w:rsidP="004457C7">
            <w:r w:rsidRPr="004457C7">
              <w:t>2,692</w:t>
            </w:r>
          </w:p>
        </w:tc>
        <w:tc>
          <w:tcPr>
            <w:tcW w:w="0" w:type="auto"/>
            <w:tcMar>
              <w:top w:w="150" w:type="dxa"/>
              <w:left w:w="240" w:type="dxa"/>
              <w:bottom w:w="150" w:type="dxa"/>
              <w:right w:w="240" w:type="dxa"/>
            </w:tcMar>
            <w:vAlign w:val="center"/>
            <w:hideMark/>
          </w:tcPr>
          <w:p w14:paraId="27573B2A" w14:textId="77777777" w:rsidR="004457C7" w:rsidRPr="004457C7" w:rsidRDefault="004457C7" w:rsidP="004457C7">
            <w:r w:rsidRPr="004457C7">
              <w:rPr>
                <w:b/>
                <w:bCs/>
              </w:rPr>
              <w:t>2,897</w:t>
            </w:r>
          </w:p>
        </w:tc>
        <w:tc>
          <w:tcPr>
            <w:tcW w:w="0" w:type="auto"/>
            <w:tcMar>
              <w:top w:w="150" w:type="dxa"/>
              <w:left w:w="240" w:type="dxa"/>
              <w:bottom w:w="150" w:type="dxa"/>
              <w:right w:w="0" w:type="dxa"/>
            </w:tcMar>
            <w:vAlign w:val="center"/>
            <w:hideMark/>
          </w:tcPr>
          <w:p w14:paraId="588589FB" w14:textId="77777777" w:rsidR="004457C7" w:rsidRPr="004457C7" w:rsidRDefault="004457C7" w:rsidP="004457C7">
            <w:r w:rsidRPr="004457C7">
              <w:t>+7.6%</w:t>
            </w:r>
          </w:p>
        </w:tc>
      </w:tr>
      <w:tr w:rsidR="004457C7" w:rsidRPr="004457C7" w14:paraId="4E3E79D6" w14:textId="77777777">
        <w:tc>
          <w:tcPr>
            <w:tcW w:w="0" w:type="auto"/>
            <w:tcMar>
              <w:top w:w="150" w:type="dxa"/>
              <w:left w:w="0" w:type="dxa"/>
              <w:bottom w:w="150" w:type="dxa"/>
              <w:right w:w="240" w:type="dxa"/>
            </w:tcMar>
            <w:vAlign w:val="center"/>
            <w:hideMark/>
          </w:tcPr>
          <w:p w14:paraId="49917243" w14:textId="77777777" w:rsidR="004457C7" w:rsidRPr="004457C7" w:rsidRDefault="004457C7" w:rsidP="004457C7">
            <w:r w:rsidRPr="004457C7">
              <w:rPr>
                <w:b/>
                <w:bCs/>
              </w:rPr>
              <w:t>Bond Turnover</w:t>
            </w:r>
          </w:p>
        </w:tc>
        <w:tc>
          <w:tcPr>
            <w:tcW w:w="0" w:type="auto"/>
            <w:tcMar>
              <w:top w:w="150" w:type="dxa"/>
              <w:left w:w="240" w:type="dxa"/>
              <w:bottom w:w="150" w:type="dxa"/>
              <w:right w:w="240" w:type="dxa"/>
            </w:tcMar>
            <w:vAlign w:val="center"/>
            <w:hideMark/>
          </w:tcPr>
          <w:p w14:paraId="6BD95CB6" w14:textId="77777777" w:rsidR="004457C7" w:rsidRPr="004457C7" w:rsidRDefault="004457C7" w:rsidP="004457C7">
            <w:r w:rsidRPr="004457C7">
              <w:t>TZS 3.51 bn</w:t>
            </w:r>
          </w:p>
        </w:tc>
        <w:tc>
          <w:tcPr>
            <w:tcW w:w="0" w:type="auto"/>
            <w:tcMar>
              <w:top w:w="150" w:type="dxa"/>
              <w:left w:w="240" w:type="dxa"/>
              <w:bottom w:w="150" w:type="dxa"/>
              <w:right w:w="240" w:type="dxa"/>
            </w:tcMar>
            <w:vAlign w:val="center"/>
            <w:hideMark/>
          </w:tcPr>
          <w:p w14:paraId="0CC6B34C" w14:textId="77777777" w:rsidR="004457C7" w:rsidRPr="004457C7" w:rsidRDefault="004457C7" w:rsidP="004457C7">
            <w:r w:rsidRPr="004457C7">
              <w:rPr>
                <w:b/>
                <w:bCs/>
              </w:rPr>
              <w:t>TZS 12.47 bn</w:t>
            </w:r>
          </w:p>
        </w:tc>
        <w:tc>
          <w:tcPr>
            <w:tcW w:w="0" w:type="auto"/>
            <w:tcMar>
              <w:top w:w="150" w:type="dxa"/>
              <w:left w:w="240" w:type="dxa"/>
              <w:bottom w:w="150" w:type="dxa"/>
              <w:right w:w="0" w:type="dxa"/>
            </w:tcMar>
            <w:vAlign w:val="center"/>
            <w:hideMark/>
          </w:tcPr>
          <w:p w14:paraId="3DD923C8" w14:textId="77777777" w:rsidR="004457C7" w:rsidRPr="004457C7" w:rsidRDefault="004457C7" w:rsidP="004457C7">
            <w:r w:rsidRPr="004457C7">
              <w:t>+255.2%</w:t>
            </w:r>
          </w:p>
        </w:tc>
      </w:tr>
      <w:tr w:rsidR="004457C7" w:rsidRPr="004457C7" w14:paraId="5212C401" w14:textId="77777777">
        <w:tc>
          <w:tcPr>
            <w:tcW w:w="0" w:type="auto"/>
            <w:tcMar>
              <w:top w:w="150" w:type="dxa"/>
              <w:left w:w="0" w:type="dxa"/>
              <w:bottom w:w="150" w:type="dxa"/>
              <w:right w:w="240" w:type="dxa"/>
            </w:tcMar>
            <w:vAlign w:val="center"/>
            <w:hideMark/>
          </w:tcPr>
          <w:p w14:paraId="4DD4D9D6" w14:textId="77777777" w:rsidR="004457C7" w:rsidRPr="004457C7" w:rsidRDefault="004457C7" w:rsidP="004457C7">
            <w:r w:rsidRPr="004457C7">
              <w:rPr>
                <w:b/>
                <w:bCs/>
              </w:rPr>
              <w:t>ETF Turnover</w:t>
            </w:r>
          </w:p>
        </w:tc>
        <w:tc>
          <w:tcPr>
            <w:tcW w:w="0" w:type="auto"/>
            <w:tcMar>
              <w:top w:w="150" w:type="dxa"/>
              <w:left w:w="240" w:type="dxa"/>
              <w:bottom w:w="150" w:type="dxa"/>
              <w:right w:w="240" w:type="dxa"/>
            </w:tcMar>
            <w:vAlign w:val="center"/>
            <w:hideMark/>
          </w:tcPr>
          <w:p w14:paraId="79B5D170" w14:textId="77777777" w:rsidR="004457C7" w:rsidRPr="004457C7" w:rsidRDefault="004457C7" w:rsidP="004457C7">
            <w:r w:rsidRPr="004457C7">
              <w:t>TZS 3.22 bn</w:t>
            </w:r>
          </w:p>
        </w:tc>
        <w:tc>
          <w:tcPr>
            <w:tcW w:w="0" w:type="auto"/>
            <w:tcMar>
              <w:top w:w="150" w:type="dxa"/>
              <w:left w:w="240" w:type="dxa"/>
              <w:bottom w:w="150" w:type="dxa"/>
              <w:right w:w="240" w:type="dxa"/>
            </w:tcMar>
            <w:vAlign w:val="center"/>
            <w:hideMark/>
          </w:tcPr>
          <w:p w14:paraId="4F30A8B4" w14:textId="77777777" w:rsidR="004457C7" w:rsidRPr="004457C7" w:rsidRDefault="004457C7" w:rsidP="004457C7">
            <w:r w:rsidRPr="004457C7">
              <w:rPr>
                <w:b/>
                <w:bCs/>
              </w:rPr>
              <w:t>TZS 0.14 bn</w:t>
            </w:r>
          </w:p>
        </w:tc>
        <w:tc>
          <w:tcPr>
            <w:tcW w:w="0" w:type="auto"/>
            <w:tcMar>
              <w:top w:w="150" w:type="dxa"/>
              <w:left w:w="240" w:type="dxa"/>
              <w:bottom w:w="150" w:type="dxa"/>
              <w:right w:w="0" w:type="dxa"/>
            </w:tcMar>
            <w:vAlign w:val="center"/>
            <w:hideMark/>
          </w:tcPr>
          <w:p w14:paraId="18C4D457" w14:textId="77777777" w:rsidR="004457C7" w:rsidRPr="004457C7" w:rsidRDefault="004457C7" w:rsidP="004457C7">
            <w:r w:rsidRPr="004457C7">
              <w:t>–95.7%</w:t>
            </w:r>
          </w:p>
        </w:tc>
      </w:tr>
      <w:tr w:rsidR="004457C7" w:rsidRPr="004457C7" w14:paraId="375E52CC" w14:textId="77777777">
        <w:tc>
          <w:tcPr>
            <w:tcW w:w="0" w:type="auto"/>
            <w:tcMar>
              <w:top w:w="150" w:type="dxa"/>
              <w:left w:w="0" w:type="dxa"/>
              <w:bottom w:w="150" w:type="dxa"/>
              <w:right w:w="240" w:type="dxa"/>
            </w:tcMar>
            <w:vAlign w:val="center"/>
            <w:hideMark/>
          </w:tcPr>
          <w:p w14:paraId="34F62F42" w14:textId="77777777" w:rsidR="004457C7" w:rsidRPr="004457C7" w:rsidRDefault="004457C7" w:rsidP="004457C7">
            <w:r w:rsidRPr="004457C7">
              <w:rPr>
                <w:b/>
                <w:bCs/>
              </w:rPr>
              <w:t>Foreign Buying</w:t>
            </w:r>
          </w:p>
        </w:tc>
        <w:tc>
          <w:tcPr>
            <w:tcW w:w="0" w:type="auto"/>
            <w:tcMar>
              <w:top w:w="150" w:type="dxa"/>
              <w:left w:w="240" w:type="dxa"/>
              <w:bottom w:w="150" w:type="dxa"/>
              <w:right w:w="240" w:type="dxa"/>
            </w:tcMar>
            <w:vAlign w:val="center"/>
            <w:hideMark/>
          </w:tcPr>
          <w:p w14:paraId="637FC919" w14:textId="77777777" w:rsidR="004457C7" w:rsidRPr="004457C7" w:rsidRDefault="004457C7" w:rsidP="004457C7">
            <w:r w:rsidRPr="004457C7">
              <w:t>0.47%</w:t>
            </w:r>
          </w:p>
        </w:tc>
        <w:tc>
          <w:tcPr>
            <w:tcW w:w="0" w:type="auto"/>
            <w:tcMar>
              <w:top w:w="150" w:type="dxa"/>
              <w:left w:w="240" w:type="dxa"/>
              <w:bottom w:w="150" w:type="dxa"/>
              <w:right w:w="240" w:type="dxa"/>
            </w:tcMar>
            <w:vAlign w:val="center"/>
            <w:hideMark/>
          </w:tcPr>
          <w:p w14:paraId="3852A0EB" w14:textId="77777777" w:rsidR="004457C7" w:rsidRPr="004457C7" w:rsidRDefault="004457C7" w:rsidP="004457C7">
            <w:r w:rsidRPr="004457C7">
              <w:rPr>
                <w:b/>
                <w:bCs/>
              </w:rPr>
              <w:t>0.77%</w:t>
            </w:r>
          </w:p>
        </w:tc>
        <w:tc>
          <w:tcPr>
            <w:tcW w:w="0" w:type="auto"/>
            <w:tcMar>
              <w:top w:w="150" w:type="dxa"/>
              <w:left w:w="240" w:type="dxa"/>
              <w:bottom w:w="150" w:type="dxa"/>
              <w:right w:w="0" w:type="dxa"/>
            </w:tcMar>
            <w:vAlign w:val="center"/>
            <w:hideMark/>
          </w:tcPr>
          <w:p w14:paraId="54F4333B" w14:textId="77777777" w:rsidR="004457C7" w:rsidRPr="004457C7" w:rsidRDefault="004457C7" w:rsidP="004457C7">
            <w:r w:rsidRPr="004457C7">
              <w:t>—</w:t>
            </w:r>
          </w:p>
        </w:tc>
      </w:tr>
      <w:tr w:rsidR="004457C7" w:rsidRPr="004457C7" w14:paraId="73E5FAB0" w14:textId="77777777">
        <w:tc>
          <w:tcPr>
            <w:tcW w:w="0" w:type="auto"/>
            <w:tcMar>
              <w:top w:w="150" w:type="dxa"/>
              <w:left w:w="0" w:type="dxa"/>
              <w:bottom w:w="150" w:type="dxa"/>
              <w:right w:w="240" w:type="dxa"/>
            </w:tcMar>
            <w:vAlign w:val="center"/>
            <w:hideMark/>
          </w:tcPr>
          <w:p w14:paraId="389B3952" w14:textId="77777777" w:rsidR="004457C7" w:rsidRPr="004457C7" w:rsidRDefault="004457C7" w:rsidP="004457C7">
            <w:r w:rsidRPr="004457C7">
              <w:rPr>
                <w:b/>
                <w:bCs/>
              </w:rPr>
              <w:t>Foreign Selling</w:t>
            </w:r>
          </w:p>
        </w:tc>
        <w:tc>
          <w:tcPr>
            <w:tcW w:w="0" w:type="auto"/>
            <w:tcMar>
              <w:top w:w="150" w:type="dxa"/>
              <w:left w:w="240" w:type="dxa"/>
              <w:bottom w:w="150" w:type="dxa"/>
              <w:right w:w="240" w:type="dxa"/>
            </w:tcMar>
            <w:vAlign w:val="center"/>
            <w:hideMark/>
          </w:tcPr>
          <w:p w14:paraId="35F2D721" w14:textId="77777777" w:rsidR="004457C7" w:rsidRPr="004457C7" w:rsidRDefault="004457C7" w:rsidP="004457C7">
            <w:r w:rsidRPr="004457C7">
              <w:t>2.72%</w:t>
            </w:r>
          </w:p>
        </w:tc>
        <w:tc>
          <w:tcPr>
            <w:tcW w:w="0" w:type="auto"/>
            <w:tcMar>
              <w:top w:w="150" w:type="dxa"/>
              <w:left w:w="240" w:type="dxa"/>
              <w:bottom w:w="150" w:type="dxa"/>
              <w:right w:w="240" w:type="dxa"/>
            </w:tcMar>
            <w:vAlign w:val="center"/>
            <w:hideMark/>
          </w:tcPr>
          <w:p w14:paraId="4033ECBF" w14:textId="77777777" w:rsidR="004457C7" w:rsidRPr="004457C7" w:rsidRDefault="004457C7" w:rsidP="004457C7">
            <w:r w:rsidRPr="004457C7">
              <w:rPr>
                <w:b/>
                <w:bCs/>
              </w:rPr>
              <w:t>0.05%</w:t>
            </w:r>
          </w:p>
        </w:tc>
        <w:tc>
          <w:tcPr>
            <w:tcW w:w="0" w:type="auto"/>
            <w:tcMar>
              <w:top w:w="150" w:type="dxa"/>
              <w:left w:w="240" w:type="dxa"/>
              <w:bottom w:w="150" w:type="dxa"/>
              <w:right w:w="0" w:type="dxa"/>
            </w:tcMar>
            <w:vAlign w:val="center"/>
            <w:hideMark/>
          </w:tcPr>
          <w:p w14:paraId="230E3A79" w14:textId="77777777" w:rsidR="004457C7" w:rsidRPr="004457C7" w:rsidRDefault="004457C7" w:rsidP="004457C7">
            <w:r w:rsidRPr="004457C7">
              <w:t>—</w:t>
            </w:r>
          </w:p>
        </w:tc>
      </w:tr>
    </w:tbl>
    <w:p w14:paraId="58CF1DC2" w14:textId="77777777" w:rsidR="004457C7" w:rsidRPr="004457C7" w:rsidRDefault="004457C7" w:rsidP="004457C7">
      <w:r w:rsidRPr="004457C7">
        <w:t xml:space="preserve">Regular equity turnover eased slightly, but the number of deals </w:t>
      </w:r>
      <w:proofErr w:type="gramStart"/>
      <w:r w:rsidRPr="004457C7">
        <w:t>actually rose</w:t>
      </w:r>
      <w:proofErr w:type="gramEnd"/>
      <w:r w:rsidRPr="004457C7">
        <w:t>, showing that small and mid</w:t>
      </w:r>
      <w:r w:rsidRPr="004457C7">
        <w:noBreakHyphen/>
        <w:t>sized investors remain engaged. The jump in traded volume was driven by two pre</w:t>
      </w:r>
      <w:r w:rsidRPr="004457C7">
        <w:noBreakHyphen/>
        <w:t>arranged block trades: </w:t>
      </w:r>
      <w:r w:rsidRPr="004457C7">
        <w:rPr>
          <w:b/>
          <w:bCs/>
        </w:rPr>
        <w:t>400,600 CRDB shares</w:t>
      </w:r>
      <w:r w:rsidRPr="004457C7">
        <w:t> (worth around TZS</w:t>
      </w:r>
      <w:r w:rsidRPr="004457C7">
        <w:rPr>
          <w:rFonts w:ascii="Arial" w:hAnsi="Arial" w:cs="Arial"/>
        </w:rPr>
        <w:t> </w:t>
      </w:r>
      <w:r w:rsidRPr="004457C7">
        <w:t>1.04</w:t>
      </w:r>
      <w:r w:rsidRPr="004457C7">
        <w:rPr>
          <w:rFonts w:ascii="Arial" w:hAnsi="Arial" w:cs="Arial"/>
        </w:rPr>
        <w:t> </w:t>
      </w:r>
      <w:r w:rsidRPr="004457C7">
        <w:t>billion) and</w:t>
      </w:r>
      <w:r w:rsidRPr="004457C7">
        <w:rPr>
          <w:rFonts w:ascii="Aptos" w:hAnsi="Aptos" w:cs="Aptos"/>
        </w:rPr>
        <w:t> </w:t>
      </w:r>
      <w:r w:rsidRPr="004457C7">
        <w:rPr>
          <w:b/>
          <w:bCs/>
        </w:rPr>
        <w:t>395,000 VODA shares</w:t>
      </w:r>
      <w:r w:rsidRPr="004457C7">
        <w:t> (roughly TZS</w:t>
      </w:r>
      <w:r w:rsidRPr="004457C7">
        <w:rPr>
          <w:rFonts w:ascii="Arial" w:hAnsi="Arial" w:cs="Arial"/>
        </w:rPr>
        <w:t> </w:t>
      </w:r>
      <w:r w:rsidRPr="004457C7">
        <w:t>399</w:t>
      </w:r>
      <w:r w:rsidRPr="004457C7">
        <w:rPr>
          <w:rFonts w:ascii="Arial" w:hAnsi="Arial" w:cs="Arial"/>
        </w:rPr>
        <w:t> </w:t>
      </w:r>
      <w:r w:rsidRPr="004457C7">
        <w:t>million). These blocks were executed privately between institutions and reported on the pre</w:t>
      </w:r>
      <w:r w:rsidRPr="004457C7">
        <w:noBreakHyphen/>
        <w:t>arranged board, meaning they did not flood the open market or cause sudden price swings.</w:t>
      </w:r>
    </w:p>
    <w:p w14:paraId="1CB58401" w14:textId="77777777" w:rsidR="004457C7" w:rsidRPr="004457C7" w:rsidRDefault="004457C7" w:rsidP="004457C7">
      <w:r w:rsidRPr="004457C7">
        <w:lastRenderedPageBreak/>
        <w:t>Foreign participation was almost invisible. Both buying and selling by international investors were negligible, confirming that the market is now firmly in the hands of local pension funds, retail traders, and proprietary desks. This is the new normal after July’s historic ownership transfers.</w:t>
      </w:r>
    </w:p>
    <w:p w14:paraId="7A95DCBF" w14:textId="77777777" w:rsidR="004457C7" w:rsidRPr="004457C7" w:rsidRDefault="004457C7" w:rsidP="004457C7">
      <w:r w:rsidRPr="004457C7">
        <w:pict w14:anchorId="6B894A2D">
          <v:rect id="_x0000_i1080" style="width:0;height:.75pt" o:hralign="center" o:hrstd="t" o:hr="t" fillcolor="#a0a0a0" stroked="f"/>
        </w:pict>
      </w:r>
    </w:p>
    <w:p w14:paraId="6242890A" w14:textId="77777777" w:rsidR="004457C7" w:rsidRPr="004457C7" w:rsidRDefault="004457C7" w:rsidP="004457C7">
      <w:pPr>
        <w:rPr>
          <w:b/>
          <w:bCs/>
        </w:rPr>
      </w:pPr>
      <w:r w:rsidRPr="004457C7">
        <w:rPr>
          <w:b/>
          <w:bCs/>
        </w:rPr>
        <w:t>2. Top Movers</w:t>
      </w:r>
    </w:p>
    <w:tbl>
      <w:tblPr>
        <w:tblW w:w="0" w:type="auto"/>
        <w:tblCellMar>
          <w:top w:w="15" w:type="dxa"/>
          <w:left w:w="15" w:type="dxa"/>
          <w:bottom w:w="15" w:type="dxa"/>
          <w:right w:w="15" w:type="dxa"/>
        </w:tblCellMar>
        <w:tblLook w:val="04A0" w:firstRow="1" w:lastRow="0" w:firstColumn="1" w:lastColumn="0" w:noHBand="0" w:noVBand="1"/>
      </w:tblPr>
      <w:tblGrid>
        <w:gridCol w:w="880"/>
        <w:gridCol w:w="2401"/>
        <w:gridCol w:w="1280"/>
        <w:gridCol w:w="1271"/>
      </w:tblGrid>
      <w:tr w:rsidR="004457C7" w:rsidRPr="004457C7" w14:paraId="54280859" w14:textId="77777777">
        <w:trPr>
          <w:tblHeader/>
        </w:trPr>
        <w:tc>
          <w:tcPr>
            <w:tcW w:w="0" w:type="auto"/>
            <w:tcBorders>
              <w:top w:val="nil"/>
            </w:tcBorders>
            <w:tcMar>
              <w:top w:w="150" w:type="dxa"/>
              <w:left w:w="0" w:type="dxa"/>
              <w:bottom w:w="150" w:type="dxa"/>
              <w:right w:w="240" w:type="dxa"/>
            </w:tcMar>
            <w:vAlign w:val="center"/>
            <w:hideMark/>
          </w:tcPr>
          <w:p w14:paraId="2D903600" w14:textId="77777777" w:rsidR="004457C7" w:rsidRPr="004457C7" w:rsidRDefault="004457C7" w:rsidP="004457C7">
            <w:r w:rsidRPr="004457C7">
              <w:t>Ticker</w:t>
            </w:r>
          </w:p>
        </w:tc>
        <w:tc>
          <w:tcPr>
            <w:tcW w:w="0" w:type="auto"/>
            <w:tcBorders>
              <w:top w:val="nil"/>
            </w:tcBorders>
            <w:tcMar>
              <w:top w:w="150" w:type="dxa"/>
              <w:left w:w="240" w:type="dxa"/>
              <w:bottom w:w="150" w:type="dxa"/>
              <w:right w:w="240" w:type="dxa"/>
            </w:tcMar>
            <w:vAlign w:val="center"/>
            <w:hideMark/>
          </w:tcPr>
          <w:p w14:paraId="10747106" w14:textId="77777777" w:rsidR="004457C7" w:rsidRPr="004457C7" w:rsidRDefault="004457C7" w:rsidP="004457C7">
            <w:r w:rsidRPr="004457C7">
              <w:t>Closing Price (TZS)</w:t>
            </w:r>
          </w:p>
        </w:tc>
        <w:tc>
          <w:tcPr>
            <w:tcW w:w="0" w:type="auto"/>
            <w:tcBorders>
              <w:top w:val="nil"/>
            </w:tcBorders>
            <w:tcMar>
              <w:top w:w="150" w:type="dxa"/>
              <w:left w:w="240" w:type="dxa"/>
              <w:bottom w:w="150" w:type="dxa"/>
              <w:right w:w="240" w:type="dxa"/>
            </w:tcMar>
            <w:vAlign w:val="center"/>
            <w:hideMark/>
          </w:tcPr>
          <w:p w14:paraId="5E20B08B" w14:textId="77777777" w:rsidR="004457C7" w:rsidRPr="004457C7" w:rsidRDefault="004457C7" w:rsidP="004457C7">
            <w:r w:rsidRPr="004457C7">
              <w:t>Change</w:t>
            </w:r>
          </w:p>
        </w:tc>
        <w:tc>
          <w:tcPr>
            <w:tcW w:w="0" w:type="auto"/>
            <w:tcBorders>
              <w:top w:val="nil"/>
            </w:tcBorders>
            <w:tcMar>
              <w:top w:w="150" w:type="dxa"/>
              <w:left w:w="240" w:type="dxa"/>
              <w:bottom w:w="150" w:type="dxa"/>
              <w:right w:w="240" w:type="dxa"/>
            </w:tcMar>
            <w:vAlign w:val="center"/>
            <w:hideMark/>
          </w:tcPr>
          <w:p w14:paraId="2721BBA2" w14:textId="77777777" w:rsidR="004457C7" w:rsidRPr="004457C7" w:rsidRDefault="004457C7" w:rsidP="004457C7">
            <w:r w:rsidRPr="004457C7">
              <w:t>Volume</w:t>
            </w:r>
          </w:p>
        </w:tc>
      </w:tr>
      <w:tr w:rsidR="004457C7" w:rsidRPr="004457C7" w14:paraId="16269AC8" w14:textId="77777777">
        <w:tc>
          <w:tcPr>
            <w:tcW w:w="0" w:type="auto"/>
            <w:tcMar>
              <w:top w:w="150" w:type="dxa"/>
              <w:left w:w="0" w:type="dxa"/>
              <w:bottom w:w="150" w:type="dxa"/>
              <w:right w:w="240" w:type="dxa"/>
            </w:tcMar>
            <w:vAlign w:val="center"/>
            <w:hideMark/>
          </w:tcPr>
          <w:p w14:paraId="1ED517A6" w14:textId="77777777" w:rsidR="004457C7" w:rsidRPr="004457C7" w:rsidRDefault="004457C7" w:rsidP="004457C7">
            <w:r w:rsidRPr="004457C7">
              <w:rPr>
                <w:b/>
                <w:bCs/>
              </w:rPr>
              <w:t>VODA</w:t>
            </w:r>
          </w:p>
        </w:tc>
        <w:tc>
          <w:tcPr>
            <w:tcW w:w="0" w:type="auto"/>
            <w:tcMar>
              <w:top w:w="150" w:type="dxa"/>
              <w:left w:w="240" w:type="dxa"/>
              <w:bottom w:w="150" w:type="dxa"/>
              <w:right w:w="240" w:type="dxa"/>
            </w:tcMar>
            <w:vAlign w:val="center"/>
            <w:hideMark/>
          </w:tcPr>
          <w:p w14:paraId="6FF9028F" w14:textId="77777777" w:rsidR="004457C7" w:rsidRPr="004457C7" w:rsidRDefault="004457C7" w:rsidP="004457C7">
            <w:r w:rsidRPr="004457C7">
              <w:t>1,010</w:t>
            </w:r>
          </w:p>
        </w:tc>
        <w:tc>
          <w:tcPr>
            <w:tcW w:w="0" w:type="auto"/>
            <w:tcMar>
              <w:top w:w="150" w:type="dxa"/>
              <w:left w:w="240" w:type="dxa"/>
              <w:bottom w:w="150" w:type="dxa"/>
              <w:right w:w="240" w:type="dxa"/>
            </w:tcMar>
            <w:vAlign w:val="center"/>
            <w:hideMark/>
          </w:tcPr>
          <w:p w14:paraId="3EE41E30" w14:textId="77777777" w:rsidR="004457C7" w:rsidRPr="004457C7" w:rsidRDefault="004457C7" w:rsidP="004457C7">
            <w:r w:rsidRPr="004457C7">
              <w:t>+1.0%</w:t>
            </w:r>
          </w:p>
        </w:tc>
        <w:tc>
          <w:tcPr>
            <w:tcW w:w="0" w:type="auto"/>
            <w:tcMar>
              <w:top w:w="150" w:type="dxa"/>
              <w:left w:w="240" w:type="dxa"/>
              <w:bottom w:w="150" w:type="dxa"/>
              <w:right w:w="0" w:type="dxa"/>
            </w:tcMar>
            <w:vAlign w:val="center"/>
            <w:hideMark/>
          </w:tcPr>
          <w:p w14:paraId="5066E330" w14:textId="77777777" w:rsidR="004457C7" w:rsidRPr="004457C7" w:rsidRDefault="004457C7" w:rsidP="004457C7">
            <w:r w:rsidRPr="004457C7">
              <w:t>576,276¹</w:t>
            </w:r>
          </w:p>
        </w:tc>
      </w:tr>
      <w:tr w:rsidR="004457C7" w:rsidRPr="004457C7" w14:paraId="34902B24" w14:textId="77777777">
        <w:tc>
          <w:tcPr>
            <w:tcW w:w="0" w:type="auto"/>
            <w:tcMar>
              <w:top w:w="150" w:type="dxa"/>
              <w:left w:w="0" w:type="dxa"/>
              <w:bottom w:w="150" w:type="dxa"/>
              <w:right w:w="240" w:type="dxa"/>
            </w:tcMar>
            <w:vAlign w:val="center"/>
            <w:hideMark/>
          </w:tcPr>
          <w:p w14:paraId="620CA52C" w14:textId="77777777" w:rsidR="004457C7" w:rsidRPr="004457C7" w:rsidRDefault="004457C7" w:rsidP="004457C7">
            <w:r w:rsidRPr="004457C7">
              <w:rPr>
                <w:b/>
                <w:bCs/>
              </w:rPr>
              <w:t>CRDB</w:t>
            </w:r>
          </w:p>
        </w:tc>
        <w:tc>
          <w:tcPr>
            <w:tcW w:w="0" w:type="auto"/>
            <w:tcMar>
              <w:top w:w="150" w:type="dxa"/>
              <w:left w:w="240" w:type="dxa"/>
              <w:bottom w:w="150" w:type="dxa"/>
              <w:right w:w="240" w:type="dxa"/>
            </w:tcMar>
            <w:vAlign w:val="center"/>
            <w:hideMark/>
          </w:tcPr>
          <w:p w14:paraId="1A2983DF" w14:textId="77777777" w:rsidR="004457C7" w:rsidRPr="004457C7" w:rsidRDefault="004457C7" w:rsidP="004457C7">
            <w:r w:rsidRPr="004457C7">
              <w:t>2,590</w:t>
            </w:r>
          </w:p>
        </w:tc>
        <w:tc>
          <w:tcPr>
            <w:tcW w:w="0" w:type="auto"/>
            <w:tcMar>
              <w:top w:w="150" w:type="dxa"/>
              <w:left w:w="240" w:type="dxa"/>
              <w:bottom w:w="150" w:type="dxa"/>
              <w:right w:w="240" w:type="dxa"/>
            </w:tcMar>
            <w:vAlign w:val="center"/>
            <w:hideMark/>
          </w:tcPr>
          <w:p w14:paraId="45B4B14B" w14:textId="77777777" w:rsidR="004457C7" w:rsidRPr="004457C7" w:rsidRDefault="004457C7" w:rsidP="004457C7">
            <w:r w:rsidRPr="004457C7">
              <w:t>+0.4%</w:t>
            </w:r>
          </w:p>
        </w:tc>
        <w:tc>
          <w:tcPr>
            <w:tcW w:w="0" w:type="auto"/>
            <w:tcMar>
              <w:top w:w="150" w:type="dxa"/>
              <w:left w:w="240" w:type="dxa"/>
              <w:bottom w:w="150" w:type="dxa"/>
              <w:right w:w="0" w:type="dxa"/>
            </w:tcMar>
            <w:vAlign w:val="center"/>
            <w:hideMark/>
          </w:tcPr>
          <w:p w14:paraId="40025553" w14:textId="77777777" w:rsidR="004457C7" w:rsidRPr="004457C7" w:rsidRDefault="004457C7" w:rsidP="004457C7">
            <w:r w:rsidRPr="004457C7">
              <w:t>725,785²</w:t>
            </w:r>
          </w:p>
        </w:tc>
      </w:tr>
      <w:tr w:rsidR="004457C7" w:rsidRPr="004457C7" w14:paraId="2DDC8FB5" w14:textId="77777777">
        <w:tc>
          <w:tcPr>
            <w:tcW w:w="0" w:type="auto"/>
            <w:tcMar>
              <w:top w:w="150" w:type="dxa"/>
              <w:left w:w="0" w:type="dxa"/>
              <w:bottom w:w="150" w:type="dxa"/>
              <w:right w:w="240" w:type="dxa"/>
            </w:tcMar>
            <w:vAlign w:val="center"/>
            <w:hideMark/>
          </w:tcPr>
          <w:p w14:paraId="19D3E3B0" w14:textId="77777777" w:rsidR="004457C7" w:rsidRPr="004457C7" w:rsidRDefault="004457C7" w:rsidP="004457C7">
            <w:r w:rsidRPr="004457C7">
              <w:rPr>
                <w:b/>
                <w:bCs/>
              </w:rPr>
              <w:t>NMB</w:t>
            </w:r>
          </w:p>
        </w:tc>
        <w:tc>
          <w:tcPr>
            <w:tcW w:w="0" w:type="auto"/>
            <w:tcMar>
              <w:top w:w="150" w:type="dxa"/>
              <w:left w:w="240" w:type="dxa"/>
              <w:bottom w:w="150" w:type="dxa"/>
              <w:right w:w="240" w:type="dxa"/>
            </w:tcMar>
            <w:vAlign w:val="center"/>
            <w:hideMark/>
          </w:tcPr>
          <w:p w14:paraId="70D2A815" w14:textId="77777777" w:rsidR="004457C7" w:rsidRPr="004457C7" w:rsidRDefault="004457C7" w:rsidP="004457C7">
            <w:r w:rsidRPr="004457C7">
              <w:t>17,600</w:t>
            </w:r>
          </w:p>
        </w:tc>
        <w:tc>
          <w:tcPr>
            <w:tcW w:w="0" w:type="auto"/>
            <w:tcMar>
              <w:top w:w="150" w:type="dxa"/>
              <w:left w:w="240" w:type="dxa"/>
              <w:bottom w:w="150" w:type="dxa"/>
              <w:right w:w="240" w:type="dxa"/>
            </w:tcMar>
            <w:vAlign w:val="center"/>
            <w:hideMark/>
          </w:tcPr>
          <w:p w14:paraId="5C8722F7" w14:textId="77777777" w:rsidR="004457C7" w:rsidRPr="004457C7" w:rsidRDefault="004457C7" w:rsidP="004457C7">
            <w:r w:rsidRPr="004457C7">
              <w:t>0.0%</w:t>
            </w:r>
          </w:p>
        </w:tc>
        <w:tc>
          <w:tcPr>
            <w:tcW w:w="0" w:type="auto"/>
            <w:tcMar>
              <w:top w:w="150" w:type="dxa"/>
              <w:left w:w="240" w:type="dxa"/>
              <w:bottom w:w="150" w:type="dxa"/>
              <w:right w:w="0" w:type="dxa"/>
            </w:tcMar>
            <w:vAlign w:val="center"/>
            <w:hideMark/>
          </w:tcPr>
          <w:p w14:paraId="475548F4" w14:textId="77777777" w:rsidR="004457C7" w:rsidRPr="004457C7" w:rsidRDefault="004457C7" w:rsidP="004457C7">
            <w:r w:rsidRPr="004457C7">
              <w:t>63,329</w:t>
            </w:r>
          </w:p>
        </w:tc>
      </w:tr>
      <w:tr w:rsidR="004457C7" w:rsidRPr="004457C7" w14:paraId="23B1C54B" w14:textId="77777777">
        <w:tc>
          <w:tcPr>
            <w:tcW w:w="0" w:type="auto"/>
            <w:tcMar>
              <w:top w:w="150" w:type="dxa"/>
              <w:left w:w="0" w:type="dxa"/>
              <w:bottom w:w="150" w:type="dxa"/>
              <w:right w:w="240" w:type="dxa"/>
            </w:tcMar>
            <w:vAlign w:val="center"/>
            <w:hideMark/>
          </w:tcPr>
          <w:p w14:paraId="0181EF25" w14:textId="77777777" w:rsidR="004457C7" w:rsidRPr="004457C7" w:rsidRDefault="004457C7" w:rsidP="004457C7">
            <w:r w:rsidRPr="004457C7">
              <w:rPr>
                <w:b/>
                <w:bCs/>
              </w:rPr>
              <w:t>TBL</w:t>
            </w:r>
          </w:p>
        </w:tc>
        <w:tc>
          <w:tcPr>
            <w:tcW w:w="0" w:type="auto"/>
            <w:tcMar>
              <w:top w:w="150" w:type="dxa"/>
              <w:left w:w="240" w:type="dxa"/>
              <w:bottom w:w="150" w:type="dxa"/>
              <w:right w:w="240" w:type="dxa"/>
            </w:tcMar>
            <w:vAlign w:val="center"/>
            <w:hideMark/>
          </w:tcPr>
          <w:p w14:paraId="70C0107E" w14:textId="77777777" w:rsidR="004457C7" w:rsidRPr="004457C7" w:rsidRDefault="004457C7" w:rsidP="004457C7">
            <w:r w:rsidRPr="004457C7">
              <w:t>10,000</w:t>
            </w:r>
          </w:p>
        </w:tc>
        <w:tc>
          <w:tcPr>
            <w:tcW w:w="0" w:type="auto"/>
            <w:tcMar>
              <w:top w:w="150" w:type="dxa"/>
              <w:left w:w="240" w:type="dxa"/>
              <w:bottom w:w="150" w:type="dxa"/>
              <w:right w:w="240" w:type="dxa"/>
            </w:tcMar>
            <w:vAlign w:val="center"/>
            <w:hideMark/>
          </w:tcPr>
          <w:p w14:paraId="13459881" w14:textId="77777777" w:rsidR="004457C7" w:rsidRPr="004457C7" w:rsidRDefault="004457C7" w:rsidP="004457C7">
            <w:r w:rsidRPr="004457C7">
              <w:t>–0.9%</w:t>
            </w:r>
          </w:p>
        </w:tc>
        <w:tc>
          <w:tcPr>
            <w:tcW w:w="0" w:type="auto"/>
            <w:tcMar>
              <w:top w:w="150" w:type="dxa"/>
              <w:left w:w="240" w:type="dxa"/>
              <w:bottom w:w="150" w:type="dxa"/>
              <w:right w:w="0" w:type="dxa"/>
            </w:tcMar>
            <w:vAlign w:val="center"/>
            <w:hideMark/>
          </w:tcPr>
          <w:p w14:paraId="6FF84D13" w14:textId="77777777" w:rsidR="004457C7" w:rsidRPr="004457C7" w:rsidRDefault="004457C7" w:rsidP="004457C7">
            <w:r w:rsidRPr="004457C7">
              <w:t>2,685</w:t>
            </w:r>
          </w:p>
        </w:tc>
      </w:tr>
      <w:tr w:rsidR="004457C7" w:rsidRPr="004457C7" w14:paraId="28DF6EC8" w14:textId="77777777">
        <w:tc>
          <w:tcPr>
            <w:tcW w:w="0" w:type="auto"/>
            <w:tcMar>
              <w:top w:w="150" w:type="dxa"/>
              <w:left w:w="0" w:type="dxa"/>
              <w:bottom w:w="150" w:type="dxa"/>
              <w:right w:w="240" w:type="dxa"/>
            </w:tcMar>
            <w:vAlign w:val="center"/>
            <w:hideMark/>
          </w:tcPr>
          <w:p w14:paraId="75EA9D98" w14:textId="77777777" w:rsidR="004457C7" w:rsidRPr="004457C7" w:rsidRDefault="004457C7" w:rsidP="004457C7">
            <w:r w:rsidRPr="004457C7">
              <w:rPr>
                <w:b/>
                <w:bCs/>
              </w:rPr>
              <w:t>TCC</w:t>
            </w:r>
          </w:p>
        </w:tc>
        <w:tc>
          <w:tcPr>
            <w:tcW w:w="0" w:type="auto"/>
            <w:tcMar>
              <w:top w:w="150" w:type="dxa"/>
              <w:left w:w="240" w:type="dxa"/>
              <w:bottom w:w="150" w:type="dxa"/>
              <w:right w:w="240" w:type="dxa"/>
            </w:tcMar>
            <w:vAlign w:val="center"/>
            <w:hideMark/>
          </w:tcPr>
          <w:p w14:paraId="44ACB7C5" w14:textId="77777777" w:rsidR="004457C7" w:rsidRPr="004457C7" w:rsidRDefault="004457C7" w:rsidP="004457C7">
            <w:r w:rsidRPr="004457C7">
              <w:t>12,300</w:t>
            </w:r>
          </w:p>
        </w:tc>
        <w:tc>
          <w:tcPr>
            <w:tcW w:w="0" w:type="auto"/>
            <w:tcMar>
              <w:top w:w="150" w:type="dxa"/>
              <w:left w:w="240" w:type="dxa"/>
              <w:bottom w:w="150" w:type="dxa"/>
              <w:right w:w="240" w:type="dxa"/>
            </w:tcMar>
            <w:vAlign w:val="center"/>
            <w:hideMark/>
          </w:tcPr>
          <w:p w14:paraId="3112DB9B" w14:textId="77777777" w:rsidR="004457C7" w:rsidRPr="004457C7" w:rsidRDefault="004457C7" w:rsidP="004457C7">
            <w:r w:rsidRPr="004457C7">
              <w:t>–0.3%</w:t>
            </w:r>
          </w:p>
        </w:tc>
        <w:tc>
          <w:tcPr>
            <w:tcW w:w="0" w:type="auto"/>
            <w:tcMar>
              <w:top w:w="150" w:type="dxa"/>
              <w:left w:w="240" w:type="dxa"/>
              <w:bottom w:w="150" w:type="dxa"/>
              <w:right w:w="0" w:type="dxa"/>
            </w:tcMar>
            <w:vAlign w:val="center"/>
            <w:hideMark/>
          </w:tcPr>
          <w:p w14:paraId="3B7F9762" w14:textId="77777777" w:rsidR="004457C7" w:rsidRPr="004457C7" w:rsidRDefault="004457C7" w:rsidP="004457C7">
            <w:r w:rsidRPr="004457C7">
              <w:t>575</w:t>
            </w:r>
          </w:p>
        </w:tc>
      </w:tr>
      <w:tr w:rsidR="004457C7" w:rsidRPr="004457C7" w14:paraId="3EE2BE73" w14:textId="77777777">
        <w:tc>
          <w:tcPr>
            <w:tcW w:w="0" w:type="auto"/>
            <w:tcMar>
              <w:top w:w="150" w:type="dxa"/>
              <w:left w:w="0" w:type="dxa"/>
              <w:bottom w:w="150" w:type="dxa"/>
              <w:right w:w="240" w:type="dxa"/>
            </w:tcMar>
            <w:vAlign w:val="center"/>
            <w:hideMark/>
          </w:tcPr>
          <w:p w14:paraId="1EA9C2E1" w14:textId="77777777" w:rsidR="004457C7" w:rsidRPr="004457C7" w:rsidRDefault="004457C7" w:rsidP="004457C7">
            <w:r w:rsidRPr="004457C7">
              <w:rPr>
                <w:b/>
                <w:bCs/>
              </w:rPr>
              <w:t>TOL</w:t>
            </w:r>
          </w:p>
        </w:tc>
        <w:tc>
          <w:tcPr>
            <w:tcW w:w="0" w:type="auto"/>
            <w:tcMar>
              <w:top w:w="150" w:type="dxa"/>
              <w:left w:w="240" w:type="dxa"/>
              <w:bottom w:w="150" w:type="dxa"/>
              <w:right w:w="240" w:type="dxa"/>
            </w:tcMar>
            <w:vAlign w:val="center"/>
            <w:hideMark/>
          </w:tcPr>
          <w:p w14:paraId="71A5EB81" w14:textId="77777777" w:rsidR="004457C7" w:rsidRPr="004457C7" w:rsidRDefault="004457C7" w:rsidP="004457C7">
            <w:r w:rsidRPr="004457C7">
              <w:t>1,500</w:t>
            </w:r>
          </w:p>
        </w:tc>
        <w:tc>
          <w:tcPr>
            <w:tcW w:w="0" w:type="auto"/>
            <w:tcMar>
              <w:top w:w="150" w:type="dxa"/>
              <w:left w:w="240" w:type="dxa"/>
              <w:bottom w:w="150" w:type="dxa"/>
              <w:right w:w="240" w:type="dxa"/>
            </w:tcMar>
            <w:vAlign w:val="center"/>
            <w:hideMark/>
          </w:tcPr>
          <w:p w14:paraId="0548B5CB" w14:textId="77777777" w:rsidR="004457C7" w:rsidRPr="004457C7" w:rsidRDefault="004457C7" w:rsidP="004457C7">
            <w:r w:rsidRPr="004457C7">
              <w:t>+7.9%</w:t>
            </w:r>
          </w:p>
        </w:tc>
        <w:tc>
          <w:tcPr>
            <w:tcW w:w="0" w:type="auto"/>
            <w:tcMar>
              <w:top w:w="150" w:type="dxa"/>
              <w:left w:w="240" w:type="dxa"/>
              <w:bottom w:w="150" w:type="dxa"/>
              <w:right w:w="0" w:type="dxa"/>
            </w:tcMar>
            <w:vAlign w:val="center"/>
            <w:hideMark/>
          </w:tcPr>
          <w:p w14:paraId="5172DF06" w14:textId="77777777" w:rsidR="004457C7" w:rsidRPr="004457C7" w:rsidRDefault="004457C7" w:rsidP="004457C7">
            <w:r w:rsidRPr="004457C7">
              <w:t>988</w:t>
            </w:r>
          </w:p>
        </w:tc>
      </w:tr>
    </w:tbl>
    <w:p w14:paraId="1BB11061" w14:textId="77777777" w:rsidR="004457C7" w:rsidRPr="004457C7" w:rsidRDefault="004457C7" w:rsidP="004457C7">
      <w:r w:rsidRPr="004457C7">
        <w:rPr>
          <w:i/>
          <w:iCs/>
        </w:rPr>
        <w:t>¹ Includes a 395,000</w:t>
      </w:r>
      <w:r w:rsidRPr="004457C7">
        <w:rPr>
          <w:i/>
          <w:iCs/>
        </w:rPr>
        <w:noBreakHyphen/>
        <w:t>share block trade. ² Includes a 400,600</w:t>
      </w:r>
      <w:r w:rsidRPr="004457C7">
        <w:rPr>
          <w:i/>
          <w:iCs/>
        </w:rPr>
        <w:noBreakHyphen/>
        <w:t>share block trade.</w:t>
      </w:r>
    </w:p>
    <w:p w14:paraId="72CE2177" w14:textId="77777777" w:rsidR="004457C7" w:rsidRPr="004457C7" w:rsidRDefault="004457C7" w:rsidP="004457C7">
      <w:r w:rsidRPr="004457C7">
        <w:rPr>
          <w:i/>
          <w:iCs/>
        </w:rPr>
        <w:t>Gainers: VODA (+1.0%), TOL (+7.9%), CRDB (+0.4%), PAL (+3.4%).</w:t>
      </w:r>
      <w:r w:rsidRPr="004457C7">
        <w:br/>
      </w:r>
      <w:r w:rsidRPr="004457C7">
        <w:rPr>
          <w:i/>
          <w:iCs/>
        </w:rPr>
        <w:t>Losers: TBL (–0.9%), TPCC (–1.0%), MKCB (–3.2%), MCB (–2.4%).</w:t>
      </w:r>
    </w:p>
    <w:p w14:paraId="68E6D654" w14:textId="77777777" w:rsidR="004457C7" w:rsidRPr="004457C7" w:rsidRDefault="004457C7" w:rsidP="004457C7">
      <w:r w:rsidRPr="004457C7">
        <w:rPr>
          <w:b/>
          <w:bCs/>
        </w:rPr>
        <w:t>VODA</w:t>
      </w:r>
      <w:r w:rsidRPr="004457C7">
        <w:t xml:space="preserve"> inched back above the 1,000 </w:t>
      </w:r>
      <w:proofErr w:type="gramStart"/>
      <w:r w:rsidRPr="004457C7">
        <w:t>mark</w:t>
      </w:r>
      <w:proofErr w:type="gramEnd"/>
      <w:r w:rsidRPr="004457C7">
        <w:t>, touching an intraday high of 1,030 — a level that will have been welcomed by investors who had set sell orders in that range. </w:t>
      </w:r>
      <w:r w:rsidRPr="004457C7">
        <w:rPr>
          <w:b/>
          <w:bCs/>
        </w:rPr>
        <w:t>CRDB</w:t>
      </w:r>
      <w:r w:rsidRPr="004457C7">
        <w:t> edged up 10</w:t>
      </w:r>
      <w:r w:rsidRPr="004457C7">
        <w:rPr>
          <w:rFonts w:ascii="Arial" w:hAnsi="Arial" w:cs="Arial"/>
        </w:rPr>
        <w:t> </w:t>
      </w:r>
      <w:r w:rsidRPr="004457C7">
        <w:t>shillings to 2,590, showing a small but welcome recovery after a week of declines.</w:t>
      </w:r>
      <w:r w:rsidRPr="004457C7">
        <w:rPr>
          <w:rFonts w:ascii="Aptos" w:hAnsi="Aptos" w:cs="Aptos"/>
        </w:rPr>
        <w:t> </w:t>
      </w:r>
      <w:r w:rsidRPr="004457C7">
        <w:rPr>
          <w:b/>
          <w:bCs/>
        </w:rPr>
        <w:t>NMB</w:t>
      </w:r>
      <w:r w:rsidRPr="004457C7">
        <w:t> remained completely flat at its all</w:t>
      </w:r>
      <w:r w:rsidRPr="004457C7">
        <w:noBreakHyphen/>
        <w:t>time high of 17,600, digesting its recent record</w:t>
      </w:r>
      <w:r w:rsidRPr="004457C7">
        <w:noBreakHyphen/>
        <w:t>breaking run. Among the smaller counters, </w:t>
      </w:r>
      <w:r w:rsidRPr="004457C7">
        <w:rPr>
          <w:b/>
          <w:bCs/>
        </w:rPr>
        <w:t>TOL Gases</w:t>
      </w:r>
      <w:r w:rsidRPr="004457C7">
        <w:t> surged nearly 8% on moderate volume, while a handful of other stocks posted declines on thin trading.</w:t>
      </w:r>
    </w:p>
    <w:p w14:paraId="7AB93758" w14:textId="77777777" w:rsidR="004457C7" w:rsidRPr="004457C7" w:rsidRDefault="004457C7" w:rsidP="004457C7">
      <w:r w:rsidRPr="004457C7">
        <w:pict w14:anchorId="0CEFA127">
          <v:rect id="_x0000_i1081" style="width:0;height:.75pt" o:hralign="center" o:hrstd="t" o:hr="t" fillcolor="#a0a0a0" stroked="f"/>
        </w:pict>
      </w:r>
    </w:p>
    <w:p w14:paraId="2E8D1B36" w14:textId="77777777" w:rsidR="004457C7" w:rsidRPr="004457C7" w:rsidRDefault="004457C7" w:rsidP="004457C7">
      <w:pPr>
        <w:rPr>
          <w:b/>
          <w:bCs/>
        </w:rPr>
      </w:pPr>
      <w:r w:rsidRPr="004457C7">
        <w:rPr>
          <w:b/>
          <w:bCs/>
        </w:rPr>
        <w:t>3. In Focus: Block Trades in a Calm Market — What They Tell Us</w:t>
      </w:r>
    </w:p>
    <w:p w14:paraId="7659C459" w14:textId="77777777" w:rsidR="004457C7" w:rsidRPr="004457C7" w:rsidRDefault="004457C7" w:rsidP="004457C7">
      <w:r w:rsidRPr="004457C7">
        <w:t xml:space="preserve">Thursday’s two large block trades — 400,600 CRDB shares and 395,000 VODA shares — might sound dramatic, but for the everyday investor they were barely noticeable. The </w:t>
      </w:r>
      <w:r w:rsidRPr="004457C7">
        <w:lastRenderedPageBreak/>
        <w:t>price of CRDB moved only 10</w:t>
      </w:r>
      <w:r w:rsidRPr="004457C7">
        <w:rPr>
          <w:rFonts w:ascii="Arial" w:hAnsi="Arial" w:cs="Arial"/>
        </w:rPr>
        <w:t> </w:t>
      </w:r>
      <w:r w:rsidRPr="004457C7">
        <w:t>shillings, and VODA closed just 1% higher. How is it possible for hundreds of thousands of shares to change hands without causing a stir?</w:t>
      </w:r>
    </w:p>
    <w:p w14:paraId="6CCE9373" w14:textId="77777777" w:rsidR="004457C7" w:rsidRPr="004457C7" w:rsidRDefault="004457C7" w:rsidP="004457C7">
      <w:r w:rsidRPr="004457C7">
        <w:t>The answer lies in the </w:t>
      </w:r>
      <w:r w:rsidRPr="004457C7">
        <w:rPr>
          <w:b/>
          <w:bCs/>
        </w:rPr>
        <w:t>pre</w:t>
      </w:r>
      <w:r w:rsidRPr="004457C7">
        <w:rPr>
          <w:b/>
          <w:bCs/>
        </w:rPr>
        <w:noBreakHyphen/>
        <w:t>arranged block trade</w:t>
      </w:r>
      <w:r w:rsidRPr="004457C7">
        <w:t> mechanism. When a large institution wants to sell a big position, it does not simply dump the shares onto the open market — that would crash the price. Instead, it negotiates privately with a buyer (often another institution) and agrees on a price and quantity. The transaction is then reported to the exchange through the pre</w:t>
      </w:r>
      <w:r w:rsidRPr="004457C7">
        <w:noBreakHyphen/>
        <w:t>arranged board, but the actual exchange of shares happens away from the public order book. The rest of the market sees the trade only after it is complete.</w:t>
      </w:r>
    </w:p>
    <w:p w14:paraId="4BFB8C33" w14:textId="77777777" w:rsidR="004457C7" w:rsidRPr="004457C7" w:rsidRDefault="004457C7" w:rsidP="004457C7">
      <w:r w:rsidRPr="004457C7">
        <w:t xml:space="preserve">This is a sign of a healthy, maturing market. It means that even when large investors want to reposition their portfolios, they can do so without disrupting the prices that ordinary investors see. The fact that CRDB’s block was absorbed and the stock </w:t>
      </w:r>
      <w:proofErr w:type="gramStart"/>
      <w:r w:rsidRPr="004457C7">
        <w:t>actually rose</w:t>
      </w:r>
      <w:proofErr w:type="gramEnd"/>
      <w:r w:rsidRPr="004457C7">
        <w:t xml:space="preserve"> slightly suggests that there is steady buying interest at these levels, even if it has not yet been enough to push the price decisively higher.</w:t>
      </w:r>
    </w:p>
    <w:p w14:paraId="0C3E7040" w14:textId="77777777" w:rsidR="004457C7" w:rsidRPr="004457C7" w:rsidRDefault="004457C7" w:rsidP="004457C7">
      <w:r w:rsidRPr="004457C7">
        <w:t>For the everyday investor, a block trade is a piece of information, not a signal to act. It tells you that professional money is active, but it does not tell you whether that money is buying or selling the stock’s long</w:t>
      </w:r>
      <w:r w:rsidRPr="004457C7">
        <w:noBreakHyphen/>
        <w:t>term prospects. Your own decisions should be based on your research, your goals, and your plan — not on what large institutions are doing behind closed doors.</w:t>
      </w:r>
    </w:p>
    <w:p w14:paraId="5264F40E" w14:textId="77777777" w:rsidR="004457C7" w:rsidRPr="004457C7" w:rsidRDefault="004457C7" w:rsidP="004457C7">
      <w:r w:rsidRPr="004457C7">
        <w:rPr>
          <w:i/>
          <w:iCs/>
        </w:rPr>
        <w:t>To learn more about how trades happen on the DSE, read our guide</w:t>
      </w:r>
      <w:r w:rsidRPr="004457C7">
        <w:t> </w:t>
      </w:r>
      <w:hyperlink r:id="rId5" w:tgtFrame="_blank" w:history="1">
        <w:r w:rsidRPr="004457C7">
          <w:rPr>
            <w:rStyle w:val="Hyperlink"/>
          </w:rPr>
          <w:t>How a Trade Happens: From Your Phone to the Market</w:t>
        </w:r>
      </w:hyperlink>
      <w:r w:rsidRPr="004457C7">
        <w:t>.</w:t>
      </w:r>
    </w:p>
    <w:p w14:paraId="05F3AEC2" w14:textId="77777777" w:rsidR="004457C7" w:rsidRPr="004457C7" w:rsidRDefault="004457C7" w:rsidP="004457C7">
      <w:r w:rsidRPr="004457C7">
        <w:pict w14:anchorId="600611EF">
          <v:rect id="_x0000_i1082" style="width:0;height:.75pt" o:hralign="center" o:hrstd="t" o:hr="t" fillcolor="#a0a0a0" stroked="f"/>
        </w:pict>
      </w:r>
    </w:p>
    <w:p w14:paraId="7083EAA4" w14:textId="77777777" w:rsidR="004457C7" w:rsidRPr="004457C7" w:rsidRDefault="004457C7" w:rsidP="004457C7">
      <w:pPr>
        <w:rPr>
          <w:b/>
          <w:bCs/>
        </w:rPr>
      </w:pPr>
      <w:r w:rsidRPr="004457C7">
        <w:rPr>
          <w:b/>
          <w:bCs/>
        </w:rPr>
        <w:t>4. Today’s Concept: The 5% Daily Price Band — A Safety Net in Action</w:t>
      </w:r>
    </w:p>
    <w:p w14:paraId="0FCD8F31" w14:textId="77777777" w:rsidR="004457C7" w:rsidRPr="004457C7" w:rsidRDefault="004457C7" w:rsidP="004457C7">
      <w:r w:rsidRPr="004457C7">
        <w:t>Thursday’s calm trading was also a direct result of a rule that protects every DSE investor: the </w:t>
      </w:r>
      <w:r w:rsidRPr="004457C7">
        <w:rPr>
          <w:b/>
          <w:bCs/>
        </w:rPr>
        <w:t>5% daily price band</w:t>
      </w:r>
      <w:r w:rsidRPr="004457C7">
        <w:t>. Because CRDB closed at 2,590, on Friday the stock cannot trade at any price outside a range of </w:t>
      </w:r>
      <w:r w:rsidRPr="004457C7">
        <w:rPr>
          <w:b/>
          <w:bCs/>
        </w:rPr>
        <w:t>±5%</w:t>
      </w:r>
      <w:r w:rsidRPr="004457C7">
        <w:t> around that level. The limits are:</w:t>
      </w:r>
    </w:p>
    <w:p w14:paraId="5BFAF6C8" w14:textId="77777777" w:rsidR="004457C7" w:rsidRPr="004457C7" w:rsidRDefault="004457C7" w:rsidP="004457C7">
      <w:pPr>
        <w:numPr>
          <w:ilvl w:val="0"/>
          <w:numId w:val="1"/>
        </w:numPr>
      </w:pPr>
      <w:r w:rsidRPr="004457C7">
        <w:rPr>
          <w:b/>
          <w:bCs/>
        </w:rPr>
        <w:t>Upper limit:</w:t>
      </w:r>
      <w:r w:rsidRPr="004457C7">
        <w:t> 2,590 × 1.05 = </w:t>
      </w:r>
      <w:r w:rsidRPr="004457C7">
        <w:rPr>
          <w:b/>
          <w:bCs/>
        </w:rPr>
        <w:t>2,719.50</w:t>
      </w:r>
    </w:p>
    <w:p w14:paraId="45DA4866" w14:textId="77777777" w:rsidR="004457C7" w:rsidRPr="004457C7" w:rsidRDefault="004457C7" w:rsidP="004457C7">
      <w:pPr>
        <w:numPr>
          <w:ilvl w:val="0"/>
          <w:numId w:val="1"/>
        </w:numPr>
      </w:pPr>
      <w:r w:rsidRPr="004457C7">
        <w:rPr>
          <w:b/>
          <w:bCs/>
        </w:rPr>
        <w:t>Lower limit:</w:t>
      </w:r>
      <w:r w:rsidRPr="004457C7">
        <w:t> 2,590 × 0.95 = </w:t>
      </w:r>
      <w:r w:rsidRPr="004457C7">
        <w:rPr>
          <w:b/>
          <w:bCs/>
        </w:rPr>
        <w:t>2,460.50</w:t>
      </w:r>
    </w:p>
    <w:p w14:paraId="6218408D" w14:textId="77777777" w:rsidR="004457C7" w:rsidRPr="004457C7" w:rsidRDefault="004457C7" w:rsidP="004457C7">
      <w:r w:rsidRPr="004457C7">
        <w:t>Any order to buy above 2,719.50 or to sell below 2,460.50 will be automatically rejected by the DSE’s trading system. This rule is not a restriction designed to frustrate — it is a safety net that prevents panic</w:t>
      </w:r>
      <w:r w:rsidRPr="004457C7">
        <w:noBreakHyphen/>
        <w:t>driven swings and ensures orderly price discovery, even when large block trades are taking place.</w:t>
      </w:r>
    </w:p>
    <w:p w14:paraId="577156B6" w14:textId="77777777" w:rsidR="004457C7" w:rsidRPr="004457C7" w:rsidRDefault="004457C7" w:rsidP="004457C7">
      <w:r w:rsidRPr="004457C7">
        <w:t>Based on Thursday’s closing prices, here are the allowed trading ranges for Friday, 7</w:t>
      </w:r>
      <w:r w:rsidRPr="004457C7">
        <w:rPr>
          <w:rFonts w:ascii="Arial" w:hAnsi="Arial" w:cs="Arial"/>
        </w:rPr>
        <w:t> </w:t>
      </w:r>
      <w:r w:rsidRPr="004457C7">
        <w:t>August 2026, for key stocks:</w:t>
      </w:r>
    </w:p>
    <w:tbl>
      <w:tblPr>
        <w:tblW w:w="0" w:type="auto"/>
        <w:tblCellMar>
          <w:top w:w="15" w:type="dxa"/>
          <w:left w:w="15" w:type="dxa"/>
          <w:bottom w:w="15" w:type="dxa"/>
          <w:right w:w="15" w:type="dxa"/>
        </w:tblCellMar>
        <w:tblLook w:val="04A0" w:firstRow="1" w:lastRow="0" w:firstColumn="1" w:lastColumn="0" w:noHBand="0" w:noVBand="1"/>
      </w:tblPr>
      <w:tblGrid>
        <w:gridCol w:w="1087"/>
        <w:gridCol w:w="2483"/>
        <w:gridCol w:w="2748"/>
        <w:gridCol w:w="2708"/>
      </w:tblGrid>
      <w:tr w:rsidR="004457C7" w:rsidRPr="004457C7" w14:paraId="08D8B32B" w14:textId="77777777">
        <w:trPr>
          <w:tblHeader/>
        </w:trPr>
        <w:tc>
          <w:tcPr>
            <w:tcW w:w="0" w:type="auto"/>
            <w:tcBorders>
              <w:top w:val="nil"/>
            </w:tcBorders>
            <w:tcMar>
              <w:top w:w="150" w:type="dxa"/>
              <w:left w:w="0" w:type="dxa"/>
              <w:bottom w:w="150" w:type="dxa"/>
              <w:right w:w="240" w:type="dxa"/>
            </w:tcMar>
            <w:vAlign w:val="center"/>
            <w:hideMark/>
          </w:tcPr>
          <w:p w14:paraId="321856C4" w14:textId="77777777" w:rsidR="004457C7" w:rsidRPr="004457C7" w:rsidRDefault="004457C7" w:rsidP="004457C7">
            <w:r w:rsidRPr="004457C7">
              <w:lastRenderedPageBreak/>
              <w:t>Counter</w:t>
            </w:r>
          </w:p>
        </w:tc>
        <w:tc>
          <w:tcPr>
            <w:tcW w:w="0" w:type="auto"/>
            <w:tcBorders>
              <w:top w:val="nil"/>
            </w:tcBorders>
            <w:tcMar>
              <w:top w:w="150" w:type="dxa"/>
              <w:left w:w="240" w:type="dxa"/>
              <w:bottom w:w="150" w:type="dxa"/>
              <w:right w:w="240" w:type="dxa"/>
            </w:tcMar>
            <w:vAlign w:val="center"/>
            <w:hideMark/>
          </w:tcPr>
          <w:p w14:paraId="6AC55E17" w14:textId="77777777" w:rsidR="004457C7" w:rsidRPr="004457C7" w:rsidRDefault="004457C7" w:rsidP="004457C7">
            <w:r w:rsidRPr="004457C7">
              <w:t>Thursday Close (TZS)</w:t>
            </w:r>
          </w:p>
        </w:tc>
        <w:tc>
          <w:tcPr>
            <w:tcW w:w="0" w:type="auto"/>
            <w:tcBorders>
              <w:top w:val="nil"/>
            </w:tcBorders>
            <w:tcMar>
              <w:top w:w="150" w:type="dxa"/>
              <w:left w:w="240" w:type="dxa"/>
              <w:bottom w:w="150" w:type="dxa"/>
              <w:right w:w="240" w:type="dxa"/>
            </w:tcMar>
            <w:vAlign w:val="center"/>
            <w:hideMark/>
          </w:tcPr>
          <w:p w14:paraId="30B77DBC" w14:textId="77777777" w:rsidR="004457C7" w:rsidRPr="004457C7" w:rsidRDefault="004457C7" w:rsidP="004457C7">
            <w:r w:rsidRPr="004457C7">
              <w:t>Friday Upper Limit (TZS)</w:t>
            </w:r>
          </w:p>
        </w:tc>
        <w:tc>
          <w:tcPr>
            <w:tcW w:w="0" w:type="auto"/>
            <w:tcBorders>
              <w:top w:val="nil"/>
            </w:tcBorders>
            <w:tcMar>
              <w:top w:w="150" w:type="dxa"/>
              <w:left w:w="240" w:type="dxa"/>
              <w:bottom w:w="150" w:type="dxa"/>
              <w:right w:w="240" w:type="dxa"/>
            </w:tcMar>
            <w:vAlign w:val="center"/>
            <w:hideMark/>
          </w:tcPr>
          <w:p w14:paraId="0A5F6600" w14:textId="77777777" w:rsidR="004457C7" w:rsidRPr="004457C7" w:rsidRDefault="004457C7" w:rsidP="004457C7">
            <w:r w:rsidRPr="004457C7">
              <w:t>Friday Lower Limit (TZS)</w:t>
            </w:r>
          </w:p>
        </w:tc>
      </w:tr>
      <w:tr w:rsidR="004457C7" w:rsidRPr="004457C7" w14:paraId="0F49939B" w14:textId="77777777">
        <w:tc>
          <w:tcPr>
            <w:tcW w:w="0" w:type="auto"/>
            <w:tcMar>
              <w:top w:w="150" w:type="dxa"/>
              <w:left w:w="0" w:type="dxa"/>
              <w:bottom w:w="150" w:type="dxa"/>
              <w:right w:w="240" w:type="dxa"/>
            </w:tcMar>
            <w:vAlign w:val="center"/>
            <w:hideMark/>
          </w:tcPr>
          <w:p w14:paraId="7C5E2FB1" w14:textId="77777777" w:rsidR="004457C7" w:rsidRPr="004457C7" w:rsidRDefault="004457C7" w:rsidP="004457C7">
            <w:r w:rsidRPr="004457C7">
              <w:t>CRDB</w:t>
            </w:r>
          </w:p>
        </w:tc>
        <w:tc>
          <w:tcPr>
            <w:tcW w:w="0" w:type="auto"/>
            <w:tcMar>
              <w:top w:w="150" w:type="dxa"/>
              <w:left w:w="240" w:type="dxa"/>
              <w:bottom w:w="150" w:type="dxa"/>
              <w:right w:w="240" w:type="dxa"/>
            </w:tcMar>
            <w:vAlign w:val="center"/>
            <w:hideMark/>
          </w:tcPr>
          <w:p w14:paraId="4458868C" w14:textId="77777777" w:rsidR="004457C7" w:rsidRPr="004457C7" w:rsidRDefault="004457C7" w:rsidP="004457C7">
            <w:r w:rsidRPr="004457C7">
              <w:t>2,590</w:t>
            </w:r>
          </w:p>
        </w:tc>
        <w:tc>
          <w:tcPr>
            <w:tcW w:w="0" w:type="auto"/>
            <w:tcMar>
              <w:top w:w="150" w:type="dxa"/>
              <w:left w:w="240" w:type="dxa"/>
              <w:bottom w:w="150" w:type="dxa"/>
              <w:right w:w="240" w:type="dxa"/>
            </w:tcMar>
            <w:vAlign w:val="center"/>
            <w:hideMark/>
          </w:tcPr>
          <w:p w14:paraId="132E7C68" w14:textId="77777777" w:rsidR="004457C7" w:rsidRPr="004457C7" w:rsidRDefault="004457C7" w:rsidP="004457C7">
            <w:r w:rsidRPr="004457C7">
              <w:t>2,719.50</w:t>
            </w:r>
          </w:p>
        </w:tc>
        <w:tc>
          <w:tcPr>
            <w:tcW w:w="0" w:type="auto"/>
            <w:tcMar>
              <w:top w:w="150" w:type="dxa"/>
              <w:left w:w="240" w:type="dxa"/>
              <w:bottom w:w="150" w:type="dxa"/>
              <w:right w:w="0" w:type="dxa"/>
            </w:tcMar>
            <w:vAlign w:val="center"/>
            <w:hideMark/>
          </w:tcPr>
          <w:p w14:paraId="7967698F" w14:textId="77777777" w:rsidR="004457C7" w:rsidRPr="004457C7" w:rsidRDefault="004457C7" w:rsidP="004457C7">
            <w:r w:rsidRPr="004457C7">
              <w:t>2,460.50</w:t>
            </w:r>
          </w:p>
        </w:tc>
      </w:tr>
      <w:tr w:rsidR="004457C7" w:rsidRPr="004457C7" w14:paraId="31123CEB" w14:textId="77777777">
        <w:tc>
          <w:tcPr>
            <w:tcW w:w="0" w:type="auto"/>
            <w:tcMar>
              <w:top w:w="150" w:type="dxa"/>
              <w:left w:w="0" w:type="dxa"/>
              <w:bottom w:w="150" w:type="dxa"/>
              <w:right w:w="240" w:type="dxa"/>
            </w:tcMar>
            <w:vAlign w:val="center"/>
            <w:hideMark/>
          </w:tcPr>
          <w:p w14:paraId="14B05024" w14:textId="77777777" w:rsidR="004457C7" w:rsidRPr="004457C7" w:rsidRDefault="004457C7" w:rsidP="004457C7">
            <w:r w:rsidRPr="004457C7">
              <w:t>NMB</w:t>
            </w:r>
          </w:p>
        </w:tc>
        <w:tc>
          <w:tcPr>
            <w:tcW w:w="0" w:type="auto"/>
            <w:tcMar>
              <w:top w:w="150" w:type="dxa"/>
              <w:left w:w="240" w:type="dxa"/>
              <w:bottom w:w="150" w:type="dxa"/>
              <w:right w:w="240" w:type="dxa"/>
            </w:tcMar>
            <w:vAlign w:val="center"/>
            <w:hideMark/>
          </w:tcPr>
          <w:p w14:paraId="4AFF3CB6" w14:textId="77777777" w:rsidR="004457C7" w:rsidRPr="004457C7" w:rsidRDefault="004457C7" w:rsidP="004457C7">
            <w:r w:rsidRPr="004457C7">
              <w:t>17,600</w:t>
            </w:r>
          </w:p>
        </w:tc>
        <w:tc>
          <w:tcPr>
            <w:tcW w:w="0" w:type="auto"/>
            <w:tcMar>
              <w:top w:w="150" w:type="dxa"/>
              <w:left w:w="240" w:type="dxa"/>
              <w:bottom w:w="150" w:type="dxa"/>
              <w:right w:w="240" w:type="dxa"/>
            </w:tcMar>
            <w:vAlign w:val="center"/>
            <w:hideMark/>
          </w:tcPr>
          <w:p w14:paraId="3CC8DE78" w14:textId="77777777" w:rsidR="004457C7" w:rsidRPr="004457C7" w:rsidRDefault="004457C7" w:rsidP="004457C7">
            <w:r w:rsidRPr="004457C7">
              <w:t>18,480.00</w:t>
            </w:r>
          </w:p>
        </w:tc>
        <w:tc>
          <w:tcPr>
            <w:tcW w:w="0" w:type="auto"/>
            <w:tcMar>
              <w:top w:w="150" w:type="dxa"/>
              <w:left w:w="240" w:type="dxa"/>
              <w:bottom w:w="150" w:type="dxa"/>
              <w:right w:w="0" w:type="dxa"/>
            </w:tcMar>
            <w:vAlign w:val="center"/>
            <w:hideMark/>
          </w:tcPr>
          <w:p w14:paraId="010B7EF5" w14:textId="77777777" w:rsidR="004457C7" w:rsidRPr="004457C7" w:rsidRDefault="004457C7" w:rsidP="004457C7">
            <w:r w:rsidRPr="004457C7">
              <w:t>16,720.00</w:t>
            </w:r>
          </w:p>
        </w:tc>
      </w:tr>
      <w:tr w:rsidR="004457C7" w:rsidRPr="004457C7" w14:paraId="01F7348A" w14:textId="77777777">
        <w:tc>
          <w:tcPr>
            <w:tcW w:w="0" w:type="auto"/>
            <w:tcMar>
              <w:top w:w="150" w:type="dxa"/>
              <w:left w:w="0" w:type="dxa"/>
              <w:bottom w:w="150" w:type="dxa"/>
              <w:right w:w="240" w:type="dxa"/>
            </w:tcMar>
            <w:vAlign w:val="center"/>
            <w:hideMark/>
          </w:tcPr>
          <w:p w14:paraId="23B7DAE4" w14:textId="77777777" w:rsidR="004457C7" w:rsidRPr="004457C7" w:rsidRDefault="004457C7" w:rsidP="004457C7">
            <w:r w:rsidRPr="004457C7">
              <w:t>VODA</w:t>
            </w:r>
          </w:p>
        </w:tc>
        <w:tc>
          <w:tcPr>
            <w:tcW w:w="0" w:type="auto"/>
            <w:tcMar>
              <w:top w:w="150" w:type="dxa"/>
              <w:left w:w="240" w:type="dxa"/>
              <w:bottom w:w="150" w:type="dxa"/>
              <w:right w:w="240" w:type="dxa"/>
            </w:tcMar>
            <w:vAlign w:val="center"/>
            <w:hideMark/>
          </w:tcPr>
          <w:p w14:paraId="5F5521CC" w14:textId="77777777" w:rsidR="004457C7" w:rsidRPr="004457C7" w:rsidRDefault="004457C7" w:rsidP="004457C7">
            <w:r w:rsidRPr="004457C7">
              <w:t>1,010</w:t>
            </w:r>
          </w:p>
        </w:tc>
        <w:tc>
          <w:tcPr>
            <w:tcW w:w="0" w:type="auto"/>
            <w:tcMar>
              <w:top w:w="150" w:type="dxa"/>
              <w:left w:w="240" w:type="dxa"/>
              <w:bottom w:w="150" w:type="dxa"/>
              <w:right w:w="240" w:type="dxa"/>
            </w:tcMar>
            <w:vAlign w:val="center"/>
            <w:hideMark/>
          </w:tcPr>
          <w:p w14:paraId="5FFE83CF" w14:textId="77777777" w:rsidR="004457C7" w:rsidRPr="004457C7" w:rsidRDefault="004457C7" w:rsidP="004457C7">
            <w:r w:rsidRPr="004457C7">
              <w:t>1,060.50</w:t>
            </w:r>
          </w:p>
        </w:tc>
        <w:tc>
          <w:tcPr>
            <w:tcW w:w="0" w:type="auto"/>
            <w:tcMar>
              <w:top w:w="150" w:type="dxa"/>
              <w:left w:w="240" w:type="dxa"/>
              <w:bottom w:w="150" w:type="dxa"/>
              <w:right w:w="0" w:type="dxa"/>
            </w:tcMar>
            <w:vAlign w:val="center"/>
            <w:hideMark/>
          </w:tcPr>
          <w:p w14:paraId="4213858C" w14:textId="77777777" w:rsidR="004457C7" w:rsidRPr="004457C7" w:rsidRDefault="004457C7" w:rsidP="004457C7">
            <w:r w:rsidRPr="004457C7">
              <w:t>959.50</w:t>
            </w:r>
          </w:p>
        </w:tc>
      </w:tr>
      <w:tr w:rsidR="004457C7" w:rsidRPr="004457C7" w14:paraId="71422A70" w14:textId="77777777">
        <w:tc>
          <w:tcPr>
            <w:tcW w:w="0" w:type="auto"/>
            <w:tcMar>
              <w:top w:w="150" w:type="dxa"/>
              <w:left w:w="0" w:type="dxa"/>
              <w:bottom w:w="150" w:type="dxa"/>
              <w:right w:w="240" w:type="dxa"/>
            </w:tcMar>
            <w:vAlign w:val="center"/>
            <w:hideMark/>
          </w:tcPr>
          <w:p w14:paraId="03A73C19" w14:textId="77777777" w:rsidR="004457C7" w:rsidRPr="004457C7" w:rsidRDefault="004457C7" w:rsidP="004457C7">
            <w:r w:rsidRPr="004457C7">
              <w:t>TBL</w:t>
            </w:r>
          </w:p>
        </w:tc>
        <w:tc>
          <w:tcPr>
            <w:tcW w:w="0" w:type="auto"/>
            <w:tcMar>
              <w:top w:w="150" w:type="dxa"/>
              <w:left w:w="240" w:type="dxa"/>
              <w:bottom w:w="150" w:type="dxa"/>
              <w:right w:w="240" w:type="dxa"/>
            </w:tcMar>
            <w:vAlign w:val="center"/>
            <w:hideMark/>
          </w:tcPr>
          <w:p w14:paraId="41B933C5" w14:textId="77777777" w:rsidR="004457C7" w:rsidRPr="004457C7" w:rsidRDefault="004457C7" w:rsidP="004457C7">
            <w:r w:rsidRPr="004457C7">
              <w:t>10,000</w:t>
            </w:r>
          </w:p>
        </w:tc>
        <w:tc>
          <w:tcPr>
            <w:tcW w:w="0" w:type="auto"/>
            <w:tcMar>
              <w:top w:w="150" w:type="dxa"/>
              <w:left w:w="240" w:type="dxa"/>
              <w:bottom w:w="150" w:type="dxa"/>
              <w:right w:w="240" w:type="dxa"/>
            </w:tcMar>
            <w:vAlign w:val="center"/>
            <w:hideMark/>
          </w:tcPr>
          <w:p w14:paraId="7903EF3C" w14:textId="77777777" w:rsidR="004457C7" w:rsidRPr="004457C7" w:rsidRDefault="004457C7" w:rsidP="004457C7">
            <w:r w:rsidRPr="004457C7">
              <w:t>10,500.00</w:t>
            </w:r>
          </w:p>
        </w:tc>
        <w:tc>
          <w:tcPr>
            <w:tcW w:w="0" w:type="auto"/>
            <w:tcMar>
              <w:top w:w="150" w:type="dxa"/>
              <w:left w:w="240" w:type="dxa"/>
              <w:bottom w:w="150" w:type="dxa"/>
              <w:right w:w="0" w:type="dxa"/>
            </w:tcMar>
            <w:vAlign w:val="center"/>
            <w:hideMark/>
          </w:tcPr>
          <w:p w14:paraId="26FDCA2F" w14:textId="77777777" w:rsidR="004457C7" w:rsidRPr="004457C7" w:rsidRDefault="004457C7" w:rsidP="004457C7">
            <w:r w:rsidRPr="004457C7">
              <w:t>9,500.00</w:t>
            </w:r>
          </w:p>
        </w:tc>
      </w:tr>
      <w:tr w:rsidR="004457C7" w:rsidRPr="004457C7" w14:paraId="0FAA8357" w14:textId="77777777">
        <w:tc>
          <w:tcPr>
            <w:tcW w:w="0" w:type="auto"/>
            <w:tcMar>
              <w:top w:w="150" w:type="dxa"/>
              <w:left w:w="0" w:type="dxa"/>
              <w:bottom w:w="150" w:type="dxa"/>
              <w:right w:w="240" w:type="dxa"/>
            </w:tcMar>
            <w:vAlign w:val="center"/>
            <w:hideMark/>
          </w:tcPr>
          <w:p w14:paraId="126301D4" w14:textId="77777777" w:rsidR="004457C7" w:rsidRPr="004457C7" w:rsidRDefault="004457C7" w:rsidP="004457C7">
            <w:r w:rsidRPr="004457C7">
              <w:t>DCB¹</w:t>
            </w:r>
          </w:p>
        </w:tc>
        <w:tc>
          <w:tcPr>
            <w:tcW w:w="0" w:type="auto"/>
            <w:tcMar>
              <w:top w:w="150" w:type="dxa"/>
              <w:left w:w="240" w:type="dxa"/>
              <w:bottom w:w="150" w:type="dxa"/>
              <w:right w:w="240" w:type="dxa"/>
            </w:tcMar>
            <w:vAlign w:val="center"/>
            <w:hideMark/>
          </w:tcPr>
          <w:p w14:paraId="7B49CE4C" w14:textId="77777777" w:rsidR="004457C7" w:rsidRPr="004457C7" w:rsidRDefault="004457C7" w:rsidP="004457C7">
            <w:r w:rsidRPr="004457C7">
              <w:t>425</w:t>
            </w:r>
          </w:p>
        </w:tc>
        <w:tc>
          <w:tcPr>
            <w:tcW w:w="0" w:type="auto"/>
            <w:tcMar>
              <w:top w:w="150" w:type="dxa"/>
              <w:left w:w="240" w:type="dxa"/>
              <w:bottom w:w="150" w:type="dxa"/>
              <w:right w:w="240" w:type="dxa"/>
            </w:tcMar>
            <w:vAlign w:val="center"/>
            <w:hideMark/>
          </w:tcPr>
          <w:p w14:paraId="597C20DC" w14:textId="77777777" w:rsidR="004457C7" w:rsidRPr="004457C7" w:rsidRDefault="004457C7" w:rsidP="004457C7">
            <w:r w:rsidRPr="004457C7">
              <w:t>488.75</w:t>
            </w:r>
          </w:p>
        </w:tc>
        <w:tc>
          <w:tcPr>
            <w:tcW w:w="0" w:type="auto"/>
            <w:tcMar>
              <w:top w:w="150" w:type="dxa"/>
              <w:left w:w="240" w:type="dxa"/>
              <w:bottom w:w="150" w:type="dxa"/>
              <w:right w:w="0" w:type="dxa"/>
            </w:tcMar>
            <w:vAlign w:val="center"/>
            <w:hideMark/>
          </w:tcPr>
          <w:p w14:paraId="0A057D74" w14:textId="77777777" w:rsidR="004457C7" w:rsidRPr="004457C7" w:rsidRDefault="004457C7" w:rsidP="004457C7">
            <w:r w:rsidRPr="004457C7">
              <w:t>361.25</w:t>
            </w:r>
          </w:p>
        </w:tc>
      </w:tr>
    </w:tbl>
    <w:p w14:paraId="1B7D5CED" w14:textId="77777777" w:rsidR="004457C7" w:rsidRPr="004457C7" w:rsidRDefault="004457C7" w:rsidP="004457C7">
      <w:r w:rsidRPr="004457C7">
        <w:rPr>
          <w:i/>
          <w:iCs/>
        </w:rPr>
        <w:t>¹ DCB trades under a wider 15% band; the table shows 15% limits.</w:t>
      </w:r>
    </w:p>
    <w:p w14:paraId="3362AC0B" w14:textId="77777777" w:rsidR="004457C7" w:rsidRPr="004457C7" w:rsidRDefault="004457C7" w:rsidP="004457C7">
      <w:r w:rsidRPr="004457C7">
        <w:t>Before placing any order, it is a useful habit to check the previous day’s closing price, calculate the 5% band, and ensure your limit price falls within it. This simple step prevents the frustration of submitting an order that the exchange will automatically reject, and helps you set realistic, executable targets.</w:t>
      </w:r>
    </w:p>
    <w:p w14:paraId="6B6EE175" w14:textId="77777777" w:rsidR="004457C7" w:rsidRPr="004457C7" w:rsidRDefault="004457C7" w:rsidP="004457C7">
      <w:r w:rsidRPr="004457C7">
        <w:rPr>
          <w:i/>
          <w:iCs/>
        </w:rPr>
        <w:t>For a complete guide to interpreting market data, read our article</w:t>
      </w:r>
      <w:r w:rsidRPr="004457C7">
        <w:t> </w:t>
      </w:r>
      <w:hyperlink r:id="rId6" w:tgtFrame="_blank" w:history="1">
        <w:r w:rsidRPr="004457C7">
          <w:rPr>
            <w:rStyle w:val="Hyperlink"/>
          </w:rPr>
          <w:t>Understanding Market Data</w:t>
        </w:r>
      </w:hyperlink>
      <w:r w:rsidRPr="004457C7">
        <w:t>.</w:t>
      </w:r>
    </w:p>
    <w:p w14:paraId="17CC3FF1" w14:textId="77777777" w:rsidR="004457C7" w:rsidRPr="004457C7" w:rsidRDefault="004457C7" w:rsidP="004457C7">
      <w:r w:rsidRPr="004457C7">
        <w:pict w14:anchorId="63EAE393">
          <v:rect id="_x0000_i1083" style="width:0;height:.75pt" o:hralign="center" o:hrstd="t" o:hr="t" fillcolor="#a0a0a0" stroked="f"/>
        </w:pict>
      </w:r>
    </w:p>
    <w:p w14:paraId="11BDAC89" w14:textId="77777777" w:rsidR="004457C7" w:rsidRPr="004457C7" w:rsidRDefault="004457C7" w:rsidP="004457C7">
      <w:pPr>
        <w:rPr>
          <w:b/>
          <w:bCs/>
        </w:rPr>
      </w:pPr>
      <w:r w:rsidRPr="004457C7">
        <w:rPr>
          <w:b/>
          <w:bCs/>
        </w:rPr>
        <w:t>5. Bond Market: Institutional Interest Returns to Government Paper</w:t>
      </w:r>
    </w:p>
    <w:p w14:paraId="3490CF26" w14:textId="77777777" w:rsidR="004457C7" w:rsidRPr="004457C7" w:rsidRDefault="004457C7" w:rsidP="004457C7">
      <w:r w:rsidRPr="004457C7">
        <w:t>After a very quiet Wednesday, government bond turnover rebounded to TZS</w:t>
      </w:r>
      <w:r w:rsidRPr="004457C7">
        <w:rPr>
          <w:rFonts w:ascii="Arial" w:hAnsi="Arial" w:cs="Arial"/>
        </w:rPr>
        <w:t> </w:t>
      </w:r>
      <w:r w:rsidRPr="004457C7">
        <w:t>12.47</w:t>
      </w:r>
      <w:r w:rsidRPr="004457C7">
        <w:rPr>
          <w:rFonts w:ascii="Arial" w:hAnsi="Arial" w:cs="Arial"/>
        </w:rPr>
        <w:t> </w:t>
      </w:r>
      <w:r w:rsidRPr="004457C7">
        <w:t>billion. The busiest instrument was a 10</w:t>
      </w:r>
      <w:r w:rsidRPr="004457C7">
        <w:noBreakHyphen/>
        <w:t>year bond with an 11.75% coupon, while the 15</w:t>
      </w:r>
      <w:r w:rsidRPr="004457C7">
        <w:noBreakHyphen/>
        <w:t>year 12.25% bond and the 20</w:t>
      </w:r>
      <w:r w:rsidRPr="004457C7">
        <w:noBreakHyphen/>
        <w:t>year 15.49% high</w:t>
      </w:r>
      <w:r w:rsidRPr="004457C7">
        <w:noBreakHyphen/>
        <w:t>coupon paper also attracted steady demand. Yields on these long</w:t>
      </w:r>
      <w:r w:rsidRPr="004457C7">
        <w:noBreakHyphen/>
        <w:t>dated bonds remain attractive at around 10.0</w:t>
      </w:r>
      <w:r w:rsidRPr="004457C7">
        <w:rPr>
          <w:rFonts w:ascii="Aptos" w:hAnsi="Aptos" w:cs="Aptos"/>
        </w:rPr>
        <w:t>–</w:t>
      </w:r>
      <w:r w:rsidRPr="004457C7">
        <w:t>12.1%, entirely free of withholding tax. The bond market continues to provide a deep, liquid alternative for institutions seeking predictable, long</w:t>
      </w:r>
      <w:r w:rsidRPr="004457C7">
        <w:noBreakHyphen/>
        <w:t>term income alongside their equity holdings.</w:t>
      </w:r>
    </w:p>
    <w:p w14:paraId="3267B44E" w14:textId="77777777" w:rsidR="004457C7" w:rsidRPr="004457C7" w:rsidRDefault="004457C7" w:rsidP="004457C7">
      <w:r w:rsidRPr="004457C7">
        <w:pict w14:anchorId="452971DE">
          <v:rect id="_x0000_i1084" style="width:0;height:.75pt" o:hralign="center" o:hrstd="t" o:hr="t" fillcolor="#a0a0a0" stroked="f"/>
        </w:pict>
      </w:r>
    </w:p>
    <w:p w14:paraId="4F7CE376" w14:textId="77777777" w:rsidR="004457C7" w:rsidRPr="004457C7" w:rsidRDefault="004457C7" w:rsidP="004457C7">
      <w:pPr>
        <w:rPr>
          <w:b/>
          <w:bCs/>
        </w:rPr>
      </w:pPr>
      <w:r w:rsidRPr="004457C7">
        <w:rPr>
          <w:b/>
          <w:bCs/>
        </w:rPr>
        <w:t>6. Strategic Outlook: What to Anticipate</w:t>
      </w:r>
    </w:p>
    <w:p w14:paraId="052EF884" w14:textId="77777777" w:rsidR="004457C7" w:rsidRPr="004457C7" w:rsidRDefault="004457C7" w:rsidP="004457C7">
      <w:r w:rsidRPr="004457C7">
        <w:rPr>
          <w:b/>
          <w:bCs/>
        </w:rPr>
        <w:t>Near</w:t>
      </w:r>
      <w:r w:rsidRPr="004457C7">
        <w:rPr>
          <w:b/>
          <w:bCs/>
        </w:rPr>
        <w:noBreakHyphen/>
        <w:t>Term (August):</w:t>
      </w:r>
    </w:p>
    <w:p w14:paraId="7600A0D7" w14:textId="77777777" w:rsidR="004457C7" w:rsidRPr="004457C7" w:rsidRDefault="004457C7" w:rsidP="004457C7">
      <w:pPr>
        <w:numPr>
          <w:ilvl w:val="0"/>
          <w:numId w:val="2"/>
        </w:numPr>
      </w:pPr>
      <w:r w:rsidRPr="004457C7">
        <w:lastRenderedPageBreak/>
        <w:t>The market is consolidating after July’s extraordinary activity. Trading is likely to remain concentrated in the large banking and telecom counters, with CRDB, NMB, and VODA continuing to dominate volumes.</w:t>
      </w:r>
    </w:p>
    <w:p w14:paraId="11273D7D" w14:textId="77777777" w:rsidR="004457C7" w:rsidRPr="004457C7" w:rsidRDefault="004457C7" w:rsidP="004457C7">
      <w:pPr>
        <w:numPr>
          <w:ilvl w:val="0"/>
          <w:numId w:val="2"/>
        </w:numPr>
      </w:pPr>
      <w:r w:rsidRPr="004457C7">
        <w:rPr>
          <w:b/>
          <w:bCs/>
        </w:rPr>
        <w:t>NMB</w:t>
      </w:r>
      <w:r w:rsidRPr="004457C7">
        <w:t> remains at its all</w:t>
      </w:r>
      <w:r w:rsidRPr="004457C7">
        <w:noBreakHyphen/>
        <w:t>time high. The ex</w:t>
      </w:r>
      <w:r w:rsidRPr="004457C7">
        <w:noBreakHyphen/>
        <w:t>dividend date for the approved TZS</w:t>
      </w:r>
      <w:r w:rsidRPr="004457C7">
        <w:rPr>
          <w:rFonts w:ascii="Arial" w:hAnsi="Arial" w:cs="Arial"/>
        </w:rPr>
        <w:t> </w:t>
      </w:r>
      <w:r w:rsidRPr="004457C7">
        <w:t>610.15 dividend has still not been published but is expected at any time. Historically, share prices can adjust downward once the books close and the entitlement to the dividend is removed.</w:t>
      </w:r>
    </w:p>
    <w:p w14:paraId="296E8EBF" w14:textId="77777777" w:rsidR="004457C7" w:rsidRPr="004457C7" w:rsidRDefault="004457C7" w:rsidP="004457C7">
      <w:pPr>
        <w:numPr>
          <w:ilvl w:val="0"/>
          <w:numId w:val="2"/>
        </w:numPr>
      </w:pPr>
      <w:r w:rsidRPr="004457C7">
        <w:rPr>
          <w:b/>
          <w:bCs/>
        </w:rPr>
        <w:t>VODA</w:t>
      </w:r>
      <w:r w:rsidRPr="004457C7">
        <w:t> touched 1,030 intraday, showing that there is still buying interest above the 1,000 level. The company’s full</w:t>
      </w:r>
      <w:r w:rsidRPr="004457C7">
        <w:noBreakHyphen/>
        <w:t>year results have now been absorbed by the market, and the stock may trade in a range as investors assess the longer</w:t>
      </w:r>
      <w:r w:rsidRPr="004457C7">
        <w:noBreakHyphen/>
        <w:t>term growth outlook.</w:t>
      </w:r>
    </w:p>
    <w:p w14:paraId="116700EB" w14:textId="77777777" w:rsidR="004457C7" w:rsidRPr="004457C7" w:rsidRDefault="004457C7" w:rsidP="004457C7">
      <w:r w:rsidRPr="004457C7">
        <w:rPr>
          <w:b/>
          <w:bCs/>
        </w:rPr>
        <w:t>Medium</w:t>
      </w:r>
      <w:r w:rsidRPr="004457C7">
        <w:rPr>
          <w:b/>
          <w:bCs/>
        </w:rPr>
        <w:noBreakHyphen/>
        <w:t>Term (Q3 2026):</w:t>
      </w:r>
    </w:p>
    <w:p w14:paraId="379AEE72" w14:textId="77777777" w:rsidR="004457C7" w:rsidRPr="004457C7" w:rsidRDefault="004457C7" w:rsidP="004457C7">
      <w:pPr>
        <w:numPr>
          <w:ilvl w:val="0"/>
          <w:numId w:val="3"/>
        </w:numPr>
      </w:pPr>
      <w:r w:rsidRPr="004457C7">
        <w:t>The Bank of Tanzania’s steady policy stance continues to support both equities and bonds. Any change in the benchmark interest rate would be the most significant macroeconomic event.</w:t>
      </w:r>
    </w:p>
    <w:p w14:paraId="4DBA524C" w14:textId="77777777" w:rsidR="004457C7" w:rsidRPr="004457C7" w:rsidRDefault="004457C7" w:rsidP="004457C7">
      <w:pPr>
        <w:numPr>
          <w:ilvl w:val="0"/>
          <w:numId w:val="3"/>
        </w:numPr>
      </w:pPr>
      <w:r w:rsidRPr="004457C7">
        <w:t>The implementation of the government’s infrastructure spending will directly benefit cement, construction, and logistics companies.</w:t>
      </w:r>
    </w:p>
    <w:p w14:paraId="7FF40100" w14:textId="77777777" w:rsidR="004457C7" w:rsidRPr="004457C7" w:rsidRDefault="004457C7" w:rsidP="004457C7">
      <w:r w:rsidRPr="004457C7">
        <w:rPr>
          <w:b/>
          <w:bCs/>
        </w:rPr>
        <w:t>Long</w:t>
      </w:r>
      <w:r w:rsidRPr="004457C7">
        <w:rPr>
          <w:b/>
          <w:bCs/>
        </w:rPr>
        <w:noBreakHyphen/>
        <w:t>Term:</w:t>
      </w:r>
      <w:r w:rsidRPr="004457C7">
        <w:br/>
        <w:t>The quiet absorption of large block trades, the near</w:t>
      </w:r>
      <w:r w:rsidRPr="004457C7">
        <w:noBreakHyphen/>
        <w:t>complete absence of foreign selling, and the steady local participation are all signs of a market that has matured significantly in recent months. For the patient, long</w:t>
      </w:r>
      <w:r w:rsidRPr="004457C7">
        <w:noBreakHyphen/>
        <w:t>term investor, this stability is the foundation on which sustainable wealth is built.</w:t>
      </w:r>
    </w:p>
    <w:p w14:paraId="4ED76392" w14:textId="77777777" w:rsidR="004457C7" w:rsidRPr="004457C7" w:rsidRDefault="004457C7" w:rsidP="004457C7">
      <w:r w:rsidRPr="004457C7">
        <w:pict w14:anchorId="620227F7">
          <v:rect id="_x0000_i1085" style="width:0;height:.75pt" o:hralign="center" o:hrstd="t" o:hr="t" fillcolor="#a0a0a0" stroked="f"/>
        </w:pict>
      </w:r>
    </w:p>
    <w:p w14:paraId="3813BA92" w14:textId="77777777" w:rsidR="004457C7" w:rsidRPr="004457C7" w:rsidRDefault="004457C7" w:rsidP="004457C7">
      <w:pPr>
        <w:rPr>
          <w:b/>
          <w:bCs/>
        </w:rPr>
      </w:pPr>
      <w:r w:rsidRPr="004457C7">
        <w:rPr>
          <w:b/>
          <w:bCs/>
        </w:rPr>
        <w:t>7. Professional Approach: How to Use This Intelligence</w:t>
      </w:r>
    </w:p>
    <w:p w14:paraId="67E94768" w14:textId="77777777" w:rsidR="004457C7" w:rsidRPr="004457C7" w:rsidRDefault="004457C7" w:rsidP="004457C7">
      <w:pPr>
        <w:numPr>
          <w:ilvl w:val="0"/>
          <w:numId w:val="4"/>
        </w:numPr>
      </w:pPr>
      <w:r w:rsidRPr="004457C7">
        <w:rPr>
          <w:b/>
          <w:bCs/>
        </w:rPr>
        <w:t>Combine the Daily Wrap with our education series.</w:t>
      </w:r>
      <w:r w:rsidRPr="004457C7">
        <w:t> If the block</w:t>
      </w:r>
      <w:r w:rsidRPr="004457C7">
        <w:noBreakHyphen/>
        <w:t>trade or price</w:t>
      </w:r>
      <w:r w:rsidRPr="004457C7">
        <w:noBreakHyphen/>
        <w:t>band concepts are new to you, read </w:t>
      </w:r>
      <w:hyperlink r:id="rId7" w:tgtFrame="_blank" w:history="1">
        <w:r w:rsidRPr="004457C7">
          <w:rPr>
            <w:rStyle w:val="Hyperlink"/>
          </w:rPr>
          <w:t>How a Trade Happens</w:t>
        </w:r>
      </w:hyperlink>
      <w:r w:rsidRPr="004457C7">
        <w:t> and </w:t>
      </w:r>
      <w:hyperlink r:id="rId8" w:tgtFrame="_blank" w:history="1">
        <w:r w:rsidRPr="004457C7">
          <w:rPr>
            <w:rStyle w:val="Hyperlink"/>
          </w:rPr>
          <w:t>Understanding Market Data</w:t>
        </w:r>
      </w:hyperlink>
      <w:r w:rsidRPr="004457C7">
        <w:t>.</w:t>
      </w:r>
    </w:p>
    <w:p w14:paraId="7B654ED9" w14:textId="77777777" w:rsidR="004457C7" w:rsidRPr="004457C7" w:rsidRDefault="004457C7" w:rsidP="004457C7">
      <w:pPr>
        <w:numPr>
          <w:ilvl w:val="0"/>
          <w:numId w:val="4"/>
        </w:numPr>
      </w:pPr>
      <w:r w:rsidRPr="004457C7">
        <w:rPr>
          <w:b/>
          <w:bCs/>
        </w:rPr>
        <w:t>Maintain a diversified portfolio.</w:t>
      </w:r>
      <w:r w:rsidRPr="004457C7">
        <w:t> Spread your capital across banks, industrials, consumer goods, and bonds.</w:t>
      </w:r>
    </w:p>
    <w:p w14:paraId="788ED483" w14:textId="77777777" w:rsidR="004457C7" w:rsidRPr="004457C7" w:rsidRDefault="004457C7" w:rsidP="004457C7">
      <w:pPr>
        <w:numPr>
          <w:ilvl w:val="0"/>
          <w:numId w:val="4"/>
        </w:numPr>
      </w:pPr>
      <w:r w:rsidRPr="004457C7">
        <w:rPr>
          <w:b/>
          <w:bCs/>
        </w:rPr>
        <w:t>Think in years, not days.</w:t>
      </w:r>
      <w:r w:rsidRPr="004457C7">
        <w:t> Daily price moves and institutional block trades are interesting, but lasting wealth is built by owning well</w:t>
      </w:r>
      <w:r w:rsidRPr="004457C7">
        <w:noBreakHyphen/>
        <w:t>managed companies through economic cycles.</w:t>
      </w:r>
    </w:p>
    <w:p w14:paraId="1A7BA532" w14:textId="77777777" w:rsidR="004457C7" w:rsidRPr="004457C7" w:rsidRDefault="004457C7" w:rsidP="004457C7">
      <w:pPr>
        <w:numPr>
          <w:ilvl w:val="0"/>
          <w:numId w:val="4"/>
        </w:numPr>
      </w:pPr>
      <w:r w:rsidRPr="004457C7">
        <w:rPr>
          <w:b/>
          <w:bCs/>
        </w:rPr>
        <w:t>Remember the risk.</w:t>
      </w:r>
      <w:r w:rsidRPr="004457C7">
        <w:t> All equity investment carries the possibility of loss. Past performance does not guarantee future results.</w:t>
      </w:r>
    </w:p>
    <w:p w14:paraId="147D2F88" w14:textId="77777777" w:rsidR="004457C7" w:rsidRPr="004457C7" w:rsidRDefault="004457C7" w:rsidP="004457C7">
      <w:r w:rsidRPr="004457C7">
        <w:pict w14:anchorId="07C4122A">
          <v:rect id="_x0000_i1086" style="width:0;height:.75pt" o:hralign="center" o:hrstd="t" o:hr="t" fillcolor="#a0a0a0" stroked="f"/>
        </w:pict>
      </w:r>
    </w:p>
    <w:p w14:paraId="21952902" w14:textId="77777777" w:rsidR="004457C7" w:rsidRPr="004457C7" w:rsidRDefault="004457C7" w:rsidP="004457C7">
      <w:pPr>
        <w:rPr>
          <w:b/>
          <w:bCs/>
        </w:rPr>
      </w:pPr>
      <w:r w:rsidRPr="004457C7">
        <w:rPr>
          <w:b/>
          <w:bCs/>
        </w:rPr>
        <w:lastRenderedPageBreak/>
        <w:t>8. Considerations for a Multi</w:t>
      </w:r>
      <w:r w:rsidRPr="004457C7">
        <w:rPr>
          <w:b/>
          <w:bCs/>
        </w:rPr>
        <w:noBreakHyphen/>
        <w:t>Year Framework</w:t>
      </w:r>
    </w:p>
    <w:p w14:paraId="7252F8D5" w14:textId="77777777" w:rsidR="004457C7" w:rsidRPr="004457C7" w:rsidRDefault="004457C7" w:rsidP="004457C7">
      <w:r w:rsidRPr="004457C7">
        <w:t>A market that can absorb hundreds of thousands of shares in a single block trade without a flicker in the price, and where foreign selling has all but vanished, is a market that has found its feet. The drama of July is behind us. What remains is a quiet, locally anchored exchange where patient capital can compound steadily over time. For the multi</w:t>
      </w:r>
      <w:r w:rsidRPr="004457C7">
        <w:noBreakHyphen/>
        <w:t>year investor, that quiet strength is the real story of August.</w:t>
      </w:r>
    </w:p>
    <w:p w14:paraId="7420EBAD" w14:textId="77777777" w:rsidR="004457C7" w:rsidRPr="004457C7" w:rsidRDefault="004457C7" w:rsidP="004457C7">
      <w:r w:rsidRPr="004457C7">
        <w:pict w14:anchorId="07F98A29">
          <v:rect id="_x0000_i1087" style="width:0;height:.75pt" o:hralign="center" o:hrstd="t" o:hr="t" fillcolor="#a0a0a0" stroked="f"/>
        </w:pict>
      </w:r>
    </w:p>
    <w:p w14:paraId="2DFE460F" w14:textId="77777777" w:rsidR="004457C7" w:rsidRPr="004457C7" w:rsidRDefault="004457C7" w:rsidP="004457C7">
      <w:r w:rsidRPr="004457C7">
        <w:rPr>
          <w:i/>
          <w:iCs/>
        </w:rPr>
        <w:t>This document is for general informational and educational purposes only. Nothing contained herein constitutes financial, investment, legal, or tax advice and should not be relied upon as such. Any investment decision you make is solely your own responsibility. The value of investments and the income from them can go down as well as up, and you may not get back the amount originally invested. Past performance is not a reliable indicator of future results. Capital is at risk, and you may incur losses — including the total loss of your invested capital — which you alone will bear. Amana Capital East Africa Limited is a registered investment advisory and fund management firm under the Capital Markets and Securities Authority (CMSA), Tanzania. Licence number: [pending]. Our registration does not imply that CMSA approves or endorses the contents of this material.</w:t>
      </w:r>
    </w:p>
    <w:p w14:paraId="32902496" w14:textId="77777777" w:rsidR="004457C7" w:rsidRDefault="004457C7"/>
    <w:sectPr w:rsidR="004457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032B"/>
    <w:multiLevelType w:val="multilevel"/>
    <w:tmpl w:val="7438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F09E1"/>
    <w:multiLevelType w:val="multilevel"/>
    <w:tmpl w:val="3C1E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E2AE1"/>
    <w:multiLevelType w:val="multilevel"/>
    <w:tmpl w:val="6E94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842F5C"/>
    <w:multiLevelType w:val="multilevel"/>
    <w:tmpl w:val="2566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798590">
    <w:abstractNumId w:val="3"/>
  </w:num>
  <w:num w:numId="2" w16cid:durableId="774909094">
    <w:abstractNumId w:val="2"/>
  </w:num>
  <w:num w:numId="3" w16cid:durableId="645478350">
    <w:abstractNumId w:val="0"/>
  </w:num>
  <w:num w:numId="4" w16cid:durableId="232398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7C7"/>
    <w:rsid w:val="004457C7"/>
    <w:rsid w:val="00582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ECC0C"/>
  <w15:chartTrackingRefBased/>
  <w15:docId w15:val="{2A70605C-D8F9-4547-BB05-810ABFDD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7C7"/>
    <w:rPr>
      <w:rFonts w:eastAsiaTheme="majorEastAsia" w:cstheme="majorBidi"/>
      <w:color w:val="272727" w:themeColor="text1" w:themeTint="D8"/>
    </w:rPr>
  </w:style>
  <w:style w:type="paragraph" w:styleId="Title">
    <w:name w:val="Title"/>
    <w:basedOn w:val="Normal"/>
    <w:next w:val="Normal"/>
    <w:link w:val="TitleChar"/>
    <w:uiPriority w:val="10"/>
    <w:qFormat/>
    <w:rsid w:val="00445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7C7"/>
    <w:pPr>
      <w:spacing w:before="160"/>
      <w:jc w:val="center"/>
    </w:pPr>
    <w:rPr>
      <w:i/>
      <w:iCs/>
      <w:color w:val="404040" w:themeColor="text1" w:themeTint="BF"/>
    </w:rPr>
  </w:style>
  <w:style w:type="character" w:customStyle="1" w:styleId="QuoteChar">
    <w:name w:val="Quote Char"/>
    <w:basedOn w:val="DefaultParagraphFont"/>
    <w:link w:val="Quote"/>
    <w:uiPriority w:val="29"/>
    <w:rsid w:val="004457C7"/>
    <w:rPr>
      <w:i/>
      <w:iCs/>
      <w:color w:val="404040" w:themeColor="text1" w:themeTint="BF"/>
    </w:rPr>
  </w:style>
  <w:style w:type="paragraph" w:styleId="ListParagraph">
    <w:name w:val="List Paragraph"/>
    <w:basedOn w:val="Normal"/>
    <w:uiPriority w:val="34"/>
    <w:qFormat/>
    <w:rsid w:val="004457C7"/>
    <w:pPr>
      <w:ind w:left="720"/>
      <w:contextualSpacing/>
    </w:pPr>
  </w:style>
  <w:style w:type="character" w:styleId="IntenseEmphasis">
    <w:name w:val="Intense Emphasis"/>
    <w:basedOn w:val="DefaultParagraphFont"/>
    <w:uiPriority w:val="21"/>
    <w:qFormat/>
    <w:rsid w:val="004457C7"/>
    <w:rPr>
      <w:i/>
      <w:iCs/>
      <w:color w:val="0F4761" w:themeColor="accent1" w:themeShade="BF"/>
    </w:rPr>
  </w:style>
  <w:style w:type="paragraph" w:styleId="IntenseQuote">
    <w:name w:val="Intense Quote"/>
    <w:basedOn w:val="Normal"/>
    <w:next w:val="Normal"/>
    <w:link w:val="IntenseQuoteChar"/>
    <w:uiPriority w:val="30"/>
    <w:qFormat/>
    <w:rsid w:val="00445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7C7"/>
    <w:rPr>
      <w:i/>
      <w:iCs/>
      <w:color w:val="0F4761" w:themeColor="accent1" w:themeShade="BF"/>
    </w:rPr>
  </w:style>
  <w:style w:type="character" w:styleId="IntenseReference">
    <w:name w:val="Intense Reference"/>
    <w:basedOn w:val="DefaultParagraphFont"/>
    <w:uiPriority w:val="32"/>
    <w:qFormat/>
    <w:rsid w:val="004457C7"/>
    <w:rPr>
      <w:b/>
      <w:bCs/>
      <w:smallCaps/>
      <w:color w:val="0F4761" w:themeColor="accent1" w:themeShade="BF"/>
      <w:spacing w:val="5"/>
    </w:rPr>
  </w:style>
  <w:style w:type="character" w:styleId="Hyperlink">
    <w:name w:val="Hyperlink"/>
    <w:basedOn w:val="DefaultParagraphFont"/>
    <w:uiPriority w:val="99"/>
    <w:unhideWhenUsed/>
    <w:rsid w:val="004457C7"/>
    <w:rPr>
      <w:color w:val="467886" w:themeColor="hyperlink"/>
      <w:u w:val="single"/>
    </w:rPr>
  </w:style>
  <w:style w:type="character" w:styleId="UnresolvedMention">
    <w:name w:val="Unresolved Mention"/>
    <w:basedOn w:val="DefaultParagraphFont"/>
    <w:uiPriority w:val="99"/>
    <w:semiHidden/>
    <w:unhideWhenUsed/>
    <w:rsid w:val="00445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ticle-3-4.html/" TargetMode="External"/><Relationship Id="rId3" Type="http://schemas.openxmlformats.org/officeDocument/2006/relationships/settings" Target="settings.xml"/><Relationship Id="rId7" Type="http://schemas.openxmlformats.org/officeDocument/2006/relationships/hyperlink" Target="https://article-3-3.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ticle-3-4.html/" TargetMode="External"/><Relationship Id="rId5" Type="http://schemas.openxmlformats.org/officeDocument/2006/relationships/hyperlink" Target="https://article-3-3.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1523</Words>
  <Characters>8685</Characters>
  <Application>Microsoft Office Word</Application>
  <DocSecurity>0</DocSecurity>
  <Lines>72</Lines>
  <Paragraphs>20</Paragraphs>
  <ScaleCrop>false</ScaleCrop>
  <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Theophil Christian</dc:creator>
  <cp:keywords/>
  <dc:description/>
  <cp:lastModifiedBy>Theophil Christian</cp:lastModifiedBy>
  <cp:revision>1</cp:revision>
  <dcterms:created xsi:type="dcterms:W3CDTF">2026-08-08T18:47:00Z</dcterms:created>
  <dcterms:modified xsi:type="dcterms:W3CDTF">2026-08-08T18:57:00Z</dcterms:modified>
</cp:coreProperties>
</file>