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C9EDA" w14:textId="77777777" w:rsidR="005F68B0" w:rsidRPr="005F68B0" w:rsidRDefault="005F68B0" w:rsidP="005F68B0">
      <w:pPr>
        <w:rPr>
          <w:b/>
          <w:bCs/>
        </w:rPr>
      </w:pPr>
      <w:r w:rsidRPr="005F68B0">
        <w:rPr>
          <w:b/>
          <w:bCs/>
        </w:rPr>
        <w:t>Daily DSE Wrap | Wednesday, 5th August 2026</w:t>
      </w:r>
    </w:p>
    <w:p w14:paraId="1716E199" w14:textId="77777777" w:rsidR="005F68B0" w:rsidRPr="005F68B0" w:rsidRDefault="005F68B0" w:rsidP="005F68B0">
      <w:r w:rsidRPr="005F68B0">
        <w:rPr>
          <w:b/>
          <w:bCs/>
        </w:rPr>
        <w:t>ETF Block Trade Steals the Spotlight as the Equity Market Drifts Sideways</w:t>
      </w:r>
    </w:p>
    <w:p w14:paraId="63D95A3C" w14:textId="77777777" w:rsidR="005F68B0" w:rsidRPr="005F68B0" w:rsidRDefault="005F68B0" w:rsidP="005F68B0">
      <w:r w:rsidRPr="005F68B0">
        <w:t>The Dar es Salaam Stock Exchange delivered a session of two halves on Wednesday. While regular equity trading was subdued — with turnover slipping below TZS</w:t>
      </w:r>
      <w:r w:rsidRPr="005F68B0">
        <w:rPr>
          <w:rFonts w:ascii="Arial" w:hAnsi="Arial" w:cs="Arial"/>
        </w:rPr>
        <w:t> </w:t>
      </w:r>
      <w:r w:rsidRPr="005F68B0">
        <w:t>5</w:t>
      </w:r>
      <w:r w:rsidRPr="005F68B0">
        <w:rPr>
          <w:rFonts w:ascii="Arial" w:hAnsi="Arial" w:cs="Arial"/>
        </w:rPr>
        <w:t> </w:t>
      </w:r>
      <w:r w:rsidRPr="005F68B0">
        <w:t xml:space="preserve">billion for the first time in weeks </w:t>
      </w:r>
      <w:r w:rsidRPr="005F68B0">
        <w:rPr>
          <w:rFonts w:ascii="Aptos" w:hAnsi="Aptos" w:cs="Aptos"/>
        </w:rPr>
        <w:t>—</w:t>
      </w:r>
      <w:r w:rsidRPr="005F68B0">
        <w:t xml:space="preserve"> a single, enormous transaction in the iTrust ETF board pushed total reported market turnover sharply higher and provided a valuable lesson in how large, institutional money moves without disturbing the prices of the underlying shares.</w:t>
      </w:r>
    </w:p>
    <w:p w14:paraId="24679DB8" w14:textId="77777777" w:rsidR="005F68B0" w:rsidRPr="005F68B0" w:rsidRDefault="005F68B0" w:rsidP="005F68B0">
      <w:r w:rsidRPr="005F68B0">
        <w:pict w14:anchorId="74A96CB3">
          <v:rect id="_x0000_i1079" style="width:0;height:.75pt" o:hralign="center" o:hrstd="t" o:hr="t" fillcolor="#a0a0a0" stroked="f"/>
        </w:pict>
      </w:r>
    </w:p>
    <w:p w14:paraId="361A613A" w14:textId="77777777" w:rsidR="005F68B0" w:rsidRPr="005F68B0" w:rsidRDefault="005F68B0" w:rsidP="005F68B0">
      <w:pPr>
        <w:rPr>
          <w:b/>
          <w:bCs/>
        </w:rPr>
      </w:pPr>
      <w:r w:rsidRPr="005F68B0">
        <w:rPr>
          <w:b/>
          <w:bCs/>
        </w:rPr>
        <w:t>1. Market Snapshot</w:t>
      </w:r>
    </w:p>
    <w:tbl>
      <w:tblPr>
        <w:tblW w:w="0" w:type="auto"/>
        <w:tblCellMar>
          <w:top w:w="15" w:type="dxa"/>
          <w:left w:w="15" w:type="dxa"/>
          <w:bottom w:w="15" w:type="dxa"/>
          <w:right w:w="15" w:type="dxa"/>
        </w:tblCellMar>
        <w:tblLook w:val="04A0" w:firstRow="1" w:lastRow="0" w:firstColumn="1" w:lastColumn="0" w:noHBand="0" w:noVBand="1"/>
      </w:tblPr>
      <w:tblGrid>
        <w:gridCol w:w="1929"/>
        <w:gridCol w:w="1949"/>
        <w:gridCol w:w="2310"/>
        <w:gridCol w:w="2039"/>
      </w:tblGrid>
      <w:tr w:rsidR="005F68B0" w:rsidRPr="005F68B0" w14:paraId="192EF26E" w14:textId="77777777">
        <w:trPr>
          <w:tblHeader/>
        </w:trPr>
        <w:tc>
          <w:tcPr>
            <w:tcW w:w="0" w:type="auto"/>
            <w:tcBorders>
              <w:top w:val="nil"/>
            </w:tcBorders>
            <w:tcMar>
              <w:top w:w="150" w:type="dxa"/>
              <w:left w:w="0" w:type="dxa"/>
              <w:bottom w:w="150" w:type="dxa"/>
              <w:right w:w="240" w:type="dxa"/>
            </w:tcMar>
            <w:vAlign w:val="center"/>
            <w:hideMark/>
          </w:tcPr>
          <w:p w14:paraId="2D10CF8E" w14:textId="77777777" w:rsidR="005F68B0" w:rsidRPr="005F68B0" w:rsidRDefault="005F68B0" w:rsidP="005F68B0">
            <w:r w:rsidRPr="005F68B0">
              <w:t>Metric</w:t>
            </w:r>
          </w:p>
        </w:tc>
        <w:tc>
          <w:tcPr>
            <w:tcW w:w="0" w:type="auto"/>
            <w:tcBorders>
              <w:top w:val="nil"/>
            </w:tcBorders>
            <w:tcMar>
              <w:top w:w="150" w:type="dxa"/>
              <w:left w:w="240" w:type="dxa"/>
              <w:bottom w:w="150" w:type="dxa"/>
              <w:right w:w="240" w:type="dxa"/>
            </w:tcMar>
            <w:vAlign w:val="center"/>
            <w:hideMark/>
          </w:tcPr>
          <w:p w14:paraId="78F73A1F" w14:textId="77777777" w:rsidR="005F68B0" w:rsidRPr="005F68B0" w:rsidRDefault="005F68B0" w:rsidP="005F68B0">
            <w:r w:rsidRPr="005F68B0">
              <w:t>Tuesday 4 Aug</w:t>
            </w:r>
          </w:p>
        </w:tc>
        <w:tc>
          <w:tcPr>
            <w:tcW w:w="0" w:type="auto"/>
            <w:tcBorders>
              <w:top w:val="nil"/>
            </w:tcBorders>
            <w:tcMar>
              <w:top w:w="150" w:type="dxa"/>
              <w:left w:w="240" w:type="dxa"/>
              <w:bottom w:w="150" w:type="dxa"/>
              <w:right w:w="240" w:type="dxa"/>
            </w:tcMar>
            <w:vAlign w:val="center"/>
            <w:hideMark/>
          </w:tcPr>
          <w:p w14:paraId="3F7DB8AA" w14:textId="77777777" w:rsidR="005F68B0" w:rsidRPr="005F68B0" w:rsidRDefault="005F68B0" w:rsidP="005F68B0">
            <w:r w:rsidRPr="005F68B0">
              <w:t>Wednesday 5 Aug</w:t>
            </w:r>
          </w:p>
        </w:tc>
        <w:tc>
          <w:tcPr>
            <w:tcW w:w="0" w:type="auto"/>
            <w:tcBorders>
              <w:top w:val="nil"/>
            </w:tcBorders>
            <w:tcMar>
              <w:top w:w="150" w:type="dxa"/>
              <w:left w:w="240" w:type="dxa"/>
              <w:bottom w:w="150" w:type="dxa"/>
              <w:right w:w="240" w:type="dxa"/>
            </w:tcMar>
            <w:vAlign w:val="center"/>
            <w:hideMark/>
          </w:tcPr>
          <w:p w14:paraId="55221FE8" w14:textId="77777777" w:rsidR="005F68B0" w:rsidRPr="005F68B0" w:rsidRDefault="005F68B0" w:rsidP="005F68B0">
            <w:r w:rsidRPr="005F68B0">
              <w:t>Change</w:t>
            </w:r>
          </w:p>
        </w:tc>
      </w:tr>
      <w:tr w:rsidR="005F68B0" w:rsidRPr="005F68B0" w14:paraId="516D823E" w14:textId="77777777">
        <w:tc>
          <w:tcPr>
            <w:tcW w:w="0" w:type="auto"/>
            <w:tcMar>
              <w:top w:w="150" w:type="dxa"/>
              <w:left w:w="0" w:type="dxa"/>
              <w:bottom w:w="150" w:type="dxa"/>
              <w:right w:w="240" w:type="dxa"/>
            </w:tcMar>
            <w:vAlign w:val="center"/>
            <w:hideMark/>
          </w:tcPr>
          <w:p w14:paraId="3917360F" w14:textId="77777777" w:rsidR="005F68B0" w:rsidRPr="005F68B0" w:rsidRDefault="005F68B0" w:rsidP="005F68B0">
            <w:r w:rsidRPr="005F68B0">
              <w:rPr>
                <w:b/>
                <w:bCs/>
              </w:rPr>
              <w:t>DSEI</w:t>
            </w:r>
          </w:p>
        </w:tc>
        <w:tc>
          <w:tcPr>
            <w:tcW w:w="0" w:type="auto"/>
            <w:tcMar>
              <w:top w:w="150" w:type="dxa"/>
              <w:left w:w="240" w:type="dxa"/>
              <w:bottom w:w="150" w:type="dxa"/>
              <w:right w:w="240" w:type="dxa"/>
            </w:tcMar>
            <w:vAlign w:val="center"/>
            <w:hideMark/>
          </w:tcPr>
          <w:p w14:paraId="4A81BDF5" w14:textId="77777777" w:rsidR="005F68B0" w:rsidRPr="005F68B0" w:rsidRDefault="005F68B0" w:rsidP="005F68B0">
            <w:r w:rsidRPr="005F68B0">
              <w:t>4,182.69</w:t>
            </w:r>
          </w:p>
        </w:tc>
        <w:tc>
          <w:tcPr>
            <w:tcW w:w="0" w:type="auto"/>
            <w:tcMar>
              <w:top w:w="150" w:type="dxa"/>
              <w:left w:w="240" w:type="dxa"/>
              <w:bottom w:w="150" w:type="dxa"/>
              <w:right w:w="240" w:type="dxa"/>
            </w:tcMar>
            <w:vAlign w:val="center"/>
            <w:hideMark/>
          </w:tcPr>
          <w:p w14:paraId="6E61380B" w14:textId="77777777" w:rsidR="005F68B0" w:rsidRPr="005F68B0" w:rsidRDefault="005F68B0" w:rsidP="005F68B0">
            <w:r w:rsidRPr="005F68B0">
              <w:rPr>
                <w:b/>
                <w:bCs/>
              </w:rPr>
              <w:t>4,188.97</w:t>
            </w:r>
          </w:p>
        </w:tc>
        <w:tc>
          <w:tcPr>
            <w:tcW w:w="0" w:type="auto"/>
            <w:tcMar>
              <w:top w:w="150" w:type="dxa"/>
              <w:left w:w="240" w:type="dxa"/>
              <w:bottom w:w="150" w:type="dxa"/>
              <w:right w:w="0" w:type="dxa"/>
            </w:tcMar>
            <w:vAlign w:val="center"/>
            <w:hideMark/>
          </w:tcPr>
          <w:p w14:paraId="22AFE83F" w14:textId="77777777" w:rsidR="005F68B0" w:rsidRPr="005F68B0" w:rsidRDefault="005F68B0" w:rsidP="005F68B0">
            <w:r w:rsidRPr="005F68B0">
              <w:t>+6.28 pts (+0.2%)</w:t>
            </w:r>
          </w:p>
        </w:tc>
      </w:tr>
      <w:tr w:rsidR="005F68B0" w:rsidRPr="005F68B0" w14:paraId="625E5923" w14:textId="77777777">
        <w:tc>
          <w:tcPr>
            <w:tcW w:w="0" w:type="auto"/>
            <w:tcMar>
              <w:top w:w="150" w:type="dxa"/>
              <w:left w:w="0" w:type="dxa"/>
              <w:bottom w:w="150" w:type="dxa"/>
              <w:right w:w="240" w:type="dxa"/>
            </w:tcMar>
            <w:vAlign w:val="center"/>
            <w:hideMark/>
          </w:tcPr>
          <w:p w14:paraId="712A57B1" w14:textId="77777777" w:rsidR="005F68B0" w:rsidRPr="005F68B0" w:rsidRDefault="005F68B0" w:rsidP="005F68B0">
            <w:r w:rsidRPr="005F68B0">
              <w:rPr>
                <w:b/>
                <w:bCs/>
              </w:rPr>
              <w:t>TSI</w:t>
            </w:r>
          </w:p>
        </w:tc>
        <w:tc>
          <w:tcPr>
            <w:tcW w:w="0" w:type="auto"/>
            <w:tcMar>
              <w:top w:w="150" w:type="dxa"/>
              <w:left w:w="240" w:type="dxa"/>
              <w:bottom w:w="150" w:type="dxa"/>
              <w:right w:w="240" w:type="dxa"/>
            </w:tcMar>
            <w:vAlign w:val="center"/>
            <w:hideMark/>
          </w:tcPr>
          <w:p w14:paraId="007312F9" w14:textId="77777777" w:rsidR="005F68B0" w:rsidRPr="005F68B0" w:rsidRDefault="005F68B0" w:rsidP="005F68B0">
            <w:r w:rsidRPr="005F68B0">
              <w:t>—</w:t>
            </w:r>
          </w:p>
        </w:tc>
        <w:tc>
          <w:tcPr>
            <w:tcW w:w="0" w:type="auto"/>
            <w:tcMar>
              <w:top w:w="150" w:type="dxa"/>
              <w:left w:w="240" w:type="dxa"/>
              <w:bottom w:w="150" w:type="dxa"/>
              <w:right w:w="240" w:type="dxa"/>
            </w:tcMar>
            <w:vAlign w:val="center"/>
            <w:hideMark/>
          </w:tcPr>
          <w:p w14:paraId="59AB7CB3" w14:textId="77777777" w:rsidR="005F68B0" w:rsidRPr="005F68B0" w:rsidRDefault="005F68B0" w:rsidP="005F68B0">
            <w:r w:rsidRPr="005F68B0">
              <w:rPr>
                <w:b/>
                <w:bCs/>
              </w:rPr>
              <w:t>9,173.10</w:t>
            </w:r>
          </w:p>
        </w:tc>
        <w:tc>
          <w:tcPr>
            <w:tcW w:w="0" w:type="auto"/>
            <w:tcMar>
              <w:top w:w="150" w:type="dxa"/>
              <w:left w:w="240" w:type="dxa"/>
              <w:bottom w:w="150" w:type="dxa"/>
              <w:right w:w="0" w:type="dxa"/>
            </w:tcMar>
            <w:vAlign w:val="center"/>
            <w:hideMark/>
          </w:tcPr>
          <w:p w14:paraId="22DBB93F" w14:textId="77777777" w:rsidR="005F68B0" w:rsidRPr="005F68B0" w:rsidRDefault="005F68B0" w:rsidP="005F68B0">
            <w:r w:rsidRPr="005F68B0">
              <w:t>—</w:t>
            </w:r>
          </w:p>
        </w:tc>
      </w:tr>
      <w:tr w:rsidR="005F68B0" w:rsidRPr="005F68B0" w14:paraId="395B1354" w14:textId="77777777">
        <w:tc>
          <w:tcPr>
            <w:tcW w:w="0" w:type="auto"/>
            <w:tcMar>
              <w:top w:w="150" w:type="dxa"/>
              <w:left w:w="0" w:type="dxa"/>
              <w:bottom w:w="150" w:type="dxa"/>
              <w:right w:w="240" w:type="dxa"/>
            </w:tcMar>
            <w:vAlign w:val="center"/>
            <w:hideMark/>
          </w:tcPr>
          <w:p w14:paraId="588E76D8" w14:textId="77777777" w:rsidR="005F68B0" w:rsidRPr="005F68B0" w:rsidRDefault="005F68B0" w:rsidP="005F68B0">
            <w:r w:rsidRPr="005F68B0">
              <w:rPr>
                <w:b/>
                <w:bCs/>
              </w:rPr>
              <w:t>Equity Turnover</w:t>
            </w:r>
          </w:p>
        </w:tc>
        <w:tc>
          <w:tcPr>
            <w:tcW w:w="0" w:type="auto"/>
            <w:tcMar>
              <w:top w:w="150" w:type="dxa"/>
              <w:left w:w="240" w:type="dxa"/>
              <w:bottom w:w="150" w:type="dxa"/>
              <w:right w:w="240" w:type="dxa"/>
            </w:tcMar>
            <w:vAlign w:val="center"/>
            <w:hideMark/>
          </w:tcPr>
          <w:p w14:paraId="6C722238" w14:textId="77777777" w:rsidR="005F68B0" w:rsidRPr="005F68B0" w:rsidRDefault="005F68B0" w:rsidP="005F68B0">
            <w:r w:rsidRPr="005F68B0">
              <w:t>TZS 5.06 bn</w:t>
            </w:r>
          </w:p>
        </w:tc>
        <w:tc>
          <w:tcPr>
            <w:tcW w:w="0" w:type="auto"/>
            <w:tcMar>
              <w:top w:w="150" w:type="dxa"/>
              <w:left w:w="240" w:type="dxa"/>
              <w:bottom w:w="150" w:type="dxa"/>
              <w:right w:w="240" w:type="dxa"/>
            </w:tcMar>
            <w:vAlign w:val="center"/>
            <w:hideMark/>
          </w:tcPr>
          <w:p w14:paraId="7197B1CE" w14:textId="77777777" w:rsidR="005F68B0" w:rsidRPr="005F68B0" w:rsidRDefault="005F68B0" w:rsidP="005F68B0">
            <w:r w:rsidRPr="005F68B0">
              <w:rPr>
                <w:b/>
                <w:bCs/>
              </w:rPr>
              <w:t>TZS 4.53 bn</w:t>
            </w:r>
          </w:p>
        </w:tc>
        <w:tc>
          <w:tcPr>
            <w:tcW w:w="0" w:type="auto"/>
            <w:tcMar>
              <w:top w:w="150" w:type="dxa"/>
              <w:left w:w="240" w:type="dxa"/>
              <w:bottom w:w="150" w:type="dxa"/>
              <w:right w:w="0" w:type="dxa"/>
            </w:tcMar>
            <w:vAlign w:val="center"/>
            <w:hideMark/>
          </w:tcPr>
          <w:p w14:paraId="638D2897" w14:textId="77777777" w:rsidR="005F68B0" w:rsidRPr="005F68B0" w:rsidRDefault="005F68B0" w:rsidP="005F68B0">
            <w:r w:rsidRPr="005F68B0">
              <w:t>–10.5%</w:t>
            </w:r>
          </w:p>
        </w:tc>
      </w:tr>
      <w:tr w:rsidR="005F68B0" w:rsidRPr="005F68B0" w14:paraId="0A889B11" w14:textId="77777777">
        <w:tc>
          <w:tcPr>
            <w:tcW w:w="0" w:type="auto"/>
            <w:tcMar>
              <w:top w:w="150" w:type="dxa"/>
              <w:left w:w="0" w:type="dxa"/>
              <w:bottom w:w="150" w:type="dxa"/>
              <w:right w:w="240" w:type="dxa"/>
            </w:tcMar>
            <w:vAlign w:val="center"/>
            <w:hideMark/>
          </w:tcPr>
          <w:p w14:paraId="76015B9F" w14:textId="77777777" w:rsidR="005F68B0" w:rsidRPr="005F68B0" w:rsidRDefault="005F68B0" w:rsidP="005F68B0">
            <w:r w:rsidRPr="005F68B0">
              <w:rPr>
                <w:b/>
                <w:bCs/>
              </w:rPr>
              <w:t>Shares Traded</w:t>
            </w:r>
          </w:p>
        </w:tc>
        <w:tc>
          <w:tcPr>
            <w:tcW w:w="0" w:type="auto"/>
            <w:tcMar>
              <w:top w:w="150" w:type="dxa"/>
              <w:left w:w="240" w:type="dxa"/>
              <w:bottom w:w="150" w:type="dxa"/>
              <w:right w:w="240" w:type="dxa"/>
            </w:tcMar>
            <w:vAlign w:val="center"/>
            <w:hideMark/>
          </w:tcPr>
          <w:p w14:paraId="2D24E85C" w14:textId="77777777" w:rsidR="005F68B0" w:rsidRPr="005F68B0" w:rsidRDefault="005F68B0" w:rsidP="005F68B0">
            <w:r w:rsidRPr="005F68B0">
              <w:t>1,899,818</w:t>
            </w:r>
          </w:p>
        </w:tc>
        <w:tc>
          <w:tcPr>
            <w:tcW w:w="0" w:type="auto"/>
            <w:tcMar>
              <w:top w:w="150" w:type="dxa"/>
              <w:left w:w="240" w:type="dxa"/>
              <w:bottom w:w="150" w:type="dxa"/>
              <w:right w:w="240" w:type="dxa"/>
            </w:tcMar>
            <w:vAlign w:val="center"/>
            <w:hideMark/>
          </w:tcPr>
          <w:p w14:paraId="7BF2E62A" w14:textId="77777777" w:rsidR="005F68B0" w:rsidRPr="005F68B0" w:rsidRDefault="005F68B0" w:rsidP="005F68B0">
            <w:r w:rsidRPr="005F68B0">
              <w:rPr>
                <w:b/>
                <w:bCs/>
              </w:rPr>
              <w:t>1,002,056</w:t>
            </w:r>
          </w:p>
        </w:tc>
        <w:tc>
          <w:tcPr>
            <w:tcW w:w="0" w:type="auto"/>
            <w:tcMar>
              <w:top w:w="150" w:type="dxa"/>
              <w:left w:w="240" w:type="dxa"/>
              <w:bottom w:w="150" w:type="dxa"/>
              <w:right w:w="0" w:type="dxa"/>
            </w:tcMar>
            <w:vAlign w:val="center"/>
            <w:hideMark/>
          </w:tcPr>
          <w:p w14:paraId="3074C3CF" w14:textId="77777777" w:rsidR="005F68B0" w:rsidRPr="005F68B0" w:rsidRDefault="005F68B0" w:rsidP="005F68B0">
            <w:r w:rsidRPr="005F68B0">
              <w:t>–47.3%</w:t>
            </w:r>
          </w:p>
        </w:tc>
      </w:tr>
      <w:tr w:rsidR="005F68B0" w:rsidRPr="005F68B0" w14:paraId="7899BDF1" w14:textId="77777777">
        <w:tc>
          <w:tcPr>
            <w:tcW w:w="0" w:type="auto"/>
            <w:tcMar>
              <w:top w:w="150" w:type="dxa"/>
              <w:left w:w="0" w:type="dxa"/>
              <w:bottom w:w="150" w:type="dxa"/>
              <w:right w:w="240" w:type="dxa"/>
            </w:tcMar>
            <w:vAlign w:val="center"/>
            <w:hideMark/>
          </w:tcPr>
          <w:p w14:paraId="35B19DDD" w14:textId="77777777" w:rsidR="005F68B0" w:rsidRPr="005F68B0" w:rsidRDefault="005F68B0" w:rsidP="005F68B0">
            <w:r w:rsidRPr="005F68B0">
              <w:rPr>
                <w:b/>
                <w:bCs/>
              </w:rPr>
              <w:t>Deals</w:t>
            </w:r>
          </w:p>
        </w:tc>
        <w:tc>
          <w:tcPr>
            <w:tcW w:w="0" w:type="auto"/>
            <w:tcMar>
              <w:top w:w="150" w:type="dxa"/>
              <w:left w:w="240" w:type="dxa"/>
              <w:bottom w:w="150" w:type="dxa"/>
              <w:right w:w="240" w:type="dxa"/>
            </w:tcMar>
            <w:vAlign w:val="center"/>
            <w:hideMark/>
          </w:tcPr>
          <w:p w14:paraId="7A01F415" w14:textId="77777777" w:rsidR="005F68B0" w:rsidRPr="005F68B0" w:rsidRDefault="005F68B0" w:rsidP="005F68B0">
            <w:r w:rsidRPr="005F68B0">
              <w:t>2,567</w:t>
            </w:r>
          </w:p>
        </w:tc>
        <w:tc>
          <w:tcPr>
            <w:tcW w:w="0" w:type="auto"/>
            <w:tcMar>
              <w:top w:w="150" w:type="dxa"/>
              <w:left w:w="240" w:type="dxa"/>
              <w:bottom w:w="150" w:type="dxa"/>
              <w:right w:w="240" w:type="dxa"/>
            </w:tcMar>
            <w:vAlign w:val="center"/>
            <w:hideMark/>
          </w:tcPr>
          <w:p w14:paraId="37FDD0CD" w14:textId="77777777" w:rsidR="005F68B0" w:rsidRPr="005F68B0" w:rsidRDefault="005F68B0" w:rsidP="005F68B0">
            <w:r w:rsidRPr="005F68B0">
              <w:rPr>
                <w:b/>
                <w:bCs/>
              </w:rPr>
              <w:t>2,692</w:t>
            </w:r>
          </w:p>
        </w:tc>
        <w:tc>
          <w:tcPr>
            <w:tcW w:w="0" w:type="auto"/>
            <w:tcMar>
              <w:top w:w="150" w:type="dxa"/>
              <w:left w:w="240" w:type="dxa"/>
              <w:bottom w:w="150" w:type="dxa"/>
              <w:right w:w="0" w:type="dxa"/>
            </w:tcMar>
            <w:vAlign w:val="center"/>
            <w:hideMark/>
          </w:tcPr>
          <w:p w14:paraId="1F401607" w14:textId="77777777" w:rsidR="005F68B0" w:rsidRPr="005F68B0" w:rsidRDefault="005F68B0" w:rsidP="005F68B0">
            <w:r w:rsidRPr="005F68B0">
              <w:t>+4.9%</w:t>
            </w:r>
          </w:p>
        </w:tc>
      </w:tr>
      <w:tr w:rsidR="005F68B0" w:rsidRPr="005F68B0" w14:paraId="128898EF" w14:textId="77777777">
        <w:tc>
          <w:tcPr>
            <w:tcW w:w="0" w:type="auto"/>
            <w:tcMar>
              <w:top w:w="150" w:type="dxa"/>
              <w:left w:w="0" w:type="dxa"/>
              <w:bottom w:w="150" w:type="dxa"/>
              <w:right w:w="240" w:type="dxa"/>
            </w:tcMar>
            <w:vAlign w:val="center"/>
            <w:hideMark/>
          </w:tcPr>
          <w:p w14:paraId="3D18B79E" w14:textId="77777777" w:rsidR="005F68B0" w:rsidRPr="005F68B0" w:rsidRDefault="005F68B0" w:rsidP="005F68B0">
            <w:r w:rsidRPr="005F68B0">
              <w:rPr>
                <w:b/>
                <w:bCs/>
              </w:rPr>
              <w:t>Bond Turnover</w:t>
            </w:r>
          </w:p>
        </w:tc>
        <w:tc>
          <w:tcPr>
            <w:tcW w:w="0" w:type="auto"/>
            <w:tcMar>
              <w:top w:w="150" w:type="dxa"/>
              <w:left w:w="240" w:type="dxa"/>
              <w:bottom w:w="150" w:type="dxa"/>
              <w:right w:w="240" w:type="dxa"/>
            </w:tcMar>
            <w:vAlign w:val="center"/>
            <w:hideMark/>
          </w:tcPr>
          <w:p w14:paraId="784905FB" w14:textId="77777777" w:rsidR="005F68B0" w:rsidRPr="005F68B0" w:rsidRDefault="005F68B0" w:rsidP="005F68B0">
            <w:r w:rsidRPr="005F68B0">
              <w:t>TZS 18.56 bn</w:t>
            </w:r>
          </w:p>
        </w:tc>
        <w:tc>
          <w:tcPr>
            <w:tcW w:w="0" w:type="auto"/>
            <w:tcMar>
              <w:top w:w="150" w:type="dxa"/>
              <w:left w:w="240" w:type="dxa"/>
              <w:bottom w:w="150" w:type="dxa"/>
              <w:right w:w="240" w:type="dxa"/>
            </w:tcMar>
            <w:vAlign w:val="center"/>
            <w:hideMark/>
          </w:tcPr>
          <w:p w14:paraId="2477695E" w14:textId="77777777" w:rsidR="005F68B0" w:rsidRPr="005F68B0" w:rsidRDefault="005F68B0" w:rsidP="005F68B0">
            <w:r w:rsidRPr="005F68B0">
              <w:rPr>
                <w:b/>
                <w:bCs/>
              </w:rPr>
              <w:t>TZS 3.51 bn</w:t>
            </w:r>
          </w:p>
        </w:tc>
        <w:tc>
          <w:tcPr>
            <w:tcW w:w="0" w:type="auto"/>
            <w:tcMar>
              <w:top w:w="150" w:type="dxa"/>
              <w:left w:w="240" w:type="dxa"/>
              <w:bottom w:w="150" w:type="dxa"/>
              <w:right w:w="0" w:type="dxa"/>
            </w:tcMar>
            <w:vAlign w:val="center"/>
            <w:hideMark/>
          </w:tcPr>
          <w:p w14:paraId="1412064E" w14:textId="77777777" w:rsidR="005F68B0" w:rsidRPr="005F68B0" w:rsidRDefault="005F68B0" w:rsidP="005F68B0">
            <w:r w:rsidRPr="005F68B0">
              <w:t>–81.1%</w:t>
            </w:r>
          </w:p>
        </w:tc>
      </w:tr>
      <w:tr w:rsidR="005F68B0" w:rsidRPr="005F68B0" w14:paraId="1A35668D" w14:textId="77777777">
        <w:tc>
          <w:tcPr>
            <w:tcW w:w="0" w:type="auto"/>
            <w:tcMar>
              <w:top w:w="150" w:type="dxa"/>
              <w:left w:w="0" w:type="dxa"/>
              <w:bottom w:w="150" w:type="dxa"/>
              <w:right w:w="240" w:type="dxa"/>
            </w:tcMar>
            <w:vAlign w:val="center"/>
            <w:hideMark/>
          </w:tcPr>
          <w:p w14:paraId="1D5FBDF3" w14:textId="77777777" w:rsidR="005F68B0" w:rsidRPr="005F68B0" w:rsidRDefault="005F68B0" w:rsidP="005F68B0">
            <w:r w:rsidRPr="005F68B0">
              <w:rPr>
                <w:b/>
                <w:bCs/>
              </w:rPr>
              <w:t>ETF Turnover</w:t>
            </w:r>
          </w:p>
        </w:tc>
        <w:tc>
          <w:tcPr>
            <w:tcW w:w="0" w:type="auto"/>
            <w:tcMar>
              <w:top w:w="150" w:type="dxa"/>
              <w:left w:w="240" w:type="dxa"/>
              <w:bottom w:w="150" w:type="dxa"/>
              <w:right w:w="240" w:type="dxa"/>
            </w:tcMar>
            <w:vAlign w:val="center"/>
            <w:hideMark/>
          </w:tcPr>
          <w:p w14:paraId="7D06E4CC" w14:textId="77777777" w:rsidR="005F68B0" w:rsidRPr="005F68B0" w:rsidRDefault="005F68B0" w:rsidP="005F68B0">
            <w:r w:rsidRPr="005F68B0">
              <w:t>TZS 0.11 bn</w:t>
            </w:r>
          </w:p>
        </w:tc>
        <w:tc>
          <w:tcPr>
            <w:tcW w:w="0" w:type="auto"/>
            <w:tcMar>
              <w:top w:w="150" w:type="dxa"/>
              <w:left w:w="240" w:type="dxa"/>
              <w:bottom w:w="150" w:type="dxa"/>
              <w:right w:w="240" w:type="dxa"/>
            </w:tcMar>
            <w:vAlign w:val="center"/>
            <w:hideMark/>
          </w:tcPr>
          <w:p w14:paraId="0C8457EE" w14:textId="77777777" w:rsidR="005F68B0" w:rsidRPr="005F68B0" w:rsidRDefault="005F68B0" w:rsidP="005F68B0">
            <w:r w:rsidRPr="005F68B0">
              <w:rPr>
                <w:b/>
                <w:bCs/>
              </w:rPr>
              <w:t>TZS 3.22 bn¹</w:t>
            </w:r>
          </w:p>
        </w:tc>
        <w:tc>
          <w:tcPr>
            <w:tcW w:w="0" w:type="auto"/>
            <w:tcMar>
              <w:top w:w="150" w:type="dxa"/>
              <w:left w:w="240" w:type="dxa"/>
              <w:bottom w:w="150" w:type="dxa"/>
              <w:right w:w="0" w:type="dxa"/>
            </w:tcMar>
            <w:vAlign w:val="center"/>
            <w:hideMark/>
          </w:tcPr>
          <w:p w14:paraId="4C2DF5A4" w14:textId="77777777" w:rsidR="005F68B0" w:rsidRPr="005F68B0" w:rsidRDefault="005F68B0" w:rsidP="005F68B0">
            <w:r w:rsidRPr="005F68B0">
              <w:t>—</w:t>
            </w:r>
          </w:p>
        </w:tc>
      </w:tr>
      <w:tr w:rsidR="005F68B0" w:rsidRPr="005F68B0" w14:paraId="63B250E3" w14:textId="77777777">
        <w:tc>
          <w:tcPr>
            <w:tcW w:w="0" w:type="auto"/>
            <w:tcMar>
              <w:top w:w="150" w:type="dxa"/>
              <w:left w:w="0" w:type="dxa"/>
              <w:bottom w:w="150" w:type="dxa"/>
              <w:right w:w="240" w:type="dxa"/>
            </w:tcMar>
            <w:vAlign w:val="center"/>
            <w:hideMark/>
          </w:tcPr>
          <w:p w14:paraId="0DABFE20" w14:textId="77777777" w:rsidR="005F68B0" w:rsidRPr="005F68B0" w:rsidRDefault="005F68B0" w:rsidP="005F68B0">
            <w:r w:rsidRPr="005F68B0">
              <w:rPr>
                <w:b/>
                <w:bCs/>
              </w:rPr>
              <w:t>Foreign Buying</w:t>
            </w:r>
          </w:p>
        </w:tc>
        <w:tc>
          <w:tcPr>
            <w:tcW w:w="0" w:type="auto"/>
            <w:tcMar>
              <w:top w:w="150" w:type="dxa"/>
              <w:left w:w="240" w:type="dxa"/>
              <w:bottom w:w="150" w:type="dxa"/>
              <w:right w:w="240" w:type="dxa"/>
            </w:tcMar>
            <w:vAlign w:val="center"/>
            <w:hideMark/>
          </w:tcPr>
          <w:p w14:paraId="1A40CF5E" w14:textId="77777777" w:rsidR="005F68B0" w:rsidRPr="005F68B0" w:rsidRDefault="005F68B0" w:rsidP="005F68B0">
            <w:r w:rsidRPr="005F68B0">
              <w:t>2.26%</w:t>
            </w:r>
          </w:p>
        </w:tc>
        <w:tc>
          <w:tcPr>
            <w:tcW w:w="0" w:type="auto"/>
            <w:tcMar>
              <w:top w:w="150" w:type="dxa"/>
              <w:left w:w="240" w:type="dxa"/>
              <w:bottom w:w="150" w:type="dxa"/>
              <w:right w:w="240" w:type="dxa"/>
            </w:tcMar>
            <w:vAlign w:val="center"/>
            <w:hideMark/>
          </w:tcPr>
          <w:p w14:paraId="43601666" w14:textId="77777777" w:rsidR="005F68B0" w:rsidRPr="005F68B0" w:rsidRDefault="005F68B0" w:rsidP="005F68B0">
            <w:r w:rsidRPr="005F68B0">
              <w:rPr>
                <w:b/>
                <w:bCs/>
              </w:rPr>
              <w:t>0.47%</w:t>
            </w:r>
          </w:p>
        </w:tc>
        <w:tc>
          <w:tcPr>
            <w:tcW w:w="0" w:type="auto"/>
            <w:tcMar>
              <w:top w:w="150" w:type="dxa"/>
              <w:left w:w="240" w:type="dxa"/>
              <w:bottom w:w="150" w:type="dxa"/>
              <w:right w:w="0" w:type="dxa"/>
            </w:tcMar>
            <w:vAlign w:val="center"/>
            <w:hideMark/>
          </w:tcPr>
          <w:p w14:paraId="58482B4F" w14:textId="77777777" w:rsidR="005F68B0" w:rsidRPr="005F68B0" w:rsidRDefault="005F68B0" w:rsidP="005F68B0">
            <w:r w:rsidRPr="005F68B0">
              <w:t>—</w:t>
            </w:r>
          </w:p>
        </w:tc>
      </w:tr>
      <w:tr w:rsidR="005F68B0" w:rsidRPr="005F68B0" w14:paraId="4CD5A414" w14:textId="77777777">
        <w:tc>
          <w:tcPr>
            <w:tcW w:w="0" w:type="auto"/>
            <w:tcMar>
              <w:top w:w="150" w:type="dxa"/>
              <w:left w:w="0" w:type="dxa"/>
              <w:bottom w:w="150" w:type="dxa"/>
              <w:right w:w="240" w:type="dxa"/>
            </w:tcMar>
            <w:vAlign w:val="center"/>
            <w:hideMark/>
          </w:tcPr>
          <w:p w14:paraId="4AD5F07A" w14:textId="77777777" w:rsidR="005F68B0" w:rsidRPr="005F68B0" w:rsidRDefault="005F68B0" w:rsidP="005F68B0">
            <w:r w:rsidRPr="005F68B0">
              <w:rPr>
                <w:b/>
                <w:bCs/>
              </w:rPr>
              <w:t>Foreign Selling</w:t>
            </w:r>
          </w:p>
        </w:tc>
        <w:tc>
          <w:tcPr>
            <w:tcW w:w="0" w:type="auto"/>
            <w:tcMar>
              <w:top w:w="150" w:type="dxa"/>
              <w:left w:w="240" w:type="dxa"/>
              <w:bottom w:w="150" w:type="dxa"/>
              <w:right w:w="240" w:type="dxa"/>
            </w:tcMar>
            <w:vAlign w:val="center"/>
            <w:hideMark/>
          </w:tcPr>
          <w:p w14:paraId="0C775443" w14:textId="77777777" w:rsidR="005F68B0" w:rsidRPr="005F68B0" w:rsidRDefault="005F68B0" w:rsidP="005F68B0">
            <w:r w:rsidRPr="005F68B0">
              <w:t>18.74%</w:t>
            </w:r>
          </w:p>
        </w:tc>
        <w:tc>
          <w:tcPr>
            <w:tcW w:w="0" w:type="auto"/>
            <w:tcMar>
              <w:top w:w="150" w:type="dxa"/>
              <w:left w:w="240" w:type="dxa"/>
              <w:bottom w:w="150" w:type="dxa"/>
              <w:right w:w="240" w:type="dxa"/>
            </w:tcMar>
            <w:vAlign w:val="center"/>
            <w:hideMark/>
          </w:tcPr>
          <w:p w14:paraId="58E83CF2" w14:textId="77777777" w:rsidR="005F68B0" w:rsidRPr="005F68B0" w:rsidRDefault="005F68B0" w:rsidP="005F68B0">
            <w:r w:rsidRPr="005F68B0">
              <w:rPr>
                <w:b/>
                <w:bCs/>
              </w:rPr>
              <w:t>2.72%</w:t>
            </w:r>
          </w:p>
        </w:tc>
        <w:tc>
          <w:tcPr>
            <w:tcW w:w="0" w:type="auto"/>
            <w:tcMar>
              <w:top w:w="150" w:type="dxa"/>
              <w:left w:w="240" w:type="dxa"/>
              <w:bottom w:w="150" w:type="dxa"/>
              <w:right w:w="0" w:type="dxa"/>
            </w:tcMar>
            <w:vAlign w:val="center"/>
            <w:hideMark/>
          </w:tcPr>
          <w:p w14:paraId="6076E901" w14:textId="77777777" w:rsidR="005F68B0" w:rsidRPr="005F68B0" w:rsidRDefault="005F68B0" w:rsidP="005F68B0">
            <w:r w:rsidRPr="005F68B0">
              <w:t>—</w:t>
            </w:r>
          </w:p>
        </w:tc>
      </w:tr>
    </w:tbl>
    <w:p w14:paraId="3B046F81" w14:textId="77777777" w:rsidR="005F68B0" w:rsidRPr="005F68B0" w:rsidRDefault="005F68B0" w:rsidP="005F68B0">
      <w:r w:rsidRPr="005F68B0">
        <w:rPr>
          <w:i/>
          <w:iCs/>
        </w:rPr>
        <w:t>¹ Includes a single pre</w:t>
      </w:r>
      <w:r w:rsidRPr="005F68B0">
        <w:rPr>
          <w:i/>
          <w:iCs/>
        </w:rPr>
        <w:noBreakHyphen/>
        <w:t>arranged block trade of 2,330,000 IEACLC</w:t>
      </w:r>
      <w:r w:rsidRPr="005F68B0">
        <w:rPr>
          <w:i/>
          <w:iCs/>
        </w:rPr>
        <w:noBreakHyphen/>
        <w:t>ETF shares, worth approximately TZS</w:t>
      </w:r>
      <w:r w:rsidRPr="005F68B0">
        <w:rPr>
          <w:rFonts w:ascii="Arial" w:hAnsi="Arial" w:cs="Arial"/>
          <w:i/>
          <w:iCs/>
        </w:rPr>
        <w:t> </w:t>
      </w:r>
      <w:r w:rsidRPr="005F68B0">
        <w:rPr>
          <w:i/>
          <w:iCs/>
        </w:rPr>
        <w:t>3.15</w:t>
      </w:r>
      <w:r w:rsidRPr="005F68B0">
        <w:rPr>
          <w:rFonts w:ascii="Arial" w:hAnsi="Arial" w:cs="Arial"/>
          <w:i/>
          <w:iCs/>
        </w:rPr>
        <w:t> </w:t>
      </w:r>
      <w:r w:rsidRPr="005F68B0">
        <w:rPr>
          <w:i/>
          <w:iCs/>
        </w:rPr>
        <w:t>billion.</w:t>
      </w:r>
    </w:p>
    <w:p w14:paraId="34367258" w14:textId="77777777" w:rsidR="005F68B0" w:rsidRPr="005F68B0" w:rsidRDefault="005F68B0" w:rsidP="005F68B0">
      <w:r w:rsidRPr="005F68B0">
        <w:lastRenderedPageBreak/>
        <w:t>Equity activity on the normal board continued to moderate, but the number of individual deals actually rose, indicating that small and mid</w:t>
      </w:r>
      <w:r w:rsidRPr="005F68B0">
        <w:noBreakHyphen/>
        <w:t>sized investors remain engaged. The All</w:t>
      </w:r>
      <w:r w:rsidRPr="005F68B0">
        <w:noBreakHyphen/>
        <w:t>Share Index edged fractionally higher, consolidating its August base.</w:t>
      </w:r>
    </w:p>
    <w:p w14:paraId="27CD6293" w14:textId="77777777" w:rsidR="005F68B0" w:rsidRPr="005F68B0" w:rsidRDefault="005F68B0" w:rsidP="005F68B0">
      <w:r w:rsidRPr="005F68B0">
        <w:t>The star of the day was not a stock but an </w:t>
      </w:r>
      <w:r w:rsidRPr="005F68B0">
        <w:rPr>
          <w:b/>
          <w:bCs/>
        </w:rPr>
        <w:t>Exchange</w:t>
      </w:r>
      <w:r w:rsidRPr="005F68B0">
        <w:rPr>
          <w:b/>
          <w:bCs/>
        </w:rPr>
        <w:noBreakHyphen/>
        <w:t>Traded Fund</w:t>
      </w:r>
      <w:r w:rsidRPr="005F68B0">
        <w:t>. The IEACLC</w:t>
      </w:r>
      <w:r w:rsidRPr="005F68B0">
        <w:noBreakHyphen/>
        <w:t>ETF saw a pre</w:t>
      </w:r>
      <w:r w:rsidRPr="005F68B0">
        <w:noBreakHyphen/>
        <w:t>arranged block trade of over 2.3</w:t>
      </w:r>
      <w:r w:rsidRPr="005F68B0">
        <w:rPr>
          <w:rFonts w:ascii="Arial" w:hAnsi="Arial" w:cs="Arial"/>
        </w:rPr>
        <w:t> </w:t>
      </w:r>
      <w:r w:rsidRPr="005F68B0">
        <w:t>million shares change hands between two large institutions. This single transaction accounted for almost all the day</w:t>
      </w:r>
      <w:r w:rsidRPr="005F68B0">
        <w:rPr>
          <w:rFonts w:ascii="Aptos" w:hAnsi="Aptos" w:cs="Aptos"/>
        </w:rPr>
        <w:t>’</w:t>
      </w:r>
      <w:r w:rsidRPr="005F68B0">
        <w:t>s ETF turnover and was significant enough to push the total market turnover figure into an entirely different league. Because the trade was negotiated privately and reported on the pre</w:t>
      </w:r>
      <w:r w:rsidRPr="005F68B0">
        <w:noBreakHyphen/>
        <w:t>arranged board, the underlying shares held by the ETF were not affected, and the equity market itself remained calm.</w:t>
      </w:r>
    </w:p>
    <w:p w14:paraId="0D4B7B9F" w14:textId="77777777" w:rsidR="005F68B0" w:rsidRPr="005F68B0" w:rsidRDefault="005F68B0" w:rsidP="005F68B0">
      <w:r w:rsidRPr="005F68B0">
        <w:t>Foreign participation remained minimal. Both buying and selling by international investors were negligible, confirming that the market is now firmly anchored by domestic capital.</w:t>
      </w:r>
    </w:p>
    <w:p w14:paraId="23D22A8D" w14:textId="77777777" w:rsidR="005F68B0" w:rsidRPr="005F68B0" w:rsidRDefault="005F68B0" w:rsidP="005F68B0">
      <w:r w:rsidRPr="005F68B0">
        <w:pict w14:anchorId="22BBF455">
          <v:rect id="_x0000_i1080" style="width:0;height:.75pt" o:hralign="center" o:hrstd="t" o:hr="t" fillcolor="#a0a0a0" stroked="f"/>
        </w:pict>
      </w:r>
    </w:p>
    <w:p w14:paraId="50B72802" w14:textId="77777777" w:rsidR="005F68B0" w:rsidRPr="005F68B0" w:rsidRDefault="005F68B0" w:rsidP="005F68B0">
      <w:pPr>
        <w:rPr>
          <w:b/>
          <w:bCs/>
        </w:rPr>
      </w:pPr>
      <w:r w:rsidRPr="005F68B0">
        <w:rPr>
          <w:b/>
          <w:bCs/>
        </w:rPr>
        <w:t>2. Top Movers</w:t>
      </w:r>
    </w:p>
    <w:tbl>
      <w:tblPr>
        <w:tblW w:w="0" w:type="auto"/>
        <w:tblCellMar>
          <w:top w:w="15" w:type="dxa"/>
          <w:left w:w="15" w:type="dxa"/>
          <w:bottom w:w="15" w:type="dxa"/>
          <w:right w:w="15" w:type="dxa"/>
        </w:tblCellMar>
        <w:tblLook w:val="04A0" w:firstRow="1" w:lastRow="0" w:firstColumn="1" w:lastColumn="0" w:noHBand="0" w:noVBand="1"/>
      </w:tblPr>
      <w:tblGrid>
        <w:gridCol w:w="880"/>
        <w:gridCol w:w="2401"/>
        <w:gridCol w:w="1280"/>
        <w:gridCol w:w="1271"/>
      </w:tblGrid>
      <w:tr w:rsidR="005F68B0" w:rsidRPr="005F68B0" w14:paraId="4077CC1C" w14:textId="77777777">
        <w:trPr>
          <w:tblHeader/>
        </w:trPr>
        <w:tc>
          <w:tcPr>
            <w:tcW w:w="0" w:type="auto"/>
            <w:tcBorders>
              <w:top w:val="nil"/>
            </w:tcBorders>
            <w:tcMar>
              <w:top w:w="150" w:type="dxa"/>
              <w:left w:w="0" w:type="dxa"/>
              <w:bottom w:w="150" w:type="dxa"/>
              <w:right w:w="240" w:type="dxa"/>
            </w:tcMar>
            <w:vAlign w:val="center"/>
            <w:hideMark/>
          </w:tcPr>
          <w:p w14:paraId="1D86A4D4" w14:textId="77777777" w:rsidR="005F68B0" w:rsidRPr="005F68B0" w:rsidRDefault="005F68B0" w:rsidP="005F68B0">
            <w:r w:rsidRPr="005F68B0">
              <w:t>Ticker</w:t>
            </w:r>
          </w:p>
        </w:tc>
        <w:tc>
          <w:tcPr>
            <w:tcW w:w="0" w:type="auto"/>
            <w:tcBorders>
              <w:top w:val="nil"/>
            </w:tcBorders>
            <w:tcMar>
              <w:top w:w="150" w:type="dxa"/>
              <w:left w:w="240" w:type="dxa"/>
              <w:bottom w:w="150" w:type="dxa"/>
              <w:right w:w="240" w:type="dxa"/>
            </w:tcMar>
            <w:vAlign w:val="center"/>
            <w:hideMark/>
          </w:tcPr>
          <w:p w14:paraId="516E1329" w14:textId="77777777" w:rsidR="005F68B0" w:rsidRPr="005F68B0" w:rsidRDefault="005F68B0" w:rsidP="005F68B0">
            <w:r w:rsidRPr="005F68B0">
              <w:t>Closing Price (TZS)</w:t>
            </w:r>
          </w:p>
        </w:tc>
        <w:tc>
          <w:tcPr>
            <w:tcW w:w="0" w:type="auto"/>
            <w:tcBorders>
              <w:top w:val="nil"/>
            </w:tcBorders>
            <w:tcMar>
              <w:top w:w="150" w:type="dxa"/>
              <w:left w:w="240" w:type="dxa"/>
              <w:bottom w:w="150" w:type="dxa"/>
              <w:right w:w="240" w:type="dxa"/>
            </w:tcMar>
            <w:vAlign w:val="center"/>
            <w:hideMark/>
          </w:tcPr>
          <w:p w14:paraId="06E1E3F0" w14:textId="77777777" w:rsidR="005F68B0" w:rsidRPr="005F68B0" w:rsidRDefault="005F68B0" w:rsidP="005F68B0">
            <w:r w:rsidRPr="005F68B0">
              <w:t>Change</w:t>
            </w:r>
          </w:p>
        </w:tc>
        <w:tc>
          <w:tcPr>
            <w:tcW w:w="0" w:type="auto"/>
            <w:tcBorders>
              <w:top w:val="nil"/>
            </w:tcBorders>
            <w:tcMar>
              <w:top w:w="150" w:type="dxa"/>
              <w:left w:w="240" w:type="dxa"/>
              <w:bottom w:w="150" w:type="dxa"/>
              <w:right w:w="240" w:type="dxa"/>
            </w:tcMar>
            <w:vAlign w:val="center"/>
            <w:hideMark/>
          </w:tcPr>
          <w:p w14:paraId="22F23213" w14:textId="77777777" w:rsidR="005F68B0" w:rsidRPr="005F68B0" w:rsidRDefault="005F68B0" w:rsidP="005F68B0">
            <w:r w:rsidRPr="005F68B0">
              <w:t>Volume</w:t>
            </w:r>
          </w:p>
        </w:tc>
      </w:tr>
      <w:tr w:rsidR="005F68B0" w:rsidRPr="005F68B0" w14:paraId="10E4D3AD" w14:textId="77777777">
        <w:tc>
          <w:tcPr>
            <w:tcW w:w="0" w:type="auto"/>
            <w:tcMar>
              <w:top w:w="150" w:type="dxa"/>
              <w:left w:w="0" w:type="dxa"/>
              <w:bottom w:w="150" w:type="dxa"/>
              <w:right w:w="240" w:type="dxa"/>
            </w:tcMar>
            <w:vAlign w:val="center"/>
            <w:hideMark/>
          </w:tcPr>
          <w:p w14:paraId="4EDE1368" w14:textId="77777777" w:rsidR="005F68B0" w:rsidRPr="005F68B0" w:rsidRDefault="005F68B0" w:rsidP="005F68B0">
            <w:r w:rsidRPr="005F68B0">
              <w:rPr>
                <w:b/>
                <w:bCs/>
              </w:rPr>
              <w:t>NMB</w:t>
            </w:r>
          </w:p>
        </w:tc>
        <w:tc>
          <w:tcPr>
            <w:tcW w:w="0" w:type="auto"/>
            <w:tcMar>
              <w:top w:w="150" w:type="dxa"/>
              <w:left w:w="240" w:type="dxa"/>
              <w:bottom w:w="150" w:type="dxa"/>
              <w:right w:w="240" w:type="dxa"/>
            </w:tcMar>
            <w:vAlign w:val="center"/>
            <w:hideMark/>
          </w:tcPr>
          <w:p w14:paraId="389B5054" w14:textId="77777777" w:rsidR="005F68B0" w:rsidRPr="005F68B0" w:rsidRDefault="005F68B0" w:rsidP="005F68B0">
            <w:r w:rsidRPr="005F68B0">
              <w:t>17,600</w:t>
            </w:r>
          </w:p>
        </w:tc>
        <w:tc>
          <w:tcPr>
            <w:tcW w:w="0" w:type="auto"/>
            <w:tcMar>
              <w:top w:w="150" w:type="dxa"/>
              <w:left w:w="240" w:type="dxa"/>
              <w:bottom w:w="150" w:type="dxa"/>
              <w:right w:w="240" w:type="dxa"/>
            </w:tcMar>
            <w:vAlign w:val="center"/>
            <w:hideMark/>
          </w:tcPr>
          <w:p w14:paraId="39656E4C" w14:textId="77777777" w:rsidR="005F68B0" w:rsidRPr="005F68B0" w:rsidRDefault="005F68B0" w:rsidP="005F68B0">
            <w:r w:rsidRPr="005F68B0">
              <w:t>+0.2%</w:t>
            </w:r>
          </w:p>
        </w:tc>
        <w:tc>
          <w:tcPr>
            <w:tcW w:w="0" w:type="auto"/>
            <w:tcMar>
              <w:top w:w="150" w:type="dxa"/>
              <w:left w:w="240" w:type="dxa"/>
              <w:bottom w:w="150" w:type="dxa"/>
              <w:right w:w="0" w:type="dxa"/>
            </w:tcMar>
            <w:vAlign w:val="center"/>
            <w:hideMark/>
          </w:tcPr>
          <w:p w14:paraId="034533E7" w14:textId="77777777" w:rsidR="005F68B0" w:rsidRPr="005F68B0" w:rsidRDefault="005F68B0" w:rsidP="005F68B0">
            <w:r w:rsidRPr="005F68B0">
              <w:t>172,957²</w:t>
            </w:r>
          </w:p>
        </w:tc>
      </w:tr>
      <w:tr w:rsidR="005F68B0" w:rsidRPr="005F68B0" w14:paraId="6D222DA6" w14:textId="77777777">
        <w:tc>
          <w:tcPr>
            <w:tcW w:w="0" w:type="auto"/>
            <w:tcMar>
              <w:top w:w="150" w:type="dxa"/>
              <w:left w:w="0" w:type="dxa"/>
              <w:bottom w:w="150" w:type="dxa"/>
              <w:right w:w="240" w:type="dxa"/>
            </w:tcMar>
            <w:vAlign w:val="center"/>
            <w:hideMark/>
          </w:tcPr>
          <w:p w14:paraId="35995484" w14:textId="77777777" w:rsidR="005F68B0" w:rsidRPr="005F68B0" w:rsidRDefault="005F68B0" w:rsidP="005F68B0">
            <w:r w:rsidRPr="005F68B0">
              <w:rPr>
                <w:b/>
                <w:bCs/>
              </w:rPr>
              <w:t>VODA</w:t>
            </w:r>
          </w:p>
        </w:tc>
        <w:tc>
          <w:tcPr>
            <w:tcW w:w="0" w:type="auto"/>
            <w:tcMar>
              <w:top w:w="150" w:type="dxa"/>
              <w:left w:w="240" w:type="dxa"/>
              <w:bottom w:w="150" w:type="dxa"/>
              <w:right w:w="240" w:type="dxa"/>
            </w:tcMar>
            <w:vAlign w:val="center"/>
            <w:hideMark/>
          </w:tcPr>
          <w:p w14:paraId="564C0D11" w14:textId="77777777" w:rsidR="005F68B0" w:rsidRPr="005F68B0" w:rsidRDefault="005F68B0" w:rsidP="005F68B0">
            <w:r w:rsidRPr="005F68B0">
              <w:t>1,000</w:t>
            </w:r>
          </w:p>
        </w:tc>
        <w:tc>
          <w:tcPr>
            <w:tcW w:w="0" w:type="auto"/>
            <w:tcMar>
              <w:top w:w="150" w:type="dxa"/>
              <w:left w:w="240" w:type="dxa"/>
              <w:bottom w:w="150" w:type="dxa"/>
              <w:right w:w="240" w:type="dxa"/>
            </w:tcMar>
            <w:vAlign w:val="center"/>
            <w:hideMark/>
          </w:tcPr>
          <w:p w14:paraId="3E9E1919" w14:textId="77777777" w:rsidR="005F68B0" w:rsidRPr="005F68B0" w:rsidRDefault="005F68B0" w:rsidP="005F68B0">
            <w:r w:rsidRPr="005F68B0">
              <w:t>0.0%</w:t>
            </w:r>
          </w:p>
        </w:tc>
        <w:tc>
          <w:tcPr>
            <w:tcW w:w="0" w:type="auto"/>
            <w:tcMar>
              <w:top w:w="150" w:type="dxa"/>
              <w:left w:w="240" w:type="dxa"/>
              <w:bottom w:w="150" w:type="dxa"/>
              <w:right w:w="0" w:type="dxa"/>
            </w:tcMar>
            <w:vAlign w:val="center"/>
            <w:hideMark/>
          </w:tcPr>
          <w:p w14:paraId="52359857" w14:textId="77777777" w:rsidR="005F68B0" w:rsidRPr="005F68B0" w:rsidRDefault="005F68B0" w:rsidP="005F68B0">
            <w:r w:rsidRPr="005F68B0">
              <w:t>281,103</w:t>
            </w:r>
          </w:p>
        </w:tc>
      </w:tr>
      <w:tr w:rsidR="005F68B0" w:rsidRPr="005F68B0" w14:paraId="47F0E803" w14:textId="77777777">
        <w:tc>
          <w:tcPr>
            <w:tcW w:w="0" w:type="auto"/>
            <w:tcMar>
              <w:top w:w="150" w:type="dxa"/>
              <w:left w:w="0" w:type="dxa"/>
              <w:bottom w:w="150" w:type="dxa"/>
              <w:right w:w="240" w:type="dxa"/>
            </w:tcMar>
            <w:vAlign w:val="center"/>
            <w:hideMark/>
          </w:tcPr>
          <w:p w14:paraId="533E36A9" w14:textId="77777777" w:rsidR="005F68B0" w:rsidRPr="005F68B0" w:rsidRDefault="005F68B0" w:rsidP="005F68B0">
            <w:r w:rsidRPr="005F68B0">
              <w:rPr>
                <w:b/>
                <w:bCs/>
              </w:rPr>
              <w:t>CRDB</w:t>
            </w:r>
          </w:p>
        </w:tc>
        <w:tc>
          <w:tcPr>
            <w:tcW w:w="0" w:type="auto"/>
            <w:tcMar>
              <w:top w:w="150" w:type="dxa"/>
              <w:left w:w="240" w:type="dxa"/>
              <w:bottom w:w="150" w:type="dxa"/>
              <w:right w:w="240" w:type="dxa"/>
            </w:tcMar>
            <w:vAlign w:val="center"/>
            <w:hideMark/>
          </w:tcPr>
          <w:p w14:paraId="14C3C6E4" w14:textId="77777777" w:rsidR="005F68B0" w:rsidRPr="005F68B0" w:rsidRDefault="005F68B0" w:rsidP="005F68B0">
            <w:r w:rsidRPr="005F68B0">
              <w:t>2,580</w:t>
            </w:r>
          </w:p>
        </w:tc>
        <w:tc>
          <w:tcPr>
            <w:tcW w:w="0" w:type="auto"/>
            <w:tcMar>
              <w:top w:w="150" w:type="dxa"/>
              <w:left w:w="240" w:type="dxa"/>
              <w:bottom w:w="150" w:type="dxa"/>
              <w:right w:w="240" w:type="dxa"/>
            </w:tcMar>
            <w:vAlign w:val="center"/>
            <w:hideMark/>
          </w:tcPr>
          <w:p w14:paraId="35B1D5F8" w14:textId="77777777" w:rsidR="005F68B0" w:rsidRPr="005F68B0" w:rsidRDefault="005F68B0" w:rsidP="005F68B0">
            <w:r w:rsidRPr="005F68B0">
              <w:t>0.0%</w:t>
            </w:r>
          </w:p>
        </w:tc>
        <w:tc>
          <w:tcPr>
            <w:tcW w:w="0" w:type="auto"/>
            <w:tcMar>
              <w:top w:w="150" w:type="dxa"/>
              <w:left w:w="240" w:type="dxa"/>
              <w:bottom w:w="150" w:type="dxa"/>
              <w:right w:w="0" w:type="dxa"/>
            </w:tcMar>
            <w:vAlign w:val="center"/>
            <w:hideMark/>
          </w:tcPr>
          <w:p w14:paraId="026A6D54" w14:textId="77777777" w:rsidR="005F68B0" w:rsidRPr="005F68B0" w:rsidRDefault="005F68B0" w:rsidP="005F68B0">
            <w:r w:rsidRPr="005F68B0">
              <w:t>366,364</w:t>
            </w:r>
          </w:p>
        </w:tc>
      </w:tr>
      <w:tr w:rsidR="005F68B0" w:rsidRPr="005F68B0" w14:paraId="0E101B36" w14:textId="77777777">
        <w:tc>
          <w:tcPr>
            <w:tcW w:w="0" w:type="auto"/>
            <w:tcMar>
              <w:top w:w="150" w:type="dxa"/>
              <w:left w:w="0" w:type="dxa"/>
              <w:bottom w:w="150" w:type="dxa"/>
              <w:right w:w="240" w:type="dxa"/>
            </w:tcMar>
            <w:vAlign w:val="center"/>
            <w:hideMark/>
          </w:tcPr>
          <w:p w14:paraId="00019349" w14:textId="77777777" w:rsidR="005F68B0" w:rsidRPr="005F68B0" w:rsidRDefault="005F68B0" w:rsidP="005F68B0">
            <w:r w:rsidRPr="005F68B0">
              <w:rPr>
                <w:b/>
                <w:bCs/>
              </w:rPr>
              <w:t>TBL</w:t>
            </w:r>
          </w:p>
        </w:tc>
        <w:tc>
          <w:tcPr>
            <w:tcW w:w="0" w:type="auto"/>
            <w:tcMar>
              <w:top w:w="150" w:type="dxa"/>
              <w:left w:w="240" w:type="dxa"/>
              <w:bottom w:w="150" w:type="dxa"/>
              <w:right w:w="240" w:type="dxa"/>
            </w:tcMar>
            <w:vAlign w:val="center"/>
            <w:hideMark/>
          </w:tcPr>
          <w:p w14:paraId="577C19FB" w14:textId="77777777" w:rsidR="005F68B0" w:rsidRPr="005F68B0" w:rsidRDefault="005F68B0" w:rsidP="005F68B0">
            <w:r w:rsidRPr="005F68B0">
              <w:t>10,090</w:t>
            </w:r>
          </w:p>
        </w:tc>
        <w:tc>
          <w:tcPr>
            <w:tcW w:w="0" w:type="auto"/>
            <w:tcMar>
              <w:top w:w="150" w:type="dxa"/>
              <w:left w:w="240" w:type="dxa"/>
              <w:bottom w:w="150" w:type="dxa"/>
              <w:right w:w="240" w:type="dxa"/>
            </w:tcMar>
            <w:vAlign w:val="center"/>
            <w:hideMark/>
          </w:tcPr>
          <w:p w14:paraId="4EFD9072" w14:textId="77777777" w:rsidR="005F68B0" w:rsidRPr="005F68B0" w:rsidRDefault="005F68B0" w:rsidP="005F68B0">
            <w:r w:rsidRPr="005F68B0">
              <w:t>+1.0%</w:t>
            </w:r>
          </w:p>
        </w:tc>
        <w:tc>
          <w:tcPr>
            <w:tcW w:w="0" w:type="auto"/>
            <w:tcMar>
              <w:top w:w="150" w:type="dxa"/>
              <w:left w:w="240" w:type="dxa"/>
              <w:bottom w:w="150" w:type="dxa"/>
              <w:right w:w="0" w:type="dxa"/>
            </w:tcMar>
            <w:vAlign w:val="center"/>
            <w:hideMark/>
          </w:tcPr>
          <w:p w14:paraId="709B3A15" w14:textId="77777777" w:rsidR="005F68B0" w:rsidRPr="005F68B0" w:rsidRDefault="005F68B0" w:rsidP="005F68B0">
            <w:r w:rsidRPr="005F68B0">
              <w:t>998</w:t>
            </w:r>
          </w:p>
        </w:tc>
      </w:tr>
      <w:tr w:rsidR="005F68B0" w:rsidRPr="005F68B0" w14:paraId="512F124E" w14:textId="77777777">
        <w:tc>
          <w:tcPr>
            <w:tcW w:w="0" w:type="auto"/>
            <w:tcMar>
              <w:top w:w="150" w:type="dxa"/>
              <w:left w:w="0" w:type="dxa"/>
              <w:bottom w:w="150" w:type="dxa"/>
              <w:right w:w="240" w:type="dxa"/>
            </w:tcMar>
            <w:vAlign w:val="center"/>
            <w:hideMark/>
          </w:tcPr>
          <w:p w14:paraId="1AF0A988" w14:textId="77777777" w:rsidR="005F68B0" w:rsidRPr="005F68B0" w:rsidRDefault="005F68B0" w:rsidP="005F68B0">
            <w:r w:rsidRPr="005F68B0">
              <w:rPr>
                <w:b/>
                <w:bCs/>
              </w:rPr>
              <w:t>TCC</w:t>
            </w:r>
          </w:p>
        </w:tc>
        <w:tc>
          <w:tcPr>
            <w:tcW w:w="0" w:type="auto"/>
            <w:tcMar>
              <w:top w:w="150" w:type="dxa"/>
              <w:left w:w="240" w:type="dxa"/>
              <w:bottom w:w="150" w:type="dxa"/>
              <w:right w:w="240" w:type="dxa"/>
            </w:tcMar>
            <w:vAlign w:val="center"/>
            <w:hideMark/>
          </w:tcPr>
          <w:p w14:paraId="1DA481C0" w14:textId="77777777" w:rsidR="005F68B0" w:rsidRPr="005F68B0" w:rsidRDefault="005F68B0" w:rsidP="005F68B0">
            <w:r w:rsidRPr="005F68B0">
              <w:t>12,340</w:t>
            </w:r>
          </w:p>
        </w:tc>
        <w:tc>
          <w:tcPr>
            <w:tcW w:w="0" w:type="auto"/>
            <w:tcMar>
              <w:top w:w="150" w:type="dxa"/>
              <w:left w:w="240" w:type="dxa"/>
              <w:bottom w:w="150" w:type="dxa"/>
              <w:right w:w="240" w:type="dxa"/>
            </w:tcMar>
            <w:vAlign w:val="center"/>
            <w:hideMark/>
          </w:tcPr>
          <w:p w14:paraId="4B127732" w14:textId="77777777" w:rsidR="005F68B0" w:rsidRPr="005F68B0" w:rsidRDefault="005F68B0" w:rsidP="005F68B0">
            <w:r w:rsidRPr="005F68B0">
              <w:t>+0.3%</w:t>
            </w:r>
          </w:p>
        </w:tc>
        <w:tc>
          <w:tcPr>
            <w:tcW w:w="0" w:type="auto"/>
            <w:tcMar>
              <w:top w:w="150" w:type="dxa"/>
              <w:left w:w="240" w:type="dxa"/>
              <w:bottom w:w="150" w:type="dxa"/>
              <w:right w:w="0" w:type="dxa"/>
            </w:tcMar>
            <w:vAlign w:val="center"/>
            <w:hideMark/>
          </w:tcPr>
          <w:p w14:paraId="1E7387D7" w14:textId="77777777" w:rsidR="005F68B0" w:rsidRPr="005F68B0" w:rsidRDefault="005F68B0" w:rsidP="005F68B0">
            <w:r w:rsidRPr="005F68B0">
              <w:t>2,720</w:t>
            </w:r>
          </w:p>
        </w:tc>
      </w:tr>
    </w:tbl>
    <w:p w14:paraId="15DE13F4" w14:textId="77777777" w:rsidR="005F68B0" w:rsidRPr="005F68B0" w:rsidRDefault="005F68B0" w:rsidP="005F68B0">
      <w:r w:rsidRPr="005F68B0">
        <w:rPr>
          <w:i/>
          <w:iCs/>
        </w:rPr>
        <w:t>² Includes a 17,000</w:t>
      </w:r>
      <w:r w:rsidRPr="005F68B0">
        <w:rPr>
          <w:i/>
          <w:iCs/>
        </w:rPr>
        <w:noBreakHyphen/>
        <w:t>share block trade.</w:t>
      </w:r>
    </w:p>
    <w:p w14:paraId="03B03469" w14:textId="77777777" w:rsidR="005F68B0" w:rsidRPr="005F68B0" w:rsidRDefault="005F68B0" w:rsidP="005F68B0">
      <w:r w:rsidRPr="005F68B0">
        <w:rPr>
          <w:i/>
          <w:iCs/>
        </w:rPr>
        <w:t>Gainers: NMB (+0.2%), TBL (+1.0%), TCC (+0.3%), DCB (+1.1%).</w:t>
      </w:r>
      <w:r w:rsidRPr="005F68B0">
        <w:br/>
      </w:r>
      <w:r w:rsidRPr="005F68B0">
        <w:rPr>
          <w:i/>
          <w:iCs/>
        </w:rPr>
        <w:t>Losers: TCCL (–5.2%), TPCC (–0.2%), PAL (–6.5%), MCB (–0.6%).</w:t>
      </w:r>
    </w:p>
    <w:p w14:paraId="19D75F89" w14:textId="77777777" w:rsidR="005F68B0" w:rsidRPr="005F68B0" w:rsidRDefault="005F68B0" w:rsidP="005F68B0">
      <w:r w:rsidRPr="005F68B0">
        <w:t>Among the widely held counters, </w:t>
      </w:r>
      <w:r w:rsidRPr="005F68B0">
        <w:rPr>
          <w:b/>
          <w:bCs/>
        </w:rPr>
        <w:t>NMB</w:t>
      </w:r>
      <w:r w:rsidRPr="005F68B0">
        <w:t> inched up to 17,600, extending its run of all</w:t>
      </w:r>
      <w:r w:rsidRPr="005F68B0">
        <w:noBreakHyphen/>
        <w:t>time highs as the market waits for the formal announcement of its ex</w:t>
      </w:r>
      <w:r w:rsidRPr="005F68B0">
        <w:noBreakHyphen/>
        <w:t>dividend date. </w:t>
      </w:r>
      <w:r w:rsidRPr="005F68B0">
        <w:rPr>
          <w:b/>
          <w:bCs/>
        </w:rPr>
        <w:t>VODA</w:t>
      </w:r>
      <w:r w:rsidRPr="005F68B0">
        <w:t> held the 1,000 level, consolidating after its late</w:t>
      </w:r>
      <w:r w:rsidRPr="005F68B0">
        <w:noBreakHyphen/>
        <w:t>July surge and retreat. </w:t>
      </w:r>
      <w:r w:rsidRPr="005F68B0">
        <w:rPr>
          <w:b/>
          <w:bCs/>
        </w:rPr>
        <w:t>CRDB</w:t>
      </w:r>
      <w:r w:rsidRPr="005F68B0">
        <w:t xml:space="preserve"> was unchanged at 2,580, continuing the quiet drift that has characterised the stock since July’s historic block trades were completed. Trading remained heavily </w:t>
      </w:r>
      <w:r w:rsidRPr="005F68B0">
        <w:lastRenderedPageBreak/>
        <w:t>concentrated in these three names, though the volumes were lighter than in recent weeks.</w:t>
      </w:r>
    </w:p>
    <w:p w14:paraId="7678D7DE" w14:textId="77777777" w:rsidR="005F68B0" w:rsidRPr="005F68B0" w:rsidRDefault="005F68B0" w:rsidP="005F68B0">
      <w:r w:rsidRPr="005F68B0">
        <w:pict w14:anchorId="1F992A89">
          <v:rect id="_x0000_i1081" style="width:0;height:.75pt" o:hralign="center" o:hrstd="t" o:hr="t" fillcolor="#a0a0a0" stroked="f"/>
        </w:pict>
      </w:r>
    </w:p>
    <w:p w14:paraId="14FE5C55" w14:textId="77777777" w:rsidR="005F68B0" w:rsidRPr="005F68B0" w:rsidRDefault="005F68B0" w:rsidP="005F68B0">
      <w:pPr>
        <w:rPr>
          <w:b/>
          <w:bCs/>
        </w:rPr>
      </w:pPr>
      <w:r w:rsidRPr="005F68B0">
        <w:rPr>
          <w:b/>
          <w:bCs/>
        </w:rPr>
        <w:t>3. In Focus: The 2.3</w:t>
      </w:r>
      <w:r w:rsidRPr="005F68B0">
        <w:rPr>
          <w:b/>
          <w:bCs/>
        </w:rPr>
        <w:noBreakHyphen/>
        <w:t>Million</w:t>
      </w:r>
      <w:r w:rsidRPr="005F68B0">
        <w:rPr>
          <w:b/>
          <w:bCs/>
        </w:rPr>
        <w:noBreakHyphen/>
        <w:t>Share ETF Block Trade — What It Teaches Us</w:t>
      </w:r>
    </w:p>
    <w:p w14:paraId="7D28E5F1" w14:textId="77777777" w:rsidR="005F68B0" w:rsidRPr="005F68B0" w:rsidRDefault="005F68B0" w:rsidP="005F68B0">
      <w:r w:rsidRPr="005F68B0">
        <w:t>Wednesday’s session saw a trade of 2,330,000 shares of the IEACLC</w:t>
      </w:r>
      <w:r w:rsidRPr="005F68B0">
        <w:noBreakHyphen/>
        <w:t>ETF, valued at roughly TZS</w:t>
      </w:r>
      <w:r w:rsidRPr="005F68B0">
        <w:rPr>
          <w:rFonts w:ascii="Arial" w:hAnsi="Arial" w:cs="Arial"/>
        </w:rPr>
        <w:t> </w:t>
      </w:r>
      <w:r w:rsidRPr="005F68B0">
        <w:t>3.15</w:t>
      </w:r>
      <w:r w:rsidRPr="005F68B0">
        <w:rPr>
          <w:rFonts w:ascii="Arial" w:hAnsi="Arial" w:cs="Arial"/>
        </w:rPr>
        <w:t> </w:t>
      </w:r>
      <w:r w:rsidRPr="005F68B0">
        <w:t>billion. That is an enormous transaction, larger than the total daily equity turnover in many sessions. Yet the price of the ETF barely moved, and the prices of the individual stocks held inside the ETF were not disturbed at all. How is that possible?</w:t>
      </w:r>
    </w:p>
    <w:p w14:paraId="250A502E" w14:textId="77777777" w:rsidR="005F68B0" w:rsidRPr="005F68B0" w:rsidRDefault="005F68B0" w:rsidP="005F68B0">
      <w:r w:rsidRPr="005F68B0">
        <w:t>The answer lies in two important features of how the DSE operates. The first is the </w:t>
      </w:r>
      <w:r w:rsidRPr="005F68B0">
        <w:rPr>
          <w:b/>
          <w:bCs/>
        </w:rPr>
        <w:t>pre</w:t>
      </w:r>
      <w:r w:rsidRPr="005F68B0">
        <w:rPr>
          <w:b/>
          <w:bCs/>
        </w:rPr>
        <w:noBreakHyphen/>
        <w:t>arranged block trade</w:t>
      </w:r>
      <w:r w:rsidRPr="005F68B0">
        <w:t>. This is a privately negotiated transaction between two large institutions — perhaps a pension fund selling a large position to another institution, or a fund manager rebalancing its portfolio. By agreeing on a price and quantity privately, and then reporting the trade to the exchange through the pre</w:t>
      </w:r>
      <w:r w:rsidRPr="005F68B0">
        <w:noBreakHyphen/>
        <w:t>arranged board, the parties avoid flooding the open market with a huge order that could push prices sharply up or down.</w:t>
      </w:r>
    </w:p>
    <w:p w14:paraId="17B2B17B" w14:textId="77777777" w:rsidR="005F68B0" w:rsidRPr="005F68B0" w:rsidRDefault="005F68B0" w:rsidP="005F68B0">
      <w:r w:rsidRPr="005F68B0">
        <w:t>The second is the nature of an </w:t>
      </w:r>
      <w:r w:rsidRPr="005F68B0">
        <w:rPr>
          <w:b/>
          <w:bCs/>
        </w:rPr>
        <w:t>ETF</w:t>
      </w:r>
      <w:r w:rsidRPr="005F68B0">
        <w:t> itself. An Exchange</w:t>
      </w:r>
      <w:r w:rsidRPr="005F68B0">
        <w:noBreakHyphen/>
        <w:t>Traded Fund is a basket of securities — typically shares or bonds — that trades on the stock exchange like a single stock. The IEACLC</w:t>
      </w:r>
      <w:r w:rsidRPr="005F68B0">
        <w:noBreakHyphen/>
        <w:t>ETF holds a diversified portfolio of Tanzanian equities. When an institution buys or sells a large block of the ETF, it is effectively buying or selling a tiny slice of every company in the fund. The individual companies are not affected because the trade happens at the ETF level, not in the shares of CRDB, NMB, or VODA directly.</w:t>
      </w:r>
    </w:p>
    <w:p w14:paraId="3D4F7B13" w14:textId="77777777" w:rsidR="005F68B0" w:rsidRPr="005F68B0" w:rsidRDefault="005F68B0" w:rsidP="005F68B0">
      <w:r w:rsidRPr="005F68B0">
        <w:t>For the everyday investor, a block trade like this is a signal of deep institutional activity, but not a reason to change course. It tells you that professional money is moving, and that the market’s infrastructure is robust enough to handle transactions worth billions of shillings without fuss. That quiet capability is a sign of a maturing exchange.</w:t>
      </w:r>
    </w:p>
    <w:p w14:paraId="2D315501" w14:textId="77777777" w:rsidR="005F68B0" w:rsidRPr="005F68B0" w:rsidRDefault="005F68B0" w:rsidP="005F68B0">
      <w:r w:rsidRPr="005F68B0">
        <w:rPr>
          <w:i/>
          <w:iCs/>
        </w:rPr>
        <w:t>To understand more about ETFs, see our guide</w:t>
      </w:r>
      <w:r w:rsidRPr="005F68B0">
        <w:t> </w:t>
      </w:r>
      <w:hyperlink r:id="rId5" w:tgtFrame="_blank" w:history="1">
        <w:r w:rsidRPr="005F68B0">
          <w:rPr>
            <w:rStyle w:val="Hyperlink"/>
          </w:rPr>
          <w:t>Stocks, Bonds, and ETFs: The Three Building Blocks</w:t>
        </w:r>
      </w:hyperlink>
      <w:r w:rsidRPr="005F68B0">
        <w:t>. </w:t>
      </w:r>
      <w:r w:rsidRPr="005F68B0">
        <w:rPr>
          <w:i/>
          <w:iCs/>
        </w:rPr>
        <w:t>For a walk</w:t>
      </w:r>
      <w:r w:rsidRPr="005F68B0">
        <w:rPr>
          <w:i/>
          <w:iCs/>
        </w:rPr>
        <w:noBreakHyphen/>
        <w:t>through of how a trade happens from order to settlement, read</w:t>
      </w:r>
      <w:r w:rsidRPr="005F68B0">
        <w:t> </w:t>
      </w:r>
      <w:hyperlink r:id="rId6" w:tgtFrame="_blank" w:history="1">
        <w:r w:rsidRPr="005F68B0">
          <w:rPr>
            <w:rStyle w:val="Hyperlink"/>
          </w:rPr>
          <w:t>How a Trade Happens: From Your Phone to the Market</w:t>
        </w:r>
      </w:hyperlink>
      <w:r w:rsidRPr="005F68B0">
        <w:t>.</w:t>
      </w:r>
    </w:p>
    <w:p w14:paraId="5896DDAE" w14:textId="77777777" w:rsidR="005F68B0" w:rsidRPr="005F68B0" w:rsidRDefault="005F68B0" w:rsidP="005F68B0">
      <w:r w:rsidRPr="005F68B0">
        <w:pict w14:anchorId="52019273">
          <v:rect id="_x0000_i1082" style="width:0;height:.75pt" o:hralign="center" o:hrstd="t" o:hr="t" fillcolor="#a0a0a0" stroked="f"/>
        </w:pict>
      </w:r>
    </w:p>
    <w:p w14:paraId="2EC33FA4" w14:textId="77777777" w:rsidR="005F68B0" w:rsidRPr="005F68B0" w:rsidRDefault="005F68B0" w:rsidP="005F68B0">
      <w:pPr>
        <w:rPr>
          <w:b/>
          <w:bCs/>
        </w:rPr>
      </w:pPr>
      <w:r w:rsidRPr="005F68B0">
        <w:rPr>
          <w:b/>
          <w:bCs/>
        </w:rPr>
        <w:t>4. Today’s Concept: The 5% Daily Price Band — Your Safety Net</w:t>
      </w:r>
    </w:p>
    <w:p w14:paraId="136D51D8" w14:textId="77777777" w:rsidR="005F68B0" w:rsidRPr="005F68B0" w:rsidRDefault="005F68B0" w:rsidP="005F68B0">
      <w:r w:rsidRPr="005F68B0">
        <w:t>On Wednesday, CRDB closed at 2,580. On Thursday, the stock cannot trade at any price outside a band of </w:t>
      </w:r>
      <w:r w:rsidRPr="005F68B0">
        <w:rPr>
          <w:b/>
          <w:bCs/>
        </w:rPr>
        <w:t>±5%</w:t>
      </w:r>
      <w:r w:rsidRPr="005F68B0">
        <w:t> around that closing level. The limits are:</w:t>
      </w:r>
    </w:p>
    <w:p w14:paraId="63E98815" w14:textId="77777777" w:rsidR="005F68B0" w:rsidRPr="005F68B0" w:rsidRDefault="005F68B0" w:rsidP="005F68B0">
      <w:pPr>
        <w:numPr>
          <w:ilvl w:val="0"/>
          <w:numId w:val="1"/>
        </w:numPr>
      </w:pPr>
      <w:r w:rsidRPr="005F68B0">
        <w:rPr>
          <w:b/>
          <w:bCs/>
        </w:rPr>
        <w:t>Upper limit:</w:t>
      </w:r>
      <w:r w:rsidRPr="005F68B0">
        <w:t> 2,580 × 1.05 = </w:t>
      </w:r>
      <w:r w:rsidRPr="005F68B0">
        <w:rPr>
          <w:b/>
          <w:bCs/>
        </w:rPr>
        <w:t>2,709</w:t>
      </w:r>
    </w:p>
    <w:p w14:paraId="11168BD0" w14:textId="77777777" w:rsidR="005F68B0" w:rsidRPr="005F68B0" w:rsidRDefault="005F68B0" w:rsidP="005F68B0">
      <w:pPr>
        <w:numPr>
          <w:ilvl w:val="0"/>
          <w:numId w:val="1"/>
        </w:numPr>
      </w:pPr>
      <w:r w:rsidRPr="005F68B0">
        <w:rPr>
          <w:b/>
          <w:bCs/>
        </w:rPr>
        <w:t>Lower limit:</w:t>
      </w:r>
      <w:r w:rsidRPr="005F68B0">
        <w:t> 2,580 × 0.95 = </w:t>
      </w:r>
      <w:r w:rsidRPr="005F68B0">
        <w:rPr>
          <w:b/>
          <w:bCs/>
        </w:rPr>
        <w:t>2,451</w:t>
      </w:r>
    </w:p>
    <w:p w14:paraId="28FE598B" w14:textId="77777777" w:rsidR="005F68B0" w:rsidRPr="005F68B0" w:rsidRDefault="005F68B0" w:rsidP="005F68B0">
      <w:r w:rsidRPr="005F68B0">
        <w:lastRenderedPageBreak/>
        <w:t>Any order to buy above 2,709 or to sell below 2,451 will be rejected by the exchange’s automated trading system. This rule is not a restriction designed to frustrate — it is a safety net that prevents extreme, panic</w:t>
      </w:r>
      <w:r w:rsidRPr="005F68B0">
        <w:noBreakHyphen/>
        <w:t>driven moves and ensures orderly price discovery, even on days when a giant block trade is taking place elsewhere.</w:t>
      </w:r>
    </w:p>
    <w:p w14:paraId="40BDFF11" w14:textId="77777777" w:rsidR="005F68B0" w:rsidRPr="005F68B0" w:rsidRDefault="005F68B0" w:rsidP="005F68B0">
      <w:r w:rsidRPr="005F68B0">
        <w:t>Based on Wednesday’s closing prices, here are the allowed trading ranges for Thursday, 6</w:t>
      </w:r>
      <w:r w:rsidRPr="005F68B0">
        <w:rPr>
          <w:rFonts w:ascii="Arial" w:hAnsi="Arial" w:cs="Arial"/>
        </w:rPr>
        <w:t> </w:t>
      </w:r>
      <w:r w:rsidRPr="005F68B0">
        <w:t>August 2026, for key stocks:</w:t>
      </w:r>
    </w:p>
    <w:tbl>
      <w:tblPr>
        <w:tblW w:w="0" w:type="auto"/>
        <w:tblCellMar>
          <w:top w:w="15" w:type="dxa"/>
          <w:left w:w="15" w:type="dxa"/>
          <w:bottom w:w="15" w:type="dxa"/>
          <w:right w:w="15" w:type="dxa"/>
        </w:tblCellMar>
        <w:tblLook w:val="04A0" w:firstRow="1" w:lastRow="0" w:firstColumn="1" w:lastColumn="0" w:noHBand="0" w:noVBand="1"/>
      </w:tblPr>
      <w:tblGrid>
        <w:gridCol w:w="1087"/>
        <w:gridCol w:w="2538"/>
        <w:gridCol w:w="2718"/>
        <w:gridCol w:w="2683"/>
      </w:tblGrid>
      <w:tr w:rsidR="005F68B0" w:rsidRPr="005F68B0" w14:paraId="53674DF4" w14:textId="77777777">
        <w:trPr>
          <w:tblHeader/>
        </w:trPr>
        <w:tc>
          <w:tcPr>
            <w:tcW w:w="0" w:type="auto"/>
            <w:tcBorders>
              <w:top w:val="nil"/>
            </w:tcBorders>
            <w:tcMar>
              <w:top w:w="150" w:type="dxa"/>
              <w:left w:w="0" w:type="dxa"/>
              <w:bottom w:w="150" w:type="dxa"/>
              <w:right w:w="240" w:type="dxa"/>
            </w:tcMar>
            <w:vAlign w:val="center"/>
            <w:hideMark/>
          </w:tcPr>
          <w:p w14:paraId="53EEF349" w14:textId="77777777" w:rsidR="005F68B0" w:rsidRPr="005F68B0" w:rsidRDefault="005F68B0" w:rsidP="005F68B0">
            <w:r w:rsidRPr="005F68B0">
              <w:t>Counter</w:t>
            </w:r>
          </w:p>
        </w:tc>
        <w:tc>
          <w:tcPr>
            <w:tcW w:w="0" w:type="auto"/>
            <w:tcBorders>
              <w:top w:val="nil"/>
            </w:tcBorders>
            <w:tcMar>
              <w:top w:w="150" w:type="dxa"/>
              <w:left w:w="240" w:type="dxa"/>
              <w:bottom w:w="150" w:type="dxa"/>
              <w:right w:w="240" w:type="dxa"/>
            </w:tcMar>
            <w:vAlign w:val="center"/>
            <w:hideMark/>
          </w:tcPr>
          <w:p w14:paraId="10F815A2" w14:textId="77777777" w:rsidR="005F68B0" w:rsidRPr="005F68B0" w:rsidRDefault="005F68B0" w:rsidP="005F68B0">
            <w:r w:rsidRPr="005F68B0">
              <w:t>Wednesday Close (TZS)</w:t>
            </w:r>
          </w:p>
        </w:tc>
        <w:tc>
          <w:tcPr>
            <w:tcW w:w="0" w:type="auto"/>
            <w:tcBorders>
              <w:top w:val="nil"/>
            </w:tcBorders>
            <w:tcMar>
              <w:top w:w="150" w:type="dxa"/>
              <w:left w:w="240" w:type="dxa"/>
              <w:bottom w:w="150" w:type="dxa"/>
              <w:right w:w="240" w:type="dxa"/>
            </w:tcMar>
            <w:vAlign w:val="center"/>
            <w:hideMark/>
          </w:tcPr>
          <w:p w14:paraId="1862A0BA" w14:textId="77777777" w:rsidR="005F68B0" w:rsidRPr="005F68B0" w:rsidRDefault="005F68B0" w:rsidP="005F68B0">
            <w:r w:rsidRPr="005F68B0">
              <w:t>Thursday Upper Limit (TZS)</w:t>
            </w:r>
          </w:p>
        </w:tc>
        <w:tc>
          <w:tcPr>
            <w:tcW w:w="0" w:type="auto"/>
            <w:tcBorders>
              <w:top w:val="nil"/>
            </w:tcBorders>
            <w:tcMar>
              <w:top w:w="150" w:type="dxa"/>
              <w:left w:w="240" w:type="dxa"/>
              <w:bottom w:w="150" w:type="dxa"/>
              <w:right w:w="240" w:type="dxa"/>
            </w:tcMar>
            <w:vAlign w:val="center"/>
            <w:hideMark/>
          </w:tcPr>
          <w:p w14:paraId="1ABCADE1" w14:textId="77777777" w:rsidR="005F68B0" w:rsidRPr="005F68B0" w:rsidRDefault="005F68B0" w:rsidP="005F68B0">
            <w:r w:rsidRPr="005F68B0">
              <w:t>Thursday Lower Limit (TZS)</w:t>
            </w:r>
          </w:p>
        </w:tc>
      </w:tr>
      <w:tr w:rsidR="005F68B0" w:rsidRPr="005F68B0" w14:paraId="025E79C4" w14:textId="77777777">
        <w:tc>
          <w:tcPr>
            <w:tcW w:w="0" w:type="auto"/>
            <w:tcMar>
              <w:top w:w="150" w:type="dxa"/>
              <w:left w:w="0" w:type="dxa"/>
              <w:bottom w:w="150" w:type="dxa"/>
              <w:right w:w="240" w:type="dxa"/>
            </w:tcMar>
            <w:vAlign w:val="center"/>
            <w:hideMark/>
          </w:tcPr>
          <w:p w14:paraId="3D2672D7" w14:textId="77777777" w:rsidR="005F68B0" w:rsidRPr="005F68B0" w:rsidRDefault="005F68B0" w:rsidP="005F68B0">
            <w:r w:rsidRPr="005F68B0">
              <w:t>CRDB</w:t>
            </w:r>
          </w:p>
        </w:tc>
        <w:tc>
          <w:tcPr>
            <w:tcW w:w="0" w:type="auto"/>
            <w:tcMar>
              <w:top w:w="150" w:type="dxa"/>
              <w:left w:w="240" w:type="dxa"/>
              <w:bottom w:w="150" w:type="dxa"/>
              <w:right w:w="240" w:type="dxa"/>
            </w:tcMar>
            <w:vAlign w:val="center"/>
            <w:hideMark/>
          </w:tcPr>
          <w:p w14:paraId="07107CD9" w14:textId="77777777" w:rsidR="005F68B0" w:rsidRPr="005F68B0" w:rsidRDefault="005F68B0" w:rsidP="005F68B0">
            <w:r w:rsidRPr="005F68B0">
              <w:t>2,580</w:t>
            </w:r>
          </w:p>
        </w:tc>
        <w:tc>
          <w:tcPr>
            <w:tcW w:w="0" w:type="auto"/>
            <w:tcMar>
              <w:top w:w="150" w:type="dxa"/>
              <w:left w:w="240" w:type="dxa"/>
              <w:bottom w:w="150" w:type="dxa"/>
              <w:right w:w="240" w:type="dxa"/>
            </w:tcMar>
            <w:vAlign w:val="center"/>
            <w:hideMark/>
          </w:tcPr>
          <w:p w14:paraId="1E924309" w14:textId="77777777" w:rsidR="005F68B0" w:rsidRPr="005F68B0" w:rsidRDefault="005F68B0" w:rsidP="005F68B0">
            <w:r w:rsidRPr="005F68B0">
              <w:t>2,709.00</w:t>
            </w:r>
          </w:p>
        </w:tc>
        <w:tc>
          <w:tcPr>
            <w:tcW w:w="0" w:type="auto"/>
            <w:tcMar>
              <w:top w:w="150" w:type="dxa"/>
              <w:left w:w="240" w:type="dxa"/>
              <w:bottom w:w="150" w:type="dxa"/>
              <w:right w:w="0" w:type="dxa"/>
            </w:tcMar>
            <w:vAlign w:val="center"/>
            <w:hideMark/>
          </w:tcPr>
          <w:p w14:paraId="6C227E91" w14:textId="77777777" w:rsidR="005F68B0" w:rsidRPr="005F68B0" w:rsidRDefault="005F68B0" w:rsidP="005F68B0">
            <w:r w:rsidRPr="005F68B0">
              <w:t>2,451.00</w:t>
            </w:r>
          </w:p>
        </w:tc>
      </w:tr>
      <w:tr w:rsidR="005F68B0" w:rsidRPr="005F68B0" w14:paraId="7E311384" w14:textId="77777777">
        <w:tc>
          <w:tcPr>
            <w:tcW w:w="0" w:type="auto"/>
            <w:tcMar>
              <w:top w:w="150" w:type="dxa"/>
              <w:left w:w="0" w:type="dxa"/>
              <w:bottom w:w="150" w:type="dxa"/>
              <w:right w:w="240" w:type="dxa"/>
            </w:tcMar>
            <w:vAlign w:val="center"/>
            <w:hideMark/>
          </w:tcPr>
          <w:p w14:paraId="7D71F5B1" w14:textId="77777777" w:rsidR="005F68B0" w:rsidRPr="005F68B0" w:rsidRDefault="005F68B0" w:rsidP="005F68B0">
            <w:r w:rsidRPr="005F68B0">
              <w:t>NMB</w:t>
            </w:r>
          </w:p>
        </w:tc>
        <w:tc>
          <w:tcPr>
            <w:tcW w:w="0" w:type="auto"/>
            <w:tcMar>
              <w:top w:w="150" w:type="dxa"/>
              <w:left w:w="240" w:type="dxa"/>
              <w:bottom w:w="150" w:type="dxa"/>
              <w:right w:w="240" w:type="dxa"/>
            </w:tcMar>
            <w:vAlign w:val="center"/>
            <w:hideMark/>
          </w:tcPr>
          <w:p w14:paraId="17EB8EED" w14:textId="77777777" w:rsidR="005F68B0" w:rsidRPr="005F68B0" w:rsidRDefault="005F68B0" w:rsidP="005F68B0">
            <w:r w:rsidRPr="005F68B0">
              <w:t>17,600</w:t>
            </w:r>
          </w:p>
        </w:tc>
        <w:tc>
          <w:tcPr>
            <w:tcW w:w="0" w:type="auto"/>
            <w:tcMar>
              <w:top w:w="150" w:type="dxa"/>
              <w:left w:w="240" w:type="dxa"/>
              <w:bottom w:w="150" w:type="dxa"/>
              <w:right w:w="240" w:type="dxa"/>
            </w:tcMar>
            <w:vAlign w:val="center"/>
            <w:hideMark/>
          </w:tcPr>
          <w:p w14:paraId="42D6DBCF" w14:textId="77777777" w:rsidR="005F68B0" w:rsidRPr="005F68B0" w:rsidRDefault="005F68B0" w:rsidP="005F68B0">
            <w:r w:rsidRPr="005F68B0">
              <w:t>18,480.00</w:t>
            </w:r>
          </w:p>
        </w:tc>
        <w:tc>
          <w:tcPr>
            <w:tcW w:w="0" w:type="auto"/>
            <w:tcMar>
              <w:top w:w="150" w:type="dxa"/>
              <w:left w:w="240" w:type="dxa"/>
              <w:bottom w:w="150" w:type="dxa"/>
              <w:right w:w="0" w:type="dxa"/>
            </w:tcMar>
            <w:vAlign w:val="center"/>
            <w:hideMark/>
          </w:tcPr>
          <w:p w14:paraId="47BB7981" w14:textId="77777777" w:rsidR="005F68B0" w:rsidRPr="005F68B0" w:rsidRDefault="005F68B0" w:rsidP="005F68B0">
            <w:r w:rsidRPr="005F68B0">
              <w:t>16,720.00</w:t>
            </w:r>
          </w:p>
        </w:tc>
      </w:tr>
      <w:tr w:rsidR="005F68B0" w:rsidRPr="005F68B0" w14:paraId="2FBA5F43" w14:textId="77777777">
        <w:tc>
          <w:tcPr>
            <w:tcW w:w="0" w:type="auto"/>
            <w:tcMar>
              <w:top w:w="150" w:type="dxa"/>
              <w:left w:w="0" w:type="dxa"/>
              <w:bottom w:w="150" w:type="dxa"/>
              <w:right w:w="240" w:type="dxa"/>
            </w:tcMar>
            <w:vAlign w:val="center"/>
            <w:hideMark/>
          </w:tcPr>
          <w:p w14:paraId="3BC69DFF" w14:textId="77777777" w:rsidR="005F68B0" w:rsidRPr="005F68B0" w:rsidRDefault="005F68B0" w:rsidP="005F68B0">
            <w:r w:rsidRPr="005F68B0">
              <w:t>VODA</w:t>
            </w:r>
          </w:p>
        </w:tc>
        <w:tc>
          <w:tcPr>
            <w:tcW w:w="0" w:type="auto"/>
            <w:tcMar>
              <w:top w:w="150" w:type="dxa"/>
              <w:left w:w="240" w:type="dxa"/>
              <w:bottom w:w="150" w:type="dxa"/>
              <w:right w:w="240" w:type="dxa"/>
            </w:tcMar>
            <w:vAlign w:val="center"/>
            <w:hideMark/>
          </w:tcPr>
          <w:p w14:paraId="4DA820F8" w14:textId="77777777" w:rsidR="005F68B0" w:rsidRPr="005F68B0" w:rsidRDefault="005F68B0" w:rsidP="005F68B0">
            <w:r w:rsidRPr="005F68B0">
              <w:t>1,000</w:t>
            </w:r>
          </w:p>
        </w:tc>
        <w:tc>
          <w:tcPr>
            <w:tcW w:w="0" w:type="auto"/>
            <w:tcMar>
              <w:top w:w="150" w:type="dxa"/>
              <w:left w:w="240" w:type="dxa"/>
              <w:bottom w:w="150" w:type="dxa"/>
              <w:right w:w="240" w:type="dxa"/>
            </w:tcMar>
            <w:vAlign w:val="center"/>
            <w:hideMark/>
          </w:tcPr>
          <w:p w14:paraId="4605A20F" w14:textId="77777777" w:rsidR="005F68B0" w:rsidRPr="005F68B0" w:rsidRDefault="005F68B0" w:rsidP="005F68B0">
            <w:r w:rsidRPr="005F68B0">
              <w:t>1,050.00</w:t>
            </w:r>
          </w:p>
        </w:tc>
        <w:tc>
          <w:tcPr>
            <w:tcW w:w="0" w:type="auto"/>
            <w:tcMar>
              <w:top w:w="150" w:type="dxa"/>
              <w:left w:w="240" w:type="dxa"/>
              <w:bottom w:w="150" w:type="dxa"/>
              <w:right w:w="0" w:type="dxa"/>
            </w:tcMar>
            <w:vAlign w:val="center"/>
            <w:hideMark/>
          </w:tcPr>
          <w:p w14:paraId="6126FCBA" w14:textId="77777777" w:rsidR="005F68B0" w:rsidRPr="005F68B0" w:rsidRDefault="005F68B0" w:rsidP="005F68B0">
            <w:r w:rsidRPr="005F68B0">
              <w:t>950.00</w:t>
            </w:r>
          </w:p>
        </w:tc>
      </w:tr>
      <w:tr w:rsidR="005F68B0" w:rsidRPr="005F68B0" w14:paraId="3FF57DEF" w14:textId="77777777">
        <w:tc>
          <w:tcPr>
            <w:tcW w:w="0" w:type="auto"/>
            <w:tcMar>
              <w:top w:w="150" w:type="dxa"/>
              <w:left w:w="0" w:type="dxa"/>
              <w:bottom w:w="150" w:type="dxa"/>
              <w:right w:w="240" w:type="dxa"/>
            </w:tcMar>
            <w:vAlign w:val="center"/>
            <w:hideMark/>
          </w:tcPr>
          <w:p w14:paraId="1BE55234" w14:textId="77777777" w:rsidR="005F68B0" w:rsidRPr="005F68B0" w:rsidRDefault="005F68B0" w:rsidP="005F68B0">
            <w:r w:rsidRPr="005F68B0">
              <w:t>TBL</w:t>
            </w:r>
          </w:p>
        </w:tc>
        <w:tc>
          <w:tcPr>
            <w:tcW w:w="0" w:type="auto"/>
            <w:tcMar>
              <w:top w:w="150" w:type="dxa"/>
              <w:left w:w="240" w:type="dxa"/>
              <w:bottom w:w="150" w:type="dxa"/>
              <w:right w:w="240" w:type="dxa"/>
            </w:tcMar>
            <w:vAlign w:val="center"/>
            <w:hideMark/>
          </w:tcPr>
          <w:p w14:paraId="478F4598" w14:textId="77777777" w:rsidR="005F68B0" w:rsidRPr="005F68B0" w:rsidRDefault="005F68B0" w:rsidP="005F68B0">
            <w:r w:rsidRPr="005F68B0">
              <w:t>10,090</w:t>
            </w:r>
          </w:p>
        </w:tc>
        <w:tc>
          <w:tcPr>
            <w:tcW w:w="0" w:type="auto"/>
            <w:tcMar>
              <w:top w:w="150" w:type="dxa"/>
              <w:left w:w="240" w:type="dxa"/>
              <w:bottom w:w="150" w:type="dxa"/>
              <w:right w:w="240" w:type="dxa"/>
            </w:tcMar>
            <w:vAlign w:val="center"/>
            <w:hideMark/>
          </w:tcPr>
          <w:p w14:paraId="5E6DB49B" w14:textId="77777777" w:rsidR="005F68B0" w:rsidRPr="005F68B0" w:rsidRDefault="005F68B0" w:rsidP="005F68B0">
            <w:r w:rsidRPr="005F68B0">
              <w:t>10,594.50</w:t>
            </w:r>
          </w:p>
        </w:tc>
        <w:tc>
          <w:tcPr>
            <w:tcW w:w="0" w:type="auto"/>
            <w:tcMar>
              <w:top w:w="150" w:type="dxa"/>
              <w:left w:w="240" w:type="dxa"/>
              <w:bottom w:w="150" w:type="dxa"/>
              <w:right w:w="0" w:type="dxa"/>
            </w:tcMar>
            <w:vAlign w:val="center"/>
            <w:hideMark/>
          </w:tcPr>
          <w:p w14:paraId="31B676BA" w14:textId="77777777" w:rsidR="005F68B0" w:rsidRPr="005F68B0" w:rsidRDefault="005F68B0" w:rsidP="005F68B0">
            <w:r w:rsidRPr="005F68B0">
              <w:t>9,585.50</w:t>
            </w:r>
          </w:p>
        </w:tc>
      </w:tr>
      <w:tr w:rsidR="005F68B0" w:rsidRPr="005F68B0" w14:paraId="59776105" w14:textId="77777777">
        <w:tc>
          <w:tcPr>
            <w:tcW w:w="0" w:type="auto"/>
            <w:tcMar>
              <w:top w:w="150" w:type="dxa"/>
              <w:left w:w="0" w:type="dxa"/>
              <w:bottom w:w="150" w:type="dxa"/>
              <w:right w:w="240" w:type="dxa"/>
            </w:tcMar>
            <w:vAlign w:val="center"/>
            <w:hideMark/>
          </w:tcPr>
          <w:p w14:paraId="47ED14C9" w14:textId="77777777" w:rsidR="005F68B0" w:rsidRPr="005F68B0" w:rsidRDefault="005F68B0" w:rsidP="005F68B0">
            <w:r w:rsidRPr="005F68B0">
              <w:t>DCB¹</w:t>
            </w:r>
          </w:p>
        </w:tc>
        <w:tc>
          <w:tcPr>
            <w:tcW w:w="0" w:type="auto"/>
            <w:tcMar>
              <w:top w:w="150" w:type="dxa"/>
              <w:left w:w="240" w:type="dxa"/>
              <w:bottom w:w="150" w:type="dxa"/>
              <w:right w:w="240" w:type="dxa"/>
            </w:tcMar>
            <w:vAlign w:val="center"/>
            <w:hideMark/>
          </w:tcPr>
          <w:p w14:paraId="6D43507D" w14:textId="77777777" w:rsidR="005F68B0" w:rsidRPr="005F68B0" w:rsidRDefault="005F68B0" w:rsidP="005F68B0">
            <w:r w:rsidRPr="005F68B0">
              <w:t>425</w:t>
            </w:r>
          </w:p>
        </w:tc>
        <w:tc>
          <w:tcPr>
            <w:tcW w:w="0" w:type="auto"/>
            <w:tcMar>
              <w:top w:w="150" w:type="dxa"/>
              <w:left w:w="240" w:type="dxa"/>
              <w:bottom w:w="150" w:type="dxa"/>
              <w:right w:w="240" w:type="dxa"/>
            </w:tcMar>
            <w:vAlign w:val="center"/>
            <w:hideMark/>
          </w:tcPr>
          <w:p w14:paraId="4A73B3B6" w14:textId="77777777" w:rsidR="005F68B0" w:rsidRPr="005F68B0" w:rsidRDefault="005F68B0" w:rsidP="005F68B0">
            <w:r w:rsidRPr="005F68B0">
              <w:t>488.75</w:t>
            </w:r>
          </w:p>
        </w:tc>
        <w:tc>
          <w:tcPr>
            <w:tcW w:w="0" w:type="auto"/>
            <w:tcMar>
              <w:top w:w="150" w:type="dxa"/>
              <w:left w:w="240" w:type="dxa"/>
              <w:bottom w:w="150" w:type="dxa"/>
              <w:right w:w="0" w:type="dxa"/>
            </w:tcMar>
            <w:vAlign w:val="center"/>
            <w:hideMark/>
          </w:tcPr>
          <w:p w14:paraId="53C220F6" w14:textId="77777777" w:rsidR="005F68B0" w:rsidRPr="005F68B0" w:rsidRDefault="005F68B0" w:rsidP="005F68B0">
            <w:r w:rsidRPr="005F68B0">
              <w:t>361.25</w:t>
            </w:r>
          </w:p>
        </w:tc>
      </w:tr>
    </w:tbl>
    <w:p w14:paraId="53D1ECFC" w14:textId="77777777" w:rsidR="005F68B0" w:rsidRPr="005F68B0" w:rsidRDefault="005F68B0" w:rsidP="005F68B0">
      <w:r w:rsidRPr="005F68B0">
        <w:rPr>
          <w:i/>
          <w:iCs/>
        </w:rPr>
        <w:t>¹ DCB trades under a wider 15% band; the table shows 15% limits.</w:t>
      </w:r>
    </w:p>
    <w:p w14:paraId="377D562A" w14:textId="77777777" w:rsidR="005F68B0" w:rsidRPr="005F68B0" w:rsidRDefault="005F68B0" w:rsidP="005F68B0">
      <w:r w:rsidRPr="005F68B0">
        <w:t>Before placing any order, it is a useful habit to check the previous day’s closing price, calculate the 5% band, and ensure your limit price falls within it. This simple step prevents the frustration of submitting an order that the exchange will automatically reject.</w:t>
      </w:r>
    </w:p>
    <w:p w14:paraId="5E5F6232" w14:textId="77777777" w:rsidR="005F68B0" w:rsidRPr="005F68B0" w:rsidRDefault="005F68B0" w:rsidP="005F68B0">
      <w:r w:rsidRPr="005F68B0">
        <w:rPr>
          <w:i/>
          <w:iCs/>
        </w:rPr>
        <w:t>For a complete guide to interpreting market data, read our article</w:t>
      </w:r>
      <w:r w:rsidRPr="005F68B0">
        <w:t> </w:t>
      </w:r>
      <w:hyperlink r:id="rId7" w:tgtFrame="_blank" w:history="1">
        <w:r w:rsidRPr="005F68B0">
          <w:rPr>
            <w:rStyle w:val="Hyperlink"/>
          </w:rPr>
          <w:t>Understanding Market Data</w:t>
        </w:r>
      </w:hyperlink>
      <w:r w:rsidRPr="005F68B0">
        <w:t>.</w:t>
      </w:r>
    </w:p>
    <w:p w14:paraId="0C47094F" w14:textId="77777777" w:rsidR="005F68B0" w:rsidRPr="005F68B0" w:rsidRDefault="005F68B0" w:rsidP="005F68B0">
      <w:r w:rsidRPr="005F68B0">
        <w:pict w14:anchorId="215C26F6">
          <v:rect id="_x0000_i1083" style="width:0;height:.75pt" o:hralign="center" o:hrstd="t" o:hr="t" fillcolor="#a0a0a0" stroked="f"/>
        </w:pict>
      </w:r>
    </w:p>
    <w:p w14:paraId="1C3CD9D1" w14:textId="77777777" w:rsidR="005F68B0" w:rsidRPr="005F68B0" w:rsidRDefault="005F68B0" w:rsidP="005F68B0">
      <w:pPr>
        <w:rPr>
          <w:b/>
          <w:bCs/>
        </w:rPr>
      </w:pPr>
      <w:r w:rsidRPr="005F68B0">
        <w:rPr>
          <w:b/>
          <w:bCs/>
        </w:rPr>
        <w:t>5. Bond Market: Institutions Pause After a Busy Start to August</w:t>
      </w:r>
    </w:p>
    <w:p w14:paraId="657CF0A7" w14:textId="77777777" w:rsidR="005F68B0" w:rsidRPr="005F68B0" w:rsidRDefault="005F68B0" w:rsidP="005F68B0">
      <w:r w:rsidRPr="005F68B0">
        <w:t>Government bond turnover fell sharply to just TZS</w:t>
      </w:r>
      <w:r w:rsidRPr="005F68B0">
        <w:rPr>
          <w:rFonts w:ascii="Arial" w:hAnsi="Arial" w:cs="Arial"/>
        </w:rPr>
        <w:t> </w:t>
      </w:r>
      <w:r w:rsidRPr="005F68B0">
        <w:t>3.5</w:t>
      </w:r>
      <w:r w:rsidRPr="005F68B0">
        <w:rPr>
          <w:rFonts w:ascii="Arial" w:hAnsi="Arial" w:cs="Arial"/>
        </w:rPr>
        <w:t> </w:t>
      </w:r>
      <w:r w:rsidRPr="005F68B0">
        <w:t>billion, the quietest day in weeks. Activity was concentrated in the 20</w:t>
      </w:r>
      <w:r w:rsidRPr="005F68B0">
        <w:noBreakHyphen/>
        <w:t>year maturity, where the 12.25% bond and high</w:t>
      </w:r>
      <w:r w:rsidRPr="005F68B0">
        <w:noBreakHyphen/>
        <w:t>coupon 15.49% bonds changed hands in modest amounts. Yields remain stable, with long</w:t>
      </w:r>
      <w:r w:rsidRPr="005F68B0">
        <w:noBreakHyphen/>
        <w:t>dated paper offering around 10.5</w:t>
      </w:r>
      <w:r w:rsidRPr="005F68B0">
        <w:rPr>
          <w:rFonts w:ascii="Aptos" w:hAnsi="Aptos" w:cs="Aptos"/>
        </w:rPr>
        <w:t>–</w:t>
      </w:r>
      <w:r w:rsidRPr="005F68B0">
        <w:t>11.7%, entirely free of withholding tax. After a heavy period of institutional trading at the end of July, the bond market is taking a natural breather. The deep local appetite for tax</w:t>
      </w:r>
      <w:r w:rsidRPr="005F68B0">
        <w:noBreakHyphen/>
        <w:t>free income remains intact and will return as August progresses.</w:t>
      </w:r>
    </w:p>
    <w:p w14:paraId="05292CAF" w14:textId="77777777" w:rsidR="005F68B0" w:rsidRPr="005F68B0" w:rsidRDefault="005F68B0" w:rsidP="005F68B0">
      <w:r w:rsidRPr="005F68B0">
        <w:lastRenderedPageBreak/>
        <w:pict w14:anchorId="674F7565">
          <v:rect id="_x0000_i1084" style="width:0;height:.75pt" o:hralign="center" o:hrstd="t" o:hr="t" fillcolor="#a0a0a0" stroked="f"/>
        </w:pict>
      </w:r>
    </w:p>
    <w:p w14:paraId="17A3EC46" w14:textId="77777777" w:rsidR="005F68B0" w:rsidRPr="005F68B0" w:rsidRDefault="005F68B0" w:rsidP="005F68B0">
      <w:pPr>
        <w:rPr>
          <w:b/>
          <w:bCs/>
        </w:rPr>
      </w:pPr>
      <w:r w:rsidRPr="005F68B0">
        <w:rPr>
          <w:b/>
          <w:bCs/>
        </w:rPr>
        <w:t>6. Strategic Outlook: What to Anticipate</w:t>
      </w:r>
    </w:p>
    <w:p w14:paraId="06AC03D6" w14:textId="77777777" w:rsidR="005F68B0" w:rsidRPr="005F68B0" w:rsidRDefault="005F68B0" w:rsidP="005F68B0">
      <w:r w:rsidRPr="005F68B0">
        <w:rPr>
          <w:b/>
          <w:bCs/>
        </w:rPr>
        <w:t>Near</w:t>
      </w:r>
      <w:r w:rsidRPr="005F68B0">
        <w:rPr>
          <w:b/>
          <w:bCs/>
        </w:rPr>
        <w:noBreakHyphen/>
        <w:t>Term (August):</w:t>
      </w:r>
    </w:p>
    <w:p w14:paraId="101BEA62" w14:textId="77777777" w:rsidR="005F68B0" w:rsidRPr="005F68B0" w:rsidRDefault="005F68B0" w:rsidP="005F68B0">
      <w:pPr>
        <w:numPr>
          <w:ilvl w:val="0"/>
          <w:numId w:val="2"/>
        </w:numPr>
      </w:pPr>
      <w:r w:rsidRPr="005F68B0">
        <w:t>The market appears to be settling into a quieter, post</w:t>
      </w:r>
      <w:r w:rsidRPr="005F68B0">
        <w:noBreakHyphen/>
        <w:t>July rhythm. Trading is likely to remain concentrated in the large banking counters, with CRDB and NMB continuing to dominate volumes.</w:t>
      </w:r>
    </w:p>
    <w:p w14:paraId="19FB6993" w14:textId="77777777" w:rsidR="005F68B0" w:rsidRPr="005F68B0" w:rsidRDefault="005F68B0" w:rsidP="005F68B0">
      <w:pPr>
        <w:numPr>
          <w:ilvl w:val="0"/>
          <w:numId w:val="2"/>
        </w:numPr>
      </w:pPr>
      <w:r w:rsidRPr="005F68B0">
        <w:rPr>
          <w:b/>
          <w:bCs/>
        </w:rPr>
        <w:t>NMB</w:t>
      </w:r>
      <w:r w:rsidRPr="005F68B0">
        <w:t> is trading close to its all</w:t>
      </w:r>
      <w:r w:rsidRPr="005F68B0">
        <w:noBreakHyphen/>
        <w:t>time high. The ex</w:t>
      </w:r>
      <w:r w:rsidRPr="005F68B0">
        <w:noBreakHyphen/>
        <w:t>dividend date for the approved TZS</w:t>
      </w:r>
      <w:r w:rsidRPr="005F68B0">
        <w:rPr>
          <w:rFonts w:ascii="Arial" w:hAnsi="Arial" w:cs="Arial"/>
        </w:rPr>
        <w:t> </w:t>
      </w:r>
      <w:r w:rsidRPr="005F68B0">
        <w:t>610.15 dividend has still not been published but is expected at any time. When it is announced, the share price may adjust downward by an amount roughly equal to the dividend.</w:t>
      </w:r>
    </w:p>
    <w:p w14:paraId="5D0DFA2D" w14:textId="77777777" w:rsidR="005F68B0" w:rsidRPr="005F68B0" w:rsidRDefault="005F68B0" w:rsidP="005F68B0">
      <w:pPr>
        <w:numPr>
          <w:ilvl w:val="0"/>
          <w:numId w:val="2"/>
        </w:numPr>
      </w:pPr>
      <w:r w:rsidRPr="005F68B0">
        <w:rPr>
          <w:b/>
          <w:bCs/>
        </w:rPr>
        <w:t>VODA</w:t>
      </w:r>
      <w:r w:rsidRPr="005F68B0">
        <w:t> has stabilised near 1,000. The company’s full</w:t>
      </w:r>
      <w:r w:rsidRPr="005F68B0">
        <w:noBreakHyphen/>
        <w:t>year results and dividend proposal have been absorbed by the market, and the stock is likely to trade in a range as investors assess the longer</w:t>
      </w:r>
      <w:r w:rsidRPr="005F68B0">
        <w:noBreakHyphen/>
        <w:t>term growth outlook for mobile money and data services.</w:t>
      </w:r>
    </w:p>
    <w:p w14:paraId="7C437F03" w14:textId="77777777" w:rsidR="005F68B0" w:rsidRPr="005F68B0" w:rsidRDefault="005F68B0" w:rsidP="005F68B0">
      <w:r w:rsidRPr="005F68B0">
        <w:rPr>
          <w:b/>
          <w:bCs/>
        </w:rPr>
        <w:t>Medium</w:t>
      </w:r>
      <w:r w:rsidRPr="005F68B0">
        <w:rPr>
          <w:b/>
          <w:bCs/>
        </w:rPr>
        <w:noBreakHyphen/>
        <w:t>Term (Q3 2026):</w:t>
      </w:r>
    </w:p>
    <w:p w14:paraId="446CA128" w14:textId="77777777" w:rsidR="005F68B0" w:rsidRPr="005F68B0" w:rsidRDefault="005F68B0" w:rsidP="005F68B0">
      <w:pPr>
        <w:numPr>
          <w:ilvl w:val="0"/>
          <w:numId w:val="3"/>
        </w:numPr>
      </w:pPr>
      <w:r w:rsidRPr="005F68B0">
        <w:t>The Bank of Tanzania’s policy stance remains supportive. Any shift in the benchmark interest rate would be the most significant macroeconomic event for both equities and bonds.</w:t>
      </w:r>
    </w:p>
    <w:p w14:paraId="166F5A2B" w14:textId="77777777" w:rsidR="005F68B0" w:rsidRPr="005F68B0" w:rsidRDefault="005F68B0" w:rsidP="005F68B0">
      <w:pPr>
        <w:numPr>
          <w:ilvl w:val="0"/>
          <w:numId w:val="3"/>
        </w:numPr>
      </w:pPr>
      <w:r w:rsidRPr="005F68B0">
        <w:t>The implementation of the government’s infrastructure spending will directly benefit cement, construction, and logistics companies.</w:t>
      </w:r>
    </w:p>
    <w:p w14:paraId="48E2E6E8" w14:textId="77777777" w:rsidR="005F68B0" w:rsidRPr="005F68B0" w:rsidRDefault="005F68B0" w:rsidP="005F68B0">
      <w:r w:rsidRPr="005F68B0">
        <w:rPr>
          <w:b/>
          <w:bCs/>
        </w:rPr>
        <w:t>Long</w:t>
      </w:r>
      <w:r w:rsidRPr="005F68B0">
        <w:rPr>
          <w:b/>
          <w:bCs/>
        </w:rPr>
        <w:noBreakHyphen/>
        <w:t>Term:</w:t>
      </w:r>
      <w:r w:rsidRPr="005F68B0">
        <w:br/>
        <w:t>A market that can absorb a TZS</w:t>
      </w:r>
      <w:r w:rsidRPr="005F68B0">
        <w:rPr>
          <w:rFonts w:ascii="Arial" w:hAnsi="Arial" w:cs="Arial"/>
        </w:rPr>
        <w:t> </w:t>
      </w:r>
      <w:r w:rsidRPr="005F68B0">
        <w:t>3.15</w:t>
      </w:r>
      <w:r w:rsidRPr="005F68B0">
        <w:rPr>
          <w:rFonts w:ascii="Arial" w:hAnsi="Arial" w:cs="Arial"/>
        </w:rPr>
        <w:t> </w:t>
      </w:r>
      <w:r w:rsidRPr="005F68B0">
        <w:t>billion ETF block trade without a ripple in the underlying equity prices is a market that has matured. The deep local institutional liquidity that was built during the July handover is now the bedrock of daily trading. For the patient investor, that quiet resilience is the foundation for decades of sustainable wealth creation.</w:t>
      </w:r>
    </w:p>
    <w:p w14:paraId="43C13077" w14:textId="77777777" w:rsidR="005F68B0" w:rsidRPr="005F68B0" w:rsidRDefault="005F68B0" w:rsidP="005F68B0">
      <w:r w:rsidRPr="005F68B0">
        <w:pict w14:anchorId="6E578F36">
          <v:rect id="_x0000_i1085" style="width:0;height:.75pt" o:hralign="center" o:hrstd="t" o:hr="t" fillcolor="#a0a0a0" stroked="f"/>
        </w:pict>
      </w:r>
    </w:p>
    <w:p w14:paraId="656D2B6E" w14:textId="77777777" w:rsidR="005F68B0" w:rsidRPr="005F68B0" w:rsidRDefault="005F68B0" w:rsidP="005F68B0">
      <w:pPr>
        <w:rPr>
          <w:b/>
          <w:bCs/>
        </w:rPr>
      </w:pPr>
      <w:r w:rsidRPr="005F68B0">
        <w:rPr>
          <w:b/>
          <w:bCs/>
        </w:rPr>
        <w:t>7. Professional Approach: How to Use This Intelligence</w:t>
      </w:r>
    </w:p>
    <w:p w14:paraId="282811E0" w14:textId="77777777" w:rsidR="005F68B0" w:rsidRPr="005F68B0" w:rsidRDefault="005F68B0" w:rsidP="005F68B0">
      <w:pPr>
        <w:numPr>
          <w:ilvl w:val="0"/>
          <w:numId w:val="4"/>
        </w:numPr>
      </w:pPr>
      <w:r w:rsidRPr="005F68B0">
        <w:rPr>
          <w:b/>
          <w:bCs/>
        </w:rPr>
        <w:t>Combine the Daily Wrap with our education series.</w:t>
      </w:r>
      <w:r w:rsidRPr="005F68B0">
        <w:t> If the block trade or price</w:t>
      </w:r>
      <w:r w:rsidRPr="005F68B0">
        <w:noBreakHyphen/>
        <w:t>band concepts are new to you, read </w:t>
      </w:r>
      <w:hyperlink r:id="rId8" w:tgtFrame="_blank" w:history="1">
        <w:r w:rsidRPr="005F68B0">
          <w:rPr>
            <w:rStyle w:val="Hyperlink"/>
          </w:rPr>
          <w:t>How a Trade Happens</w:t>
        </w:r>
      </w:hyperlink>
      <w:r w:rsidRPr="005F68B0">
        <w:t> and </w:t>
      </w:r>
      <w:hyperlink r:id="rId9" w:tgtFrame="_blank" w:history="1">
        <w:r w:rsidRPr="005F68B0">
          <w:rPr>
            <w:rStyle w:val="Hyperlink"/>
          </w:rPr>
          <w:t>Understanding Market Data</w:t>
        </w:r>
      </w:hyperlink>
      <w:r w:rsidRPr="005F68B0">
        <w:t>.</w:t>
      </w:r>
    </w:p>
    <w:p w14:paraId="24427BF8" w14:textId="77777777" w:rsidR="005F68B0" w:rsidRPr="005F68B0" w:rsidRDefault="005F68B0" w:rsidP="005F68B0">
      <w:pPr>
        <w:numPr>
          <w:ilvl w:val="0"/>
          <w:numId w:val="4"/>
        </w:numPr>
      </w:pPr>
      <w:r w:rsidRPr="005F68B0">
        <w:rPr>
          <w:b/>
          <w:bCs/>
        </w:rPr>
        <w:t>Maintain a diversified portfolio.</w:t>
      </w:r>
      <w:r w:rsidRPr="005F68B0">
        <w:t> Spread your capital across banks, industrials, consumer goods, and bonds.</w:t>
      </w:r>
    </w:p>
    <w:p w14:paraId="259A9869" w14:textId="77777777" w:rsidR="005F68B0" w:rsidRPr="005F68B0" w:rsidRDefault="005F68B0" w:rsidP="005F68B0">
      <w:pPr>
        <w:numPr>
          <w:ilvl w:val="0"/>
          <w:numId w:val="4"/>
        </w:numPr>
      </w:pPr>
      <w:r w:rsidRPr="005F68B0">
        <w:rPr>
          <w:b/>
          <w:bCs/>
        </w:rPr>
        <w:lastRenderedPageBreak/>
        <w:t>Think in years, not days.</w:t>
      </w:r>
      <w:r w:rsidRPr="005F68B0">
        <w:t> Daily price swings and institutional block trades are interesting, but lasting wealth is built by owning well</w:t>
      </w:r>
      <w:r w:rsidRPr="005F68B0">
        <w:noBreakHyphen/>
        <w:t>managed companies through economic cycles.</w:t>
      </w:r>
    </w:p>
    <w:p w14:paraId="36D5BA47" w14:textId="77777777" w:rsidR="005F68B0" w:rsidRPr="005F68B0" w:rsidRDefault="005F68B0" w:rsidP="005F68B0">
      <w:pPr>
        <w:numPr>
          <w:ilvl w:val="0"/>
          <w:numId w:val="4"/>
        </w:numPr>
      </w:pPr>
      <w:r w:rsidRPr="005F68B0">
        <w:rPr>
          <w:b/>
          <w:bCs/>
        </w:rPr>
        <w:t>Remember the risk.</w:t>
      </w:r>
      <w:r w:rsidRPr="005F68B0">
        <w:t> All equity investment carries the possibility of loss. Past performance does not guarantee future results.</w:t>
      </w:r>
    </w:p>
    <w:p w14:paraId="4058103B" w14:textId="77777777" w:rsidR="005F68B0" w:rsidRPr="005F68B0" w:rsidRDefault="005F68B0" w:rsidP="005F68B0">
      <w:r w:rsidRPr="005F68B0">
        <w:pict w14:anchorId="301DFD8F">
          <v:rect id="_x0000_i1086" style="width:0;height:.75pt" o:hralign="center" o:hrstd="t" o:hr="t" fillcolor="#a0a0a0" stroked="f"/>
        </w:pict>
      </w:r>
    </w:p>
    <w:p w14:paraId="0D738A7E" w14:textId="77777777" w:rsidR="005F68B0" w:rsidRPr="005F68B0" w:rsidRDefault="005F68B0" w:rsidP="005F68B0">
      <w:pPr>
        <w:rPr>
          <w:b/>
          <w:bCs/>
        </w:rPr>
      </w:pPr>
      <w:r w:rsidRPr="005F68B0">
        <w:rPr>
          <w:b/>
          <w:bCs/>
        </w:rPr>
        <w:t>8. Considerations for a Multi</w:t>
      </w:r>
      <w:r w:rsidRPr="005F68B0">
        <w:rPr>
          <w:b/>
          <w:bCs/>
        </w:rPr>
        <w:noBreakHyphen/>
        <w:t>Year Framework</w:t>
      </w:r>
    </w:p>
    <w:p w14:paraId="2494BC32" w14:textId="77777777" w:rsidR="005F68B0" w:rsidRPr="005F68B0" w:rsidRDefault="005F68B0" w:rsidP="005F68B0">
      <w:r w:rsidRPr="005F68B0">
        <w:t>The quiet absorption of a 2.3</w:t>
      </w:r>
      <w:r w:rsidRPr="005F68B0">
        <w:noBreakHyphen/>
        <w:t>million</w:t>
      </w:r>
      <w:r w:rsidRPr="005F68B0">
        <w:noBreakHyphen/>
        <w:t>share ETF block, with barely a flicker in the prices of the stocks held inside it, is a milestone that deserves more attention than it will receive. It signals that the DSE now possesses the institutional depth to handle the largest trades without disruption, and that the market’s centre of gravity has shifted firmly to patient, domestic capital. For the multi</w:t>
      </w:r>
      <w:r w:rsidRPr="005F68B0">
        <w:noBreakHyphen/>
        <w:t>year investor, that structural improvement is the real story of August — one that will quietly compound into better returns, lower volatility, and a more resilient East African capital market.</w:t>
      </w:r>
    </w:p>
    <w:p w14:paraId="79049B62" w14:textId="77777777" w:rsidR="005F68B0" w:rsidRPr="005F68B0" w:rsidRDefault="005F68B0" w:rsidP="005F68B0">
      <w:r w:rsidRPr="005F68B0">
        <w:pict w14:anchorId="09952301">
          <v:rect id="_x0000_i1087" style="width:0;height:.75pt" o:hralign="center" o:hrstd="t" o:hr="t" fillcolor="#a0a0a0" stroked="f"/>
        </w:pict>
      </w:r>
    </w:p>
    <w:p w14:paraId="40C9FAE8" w14:textId="77777777" w:rsidR="005F68B0" w:rsidRPr="005F68B0" w:rsidRDefault="005F68B0" w:rsidP="005F68B0">
      <w:r w:rsidRPr="005F68B0">
        <w:rPr>
          <w:i/>
          <w:iCs/>
        </w:rPr>
        <w:t>This document is for general informational and educational purposes only. Nothing contained herein constitutes financial, investment, legal, or tax advice and should not be relied upon as such. Any investment decision you make is solely your own responsibility. The value of investments and the income from them can go down as well as up, and you may not get back the amount originally invested. Past performance is not a reliable indicator of future results. Capital is at risk, and you may incur losses — including the total loss of your invested capital — which you alone will bear. Amana Capital East Africa Limited is a registered investment advisory and fund management firm under the Capital Markets and Securities Authority (CMSA), Tanzania. Licence number: [pending]. Our registration does not imply that CMSA approves or endorses the contents of this material.</w:t>
      </w:r>
    </w:p>
    <w:p w14:paraId="40B567DC" w14:textId="77777777" w:rsidR="005F68B0" w:rsidRDefault="005F68B0"/>
    <w:sectPr w:rsidR="005F6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5380"/>
    <w:multiLevelType w:val="multilevel"/>
    <w:tmpl w:val="42CC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14B9B"/>
    <w:multiLevelType w:val="multilevel"/>
    <w:tmpl w:val="6194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C6F4B"/>
    <w:multiLevelType w:val="multilevel"/>
    <w:tmpl w:val="D220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F93551"/>
    <w:multiLevelType w:val="multilevel"/>
    <w:tmpl w:val="2EA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4260">
    <w:abstractNumId w:val="1"/>
  </w:num>
  <w:num w:numId="2" w16cid:durableId="64643104">
    <w:abstractNumId w:val="0"/>
  </w:num>
  <w:num w:numId="3" w16cid:durableId="2135560621">
    <w:abstractNumId w:val="3"/>
  </w:num>
  <w:num w:numId="4" w16cid:durableId="1528979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8B0"/>
    <w:rsid w:val="00582069"/>
    <w:rsid w:val="005F68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DD49"/>
  <w15:chartTrackingRefBased/>
  <w15:docId w15:val="{A605449A-594B-457D-B5B1-A754F775E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8B0"/>
    <w:rPr>
      <w:rFonts w:eastAsiaTheme="majorEastAsia" w:cstheme="majorBidi"/>
      <w:color w:val="272727" w:themeColor="text1" w:themeTint="D8"/>
    </w:rPr>
  </w:style>
  <w:style w:type="paragraph" w:styleId="Title">
    <w:name w:val="Title"/>
    <w:basedOn w:val="Normal"/>
    <w:next w:val="Normal"/>
    <w:link w:val="TitleChar"/>
    <w:uiPriority w:val="10"/>
    <w:qFormat/>
    <w:rsid w:val="005F6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8B0"/>
    <w:pPr>
      <w:spacing w:before="160"/>
      <w:jc w:val="center"/>
    </w:pPr>
    <w:rPr>
      <w:i/>
      <w:iCs/>
      <w:color w:val="404040" w:themeColor="text1" w:themeTint="BF"/>
    </w:rPr>
  </w:style>
  <w:style w:type="character" w:customStyle="1" w:styleId="QuoteChar">
    <w:name w:val="Quote Char"/>
    <w:basedOn w:val="DefaultParagraphFont"/>
    <w:link w:val="Quote"/>
    <w:uiPriority w:val="29"/>
    <w:rsid w:val="005F68B0"/>
    <w:rPr>
      <w:i/>
      <w:iCs/>
      <w:color w:val="404040" w:themeColor="text1" w:themeTint="BF"/>
    </w:rPr>
  </w:style>
  <w:style w:type="paragraph" w:styleId="ListParagraph">
    <w:name w:val="List Paragraph"/>
    <w:basedOn w:val="Normal"/>
    <w:uiPriority w:val="34"/>
    <w:qFormat/>
    <w:rsid w:val="005F68B0"/>
    <w:pPr>
      <w:ind w:left="720"/>
      <w:contextualSpacing/>
    </w:pPr>
  </w:style>
  <w:style w:type="character" w:styleId="IntenseEmphasis">
    <w:name w:val="Intense Emphasis"/>
    <w:basedOn w:val="DefaultParagraphFont"/>
    <w:uiPriority w:val="21"/>
    <w:qFormat/>
    <w:rsid w:val="005F68B0"/>
    <w:rPr>
      <w:i/>
      <w:iCs/>
      <w:color w:val="0F4761" w:themeColor="accent1" w:themeShade="BF"/>
    </w:rPr>
  </w:style>
  <w:style w:type="paragraph" w:styleId="IntenseQuote">
    <w:name w:val="Intense Quote"/>
    <w:basedOn w:val="Normal"/>
    <w:next w:val="Normal"/>
    <w:link w:val="IntenseQuoteChar"/>
    <w:uiPriority w:val="30"/>
    <w:qFormat/>
    <w:rsid w:val="005F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8B0"/>
    <w:rPr>
      <w:i/>
      <w:iCs/>
      <w:color w:val="0F4761" w:themeColor="accent1" w:themeShade="BF"/>
    </w:rPr>
  </w:style>
  <w:style w:type="character" w:styleId="IntenseReference">
    <w:name w:val="Intense Reference"/>
    <w:basedOn w:val="DefaultParagraphFont"/>
    <w:uiPriority w:val="32"/>
    <w:qFormat/>
    <w:rsid w:val="005F68B0"/>
    <w:rPr>
      <w:b/>
      <w:bCs/>
      <w:smallCaps/>
      <w:color w:val="0F4761" w:themeColor="accent1" w:themeShade="BF"/>
      <w:spacing w:val="5"/>
    </w:rPr>
  </w:style>
  <w:style w:type="character" w:styleId="Hyperlink">
    <w:name w:val="Hyperlink"/>
    <w:basedOn w:val="DefaultParagraphFont"/>
    <w:uiPriority w:val="99"/>
    <w:unhideWhenUsed/>
    <w:rsid w:val="005F68B0"/>
    <w:rPr>
      <w:color w:val="467886" w:themeColor="hyperlink"/>
      <w:u w:val="single"/>
    </w:rPr>
  </w:style>
  <w:style w:type="character" w:styleId="UnresolvedMention">
    <w:name w:val="Unresolved Mention"/>
    <w:basedOn w:val="DefaultParagraphFont"/>
    <w:uiPriority w:val="99"/>
    <w:semiHidden/>
    <w:unhideWhenUsed/>
    <w:rsid w:val="005F6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cle-3-3.html/" TargetMode="External"/><Relationship Id="rId3" Type="http://schemas.openxmlformats.org/officeDocument/2006/relationships/settings" Target="settings.xml"/><Relationship Id="rId7" Type="http://schemas.openxmlformats.org/officeDocument/2006/relationships/hyperlink" Target="https://article-3-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icle-3-3.html/" TargetMode="External"/><Relationship Id="rId11" Type="http://schemas.openxmlformats.org/officeDocument/2006/relationships/theme" Target="theme/theme1.xml"/><Relationship Id="rId5" Type="http://schemas.openxmlformats.org/officeDocument/2006/relationships/hyperlink" Target="https://article-3-2.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ticle-3-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1612</Words>
  <Characters>9189</Characters>
  <Application>Microsoft Office Word</Application>
  <DocSecurity>0</DocSecurity>
  <Lines>76</Lines>
  <Paragraphs>21</Paragraphs>
  <ScaleCrop>false</ScaleCrop>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 Christian</dc:creator>
  <cp:keywords/>
  <dc:description/>
  <cp:lastModifiedBy>Theophil Christian</cp:lastModifiedBy>
  <cp:revision>1</cp:revision>
  <dcterms:created xsi:type="dcterms:W3CDTF">2026-08-08T18:25:00Z</dcterms:created>
  <dcterms:modified xsi:type="dcterms:W3CDTF">2026-08-08T18:43:00Z</dcterms:modified>
</cp:coreProperties>
</file>