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0B2545"/>
          <w:sz w:val="48"/>
        </w:rPr>
        <w:t>LIQUIDITY SENTINEL</w:t>
      </w:r>
    </w:p>
    <w:p>
      <w:pPr>
        <w:spacing w:after="280"/>
      </w:pPr>
      <w:r>
        <w:rPr>
          <w:rFonts w:ascii="Calibri" w:hAnsi="Calibri"/>
          <w:color w:val="586069"/>
          <w:sz w:val="28"/>
        </w:rPr>
        <w:t>Project Requirements and Build Specification</w:t>
      </w:r>
    </w:p>
    <w:tbl>
      <w:tblPr>
        <w:tblW w:type="dxa" w:w="9360"/>
        <w:jc w:val="left"/>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2100"/>
        <w:gridCol w:w="7260"/>
      </w:tblGrid>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Document purpose</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Single source of truth for the hackathon MVP build</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Prepared for</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Dev A smart contracts and Dev B backend / agent implementation</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Target network</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Avalanche Fuji C-Chain Testnet</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Build window</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June 11-14, 2026</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Primary success metric</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A fully autonomous x402-paid transaction loop with reputation-aware pricing</w:t>
            </w:r>
          </w:p>
        </w:tc>
      </w:tr>
    </w:tbl>
    <w:p/>
    <w:p>
      <w:pPr>
        <w:spacing w:before="200" w:after="240"/>
        <w:pBdr>
          <w:bottom w:val="single" w:sz="8" w:space="6" w:color="B8C2CC"/>
        </w:pBdr>
      </w:pPr>
    </w:p>
    <w:p>
      <w:pPr>
        <w:pStyle w:val="Heading1"/>
        <w:keepNext/>
      </w:pPr>
      <w:r>
        <w:t>1. Executive Summary</w:t>
      </w:r>
    </w:p>
    <w:p>
      <w:pPr>
        <w:spacing w:after="120" w:line="300" w:lineRule="auto"/>
      </w:pPr>
      <w:r>
        <w:t>Liquidity Sentinel is a hackathon MVP that proves autonomous execution agents can acquire paid, reputation-priced capital permissions over HTTP without a human clicking through a payment flow. The system combines an x402-style HTTP 402 payment handshake, Avalanche Fuji settlement, and ERC-8004-inspired agent reputation to create a closed loop: request, invoice, pay, verify, execute, and update trust.</w:t>
      </w:r>
    </w:p>
    <w:tbl>
      <w:tblPr>
        <w:tblW w:type="dxa" w:w="9360"/>
        <w:jc w:val="left"/>
        <w:tblLayout w:type="fixed"/>
        <w:tblLook w:firstColumn="1" w:firstRow="1" w:lastColumn="0" w:lastRow="0" w:noHBand="0" w:noVBand="1" w:val="04A0"/>
        <w:tblInd w:type="dxa" w:w="12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Build thesis</w:t>
            </w:r>
          </w:p>
          <w:p>
            <w:pPr>
              <w:spacing w:after="0" w:line="300" w:lineRule="auto"/>
            </w:pPr>
            <w:r>
              <w:t>Ship the smallest end-to-end loop that visibly moves testnet value and changes system behavior based on agent reputation. Terminal logs plus Fuji explorer evidence are enough; a production frontend is outside the MVP.</w:t>
            </w:r>
          </w:p>
        </w:tc>
      </w:tr>
    </w:tbl>
    <w:p/>
    <w:p>
      <w:pPr>
        <w:pStyle w:val="Heading1"/>
        <w:keepNext/>
      </w:pPr>
      <w:r>
        <w:t>2. Product Definition</w:t>
      </w:r>
    </w:p>
    <w:tbl>
      <w:tblPr>
        <w:tblW w:type="dxa" w:w="9360"/>
        <w:jc w:val="left"/>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2100"/>
        <w:gridCol w:w="7260"/>
      </w:tblGrid>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Problem</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Autonomous agents lack a clean trustless mechanism to acquire short-lived capital permissions and private routing at machine speed.</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Target users</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Web3 quantitative developers, autonomous arbitrage agents, and hackathon judges evaluating agentic payment infrastructure.</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Proposed solution</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A Sentinel API gateway sells access to mock flash capital via HTTP 402 payment challenges. The fee is dynamically priced from the agent's on-chain reputation.</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MVP proof</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One autonomous agent pays an invoice, retries with X-PAYMENT, receives a capital execution payload, runs a mock trade, and triggers a reputation feedback update.</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Non-goal</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Do not prove profitable trading. Prove autonomous paid access, settlement verification, and reputation-aware policy.</w:t>
            </w:r>
          </w:p>
        </w:tc>
      </w:tr>
    </w:tbl>
    <w:p/>
    <w:p>
      <w:pPr>
        <w:pStyle w:val="Heading1"/>
        <w:keepNext/>
      </w:pPr>
      <w:r>
        <w:t>3. MVP Scope</w:t>
      </w:r>
    </w:p>
    <w:p>
      <w:pPr>
        <w:pStyle w:val="Heading2"/>
        <w:keepNext/>
      </w:pPr>
      <w:r>
        <w:t>In Scope</w:t>
      </w:r>
    </w:p>
    <w:p>
      <w:pPr>
        <w:pStyle w:val="ListBullet"/>
        <w:spacing w:after="80" w:line="300" w:lineRule="auto"/>
        <w:ind w:left="540" w:hanging="271"/>
      </w:pPr>
      <w:r>
        <w:t>Deploy or consume Dev A's ERC-8004 identity and reputation contracts on Avalanche Fuji.</w:t>
      </w:r>
    </w:p>
    <w:p>
      <w:pPr>
        <w:pStyle w:val="ListBullet"/>
        <w:spacing w:after="80" w:line="300" w:lineRule="auto"/>
        <w:ind w:left="540" w:hanging="271"/>
      </w:pPr>
      <w:r>
        <w:t>Deploy or consume a mock flash-loan vault / permission contract on Fuji.</w:t>
      </w:r>
    </w:p>
    <w:p>
      <w:pPr>
        <w:pStyle w:val="ListBullet"/>
        <w:spacing w:after="80" w:line="300" w:lineRule="auto"/>
        <w:ind w:left="540" w:hanging="271"/>
      </w:pPr>
      <w:r>
        <w:t>Build a Node.js Express API gateway that emits HTTP 402 Payment Required invoice responses.</w:t>
      </w:r>
    </w:p>
    <w:p>
      <w:pPr>
        <w:pStyle w:val="ListBullet"/>
        <w:spacing w:after="80" w:line="300" w:lineRule="auto"/>
        <w:ind w:left="540" w:hanging="271"/>
      </w:pPr>
      <w:r>
        <w:t>Verify Fuji payment transactions against invoice amount, token, destination, and payer assumptions.</w:t>
      </w:r>
    </w:p>
    <w:p>
      <w:pPr>
        <w:pStyle w:val="ListBullet"/>
        <w:spacing w:after="80" w:line="300" w:lineRule="auto"/>
        <w:ind w:left="540" w:hanging="271"/>
      </w:pPr>
      <w:r>
        <w:t>Build an autonomous buyer agent that catches 402, pays on-chain, base64-encodes the transaction hash, and retries with X-PAYMENT.</w:t>
      </w:r>
    </w:p>
    <w:p>
      <w:pPr>
        <w:pStyle w:val="ListBullet"/>
        <w:spacing w:after="80" w:line="300" w:lineRule="auto"/>
        <w:ind w:left="540" w:hanging="271"/>
      </w:pPr>
      <w:r>
        <w:t>Apply dynamic pricing: high-reputation agents receive a lower fee, unknown or low-reputation agents receive a higher fee.</w:t>
      </w:r>
    </w:p>
    <w:p>
      <w:pPr>
        <w:pStyle w:val="ListBullet"/>
        <w:spacing w:after="80" w:line="300" w:lineRule="auto"/>
        <w:ind w:left="540" w:hanging="271"/>
      </w:pPr>
      <w:r>
        <w:t>Log every step clearly enough for a split-screen demo.</w:t>
      </w:r>
    </w:p>
    <w:p>
      <w:pPr>
        <w:pStyle w:val="Heading2"/>
        <w:keepNext/>
      </w:pPr>
      <w:r>
        <w:t>Out of Scope</w:t>
      </w:r>
    </w:p>
    <w:p>
      <w:pPr>
        <w:pStyle w:val="ListBullet"/>
        <w:spacing w:after="80" w:line="300" w:lineRule="auto"/>
        <w:ind w:left="540" w:hanging="271"/>
      </w:pPr>
      <w:r>
        <w:t>Mainnet deployment or real funds.</w:t>
      </w:r>
    </w:p>
    <w:p>
      <w:pPr>
        <w:pStyle w:val="ListBullet"/>
        <w:spacing w:after="80" w:line="300" w:lineRule="auto"/>
        <w:ind w:left="540" w:hanging="271"/>
      </w:pPr>
      <w:r>
        <w:t>Production-grade frontend dashboard.</w:t>
      </w:r>
    </w:p>
    <w:p>
      <w:pPr>
        <w:pStyle w:val="ListBullet"/>
        <w:spacing w:after="80" w:line="300" w:lineRule="auto"/>
        <w:ind w:left="540" w:hanging="271"/>
      </w:pPr>
      <w:r>
        <w:t>Real DEX routing, live liquidity pools, multi-hop swaps, or MEV/private relay integrations.</w:t>
      </w:r>
    </w:p>
    <w:p>
      <w:pPr>
        <w:pStyle w:val="ListBullet"/>
        <w:spacing w:after="80" w:line="300" w:lineRule="auto"/>
        <w:ind w:left="540" w:hanging="271"/>
      </w:pPr>
      <w:r>
        <w:t>Full x402 ecosystem compatibility beyond the fields required for this demo.</w:t>
      </w:r>
    </w:p>
    <w:p>
      <w:pPr>
        <w:pStyle w:val="ListBullet"/>
        <w:spacing w:after="80" w:line="300" w:lineRule="auto"/>
        <w:ind w:left="540" w:hanging="271"/>
      </w:pPr>
      <w:r>
        <w:t>Complex custody, account abstraction, or multi-agent marketplace features.</w:t>
      </w:r>
    </w:p>
    <w:p>
      <w:pPr>
        <w:pStyle w:val="Heading1"/>
        <w:keepNext/>
      </w:pPr>
      <w:r>
        <w:t>4. System Architecture</w:t>
      </w:r>
    </w:p>
    <w:p>
      <w:pPr>
        <w:spacing w:after="120" w:line="300" w:lineRule="auto"/>
      </w:pPr>
      <w:r>
        <w:t>The MVP is split into five concrete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050"/>
        <w:gridCol w:w="3850"/>
        <w:gridCol w:w="2760"/>
      </w:tblGrid>
      <w:tr>
        <w:trPr>
          <w:tblHeader w:val="true"/>
        </w:trPr>
        <w:tc>
          <w:tcPr>
            <w:tcW w:type="dxa" w:w="17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Component</w:t>
            </w:r>
          </w:p>
        </w:tc>
        <w:tc>
          <w:tcPr>
            <w:tcW w:type="dxa" w:w="10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Owner</w:t>
            </w:r>
          </w:p>
        </w:tc>
        <w:tc>
          <w:tcPr>
            <w:tcW w:type="dxa" w:w="38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Responsibility</w:t>
            </w:r>
          </w:p>
        </w:tc>
        <w:tc>
          <w:tcPr>
            <w:tcW w:type="dxa" w:w="276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MVP Output</w:t>
            </w:r>
          </w:p>
        </w:tc>
      </w:tr>
      <w:tr>
        <w:tc>
          <w:tcPr>
            <w:tcW w:type="dxa" w:w="1700"/>
            <w:vAlign w:val="center"/>
            <w:tcMar>
              <w:top w:w="80" w:type="dxa"/>
              <w:start w:w="120" w:type="dxa"/>
              <w:bottom w:w="80" w:type="dxa"/>
              <w:end w:w="120" w:type="dxa"/>
            </w:tcMar>
          </w:tcPr>
          <w:p>
            <w:pPr>
              <w:spacing w:after="0" w:line="276" w:lineRule="auto"/>
              <w:jc w:val="center"/>
            </w:pPr>
            <w:r/>
            <w:r>
              <w:rPr>
                <w:rFonts w:ascii="Calibri" w:hAnsi="Calibri"/>
                <w:b w:val="0"/>
                <w:sz w:val="19"/>
              </w:rPr>
              <w:t>Identity Registry</w:t>
            </w:r>
          </w:p>
        </w:tc>
        <w:tc>
          <w:tcPr>
            <w:tcW w:type="dxa" w:w="1050"/>
            <w:vAlign w:val="center"/>
            <w:tcMar>
              <w:top w:w="80" w:type="dxa"/>
              <w:start w:w="120" w:type="dxa"/>
              <w:bottom w:w="80" w:type="dxa"/>
              <w:end w:w="120" w:type="dxa"/>
            </w:tcMar>
          </w:tcPr>
          <w:p>
            <w:pPr>
              <w:spacing w:after="0" w:line="276" w:lineRule="auto"/>
            </w:pPr>
            <w:r/>
            <w:r>
              <w:rPr>
                <w:rFonts w:ascii="Calibri" w:hAnsi="Calibri"/>
                <w:b w:val="0"/>
                <w:sz w:val="19"/>
              </w:rPr>
              <w:t>Dev A</w:t>
            </w:r>
          </w:p>
        </w:tc>
        <w:tc>
          <w:tcPr>
            <w:tcW w:type="dxa" w:w="3850"/>
            <w:vAlign w:val="center"/>
            <w:tcMar>
              <w:top w:w="80" w:type="dxa"/>
              <w:start w:w="120" w:type="dxa"/>
              <w:bottom w:w="80" w:type="dxa"/>
              <w:end w:w="120" w:type="dxa"/>
            </w:tcMar>
          </w:tcPr>
          <w:p>
            <w:pPr>
              <w:spacing w:after="0" w:line="276" w:lineRule="auto"/>
            </w:pPr>
            <w:r/>
            <w:r>
              <w:rPr>
                <w:rFonts w:ascii="Calibri" w:hAnsi="Calibri"/>
                <w:b w:val="0"/>
                <w:sz w:val="19"/>
              </w:rPr>
              <w:t>Mint or reference agent identity token IDs.</w:t>
            </w:r>
          </w:p>
        </w:tc>
        <w:tc>
          <w:tcPr>
            <w:tcW w:type="dxa" w:w="2760"/>
            <w:vAlign w:val="center"/>
            <w:tcMar>
              <w:top w:w="80" w:type="dxa"/>
              <w:start w:w="120" w:type="dxa"/>
              <w:bottom w:w="80" w:type="dxa"/>
              <w:end w:w="120" w:type="dxa"/>
            </w:tcMar>
          </w:tcPr>
          <w:p>
            <w:pPr>
              <w:spacing w:after="0" w:line="276" w:lineRule="auto"/>
              <w:jc w:val="center"/>
            </w:pPr>
            <w:r/>
            <w:r>
              <w:rPr>
                <w:rFonts w:ascii="Calibri" w:hAnsi="Calibri"/>
                <w:b w:val="0"/>
                <w:sz w:val="19"/>
              </w:rPr>
              <w:t>agentId exists and can be supplied to the API.</w:t>
            </w:r>
          </w:p>
        </w:tc>
      </w:tr>
      <w:tr>
        <w:tc>
          <w:tcPr>
            <w:tcW w:type="dxa" w:w="1700"/>
            <w:vAlign w:val="center"/>
            <w:tcMar>
              <w:top w:w="80" w:type="dxa"/>
              <w:start w:w="120" w:type="dxa"/>
              <w:bottom w:w="80" w:type="dxa"/>
              <w:end w:w="120" w:type="dxa"/>
            </w:tcMar>
          </w:tcPr>
          <w:p>
            <w:pPr>
              <w:spacing w:after="0" w:line="276" w:lineRule="auto"/>
              <w:jc w:val="center"/>
            </w:pPr>
            <w:r/>
            <w:r>
              <w:rPr>
                <w:rFonts w:ascii="Calibri" w:hAnsi="Calibri"/>
                <w:b w:val="0"/>
                <w:sz w:val="19"/>
              </w:rPr>
              <w:t>Reputation Registry</w:t>
            </w:r>
          </w:p>
        </w:tc>
        <w:tc>
          <w:tcPr>
            <w:tcW w:type="dxa" w:w="1050"/>
            <w:vAlign w:val="center"/>
            <w:tcMar>
              <w:top w:w="80" w:type="dxa"/>
              <w:start w:w="120" w:type="dxa"/>
              <w:bottom w:w="80" w:type="dxa"/>
              <w:end w:w="120" w:type="dxa"/>
            </w:tcMar>
          </w:tcPr>
          <w:p>
            <w:pPr>
              <w:spacing w:after="0" w:line="276" w:lineRule="auto"/>
            </w:pPr>
            <w:r/>
            <w:r>
              <w:rPr>
                <w:rFonts w:ascii="Calibri" w:hAnsi="Calibri"/>
                <w:b w:val="0"/>
                <w:sz w:val="19"/>
              </w:rPr>
              <w:t>Dev A</w:t>
            </w:r>
          </w:p>
        </w:tc>
        <w:tc>
          <w:tcPr>
            <w:tcW w:type="dxa" w:w="3850"/>
            <w:vAlign w:val="center"/>
            <w:tcMar>
              <w:top w:w="80" w:type="dxa"/>
              <w:start w:w="120" w:type="dxa"/>
              <w:bottom w:w="80" w:type="dxa"/>
              <w:end w:w="120" w:type="dxa"/>
            </w:tcMar>
          </w:tcPr>
          <w:p>
            <w:pPr>
              <w:spacing w:after="0" w:line="276" w:lineRule="auto"/>
            </w:pPr>
            <w:r/>
            <w:r>
              <w:rPr>
                <w:rFonts w:ascii="Calibri" w:hAnsi="Calibri"/>
                <w:b w:val="0"/>
                <w:sz w:val="19"/>
              </w:rPr>
              <w:t>Expose getSummary(agentId) and accept feedback/update calls.</w:t>
            </w:r>
          </w:p>
        </w:tc>
        <w:tc>
          <w:tcPr>
            <w:tcW w:type="dxa" w:w="2760"/>
            <w:vAlign w:val="center"/>
            <w:tcMar>
              <w:top w:w="80" w:type="dxa"/>
              <w:start w:w="120" w:type="dxa"/>
              <w:bottom w:w="80" w:type="dxa"/>
              <w:end w:w="120" w:type="dxa"/>
            </w:tcMar>
          </w:tcPr>
          <w:p>
            <w:pPr>
              <w:spacing w:after="0" w:line="276" w:lineRule="auto"/>
              <w:jc w:val="center"/>
            </w:pPr>
            <w:r/>
            <w:r>
              <w:rPr>
                <w:rFonts w:ascii="Calibri" w:hAnsi="Calibri"/>
                <w:b w:val="0"/>
                <w:sz w:val="19"/>
              </w:rPr>
              <w:t>Gateway can read score and optionally submit validation feedback.</w:t>
            </w:r>
          </w:p>
        </w:tc>
      </w:tr>
      <w:tr>
        <w:tc>
          <w:tcPr>
            <w:tcW w:type="dxa" w:w="1700"/>
            <w:vAlign w:val="center"/>
            <w:tcMar>
              <w:top w:w="80" w:type="dxa"/>
              <w:start w:w="120" w:type="dxa"/>
              <w:bottom w:w="80" w:type="dxa"/>
              <w:end w:w="120" w:type="dxa"/>
            </w:tcMar>
          </w:tcPr>
          <w:p>
            <w:pPr>
              <w:spacing w:after="0" w:line="276" w:lineRule="auto"/>
              <w:jc w:val="center"/>
            </w:pPr>
            <w:r/>
            <w:r>
              <w:rPr>
                <w:rFonts w:ascii="Calibri" w:hAnsi="Calibri"/>
                <w:b w:val="0"/>
                <w:sz w:val="19"/>
              </w:rPr>
              <w:t>Mock Vault</w:t>
            </w:r>
          </w:p>
        </w:tc>
        <w:tc>
          <w:tcPr>
            <w:tcW w:type="dxa" w:w="1050"/>
            <w:vAlign w:val="center"/>
            <w:tcMar>
              <w:top w:w="80" w:type="dxa"/>
              <w:start w:w="120" w:type="dxa"/>
              <w:bottom w:w="80" w:type="dxa"/>
              <w:end w:w="120" w:type="dxa"/>
            </w:tcMar>
          </w:tcPr>
          <w:p>
            <w:pPr>
              <w:spacing w:after="0" w:line="276" w:lineRule="auto"/>
            </w:pPr>
            <w:r/>
            <w:r>
              <w:rPr>
                <w:rFonts w:ascii="Calibri" w:hAnsi="Calibri"/>
                <w:b w:val="0"/>
                <w:sz w:val="19"/>
              </w:rPr>
              <w:t>Dev A</w:t>
            </w:r>
          </w:p>
        </w:tc>
        <w:tc>
          <w:tcPr>
            <w:tcW w:type="dxa" w:w="3850"/>
            <w:vAlign w:val="center"/>
            <w:tcMar>
              <w:top w:w="80" w:type="dxa"/>
              <w:start w:w="120" w:type="dxa"/>
              <w:bottom w:w="80" w:type="dxa"/>
              <w:end w:w="120" w:type="dxa"/>
            </w:tcMar>
          </w:tcPr>
          <w:p>
            <w:pPr>
              <w:spacing w:after="0" w:line="276" w:lineRule="auto"/>
            </w:pPr>
            <w:r/>
            <w:r>
              <w:rPr>
                <w:rFonts w:ascii="Calibri" w:hAnsi="Calibri"/>
                <w:b w:val="0"/>
                <w:sz w:val="19"/>
              </w:rPr>
              <w:t>Represent gated capital or execution permissions.</w:t>
            </w:r>
          </w:p>
        </w:tc>
        <w:tc>
          <w:tcPr>
            <w:tcW w:type="dxa" w:w="2760"/>
            <w:vAlign w:val="center"/>
            <w:tcMar>
              <w:top w:w="80" w:type="dxa"/>
              <w:start w:w="120" w:type="dxa"/>
              <w:bottom w:w="80" w:type="dxa"/>
              <w:end w:w="120" w:type="dxa"/>
            </w:tcMar>
          </w:tcPr>
          <w:p>
            <w:pPr>
              <w:spacing w:after="0" w:line="276" w:lineRule="auto"/>
              <w:jc w:val="center"/>
            </w:pPr>
            <w:r/>
            <w:r>
              <w:rPr>
                <w:rFonts w:ascii="Calibri" w:hAnsi="Calibri"/>
                <w:b w:val="0"/>
                <w:sz w:val="19"/>
              </w:rPr>
              <w:t>API can return a permission payload or call authorized function.</w:t>
            </w:r>
          </w:p>
        </w:tc>
      </w:tr>
      <w:tr>
        <w:tc>
          <w:tcPr>
            <w:tcW w:type="dxa" w:w="1700"/>
            <w:vAlign w:val="center"/>
            <w:tcMar>
              <w:top w:w="80" w:type="dxa"/>
              <w:start w:w="120" w:type="dxa"/>
              <w:bottom w:w="80" w:type="dxa"/>
              <w:end w:w="120" w:type="dxa"/>
            </w:tcMar>
          </w:tcPr>
          <w:p>
            <w:pPr>
              <w:spacing w:after="0" w:line="276" w:lineRule="auto"/>
              <w:jc w:val="center"/>
            </w:pPr>
            <w:r/>
            <w:r>
              <w:rPr>
                <w:rFonts w:ascii="Calibri" w:hAnsi="Calibri"/>
                <w:b w:val="0"/>
                <w:sz w:val="19"/>
              </w:rPr>
              <w:t>Sentinel API</w:t>
            </w:r>
          </w:p>
        </w:tc>
        <w:tc>
          <w:tcPr>
            <w:tcW w:type="dxa" w:w="1050"/>
            <w:vAlign w:val="center"/>
            <w:tcMar>
              <w:top w:w="80" w:type="dxa"/>
              <w:start w:w="120" w:type="dxa"/>
              <w:bottom w:w="80" w:type="dxa"/>
              <w:end w:w="120" w:type="dxa"/>
            </w:tcMar>
          </w:tcPr>
          <w:p>
            <w:pPr>
              <w:spacing w:after="0" w:line="276" w:lineRule="auto"/>
            </w:pPr>
            <w:r/>
            <w:r>
              <w:rPr>
                <w:rFonts w:ascii="Calibri" w:hAnsi="Calibri"/>
                <w:b w:val="0"/>
                <w:sz w:val="19"/>
              </w:rPr>
              <w:t>Dev B</w:t>
            </w:r>
          </w:p>
        </w:tc>
        <w:tc>
          <w:tcPr>
            <w:tcW w:type="dxa" w:w="3850"/>
            <w:vAlign w:val="center"/>
            <w:tcMar>
              <w:top w:w="80" w:type="dxa"/>
              <w:start w:w="120" w:type="dxa"/>
              <w:bottom w:w="80" w:type="dxa"/>
              <w:end w:w="120" w:type="dxa"/>
            </w:tcMar>
          </w:tcPr>
          <w:p>
            <w:pPr>
              <w:spacing w:after="0" w:line="276" w:lineRule="auto"/>
            </w:pPr>
            <w:r/>
            <w:r>
              <w:rPr>
                <w:rFonts w:ascii="Calibri" w:hAnsi="Calibri"/>
                <w:b w:val="0"/>
                <w:sz w:val="19"/>
              </w:rPr>
              <w:t>Issue invoices, verify X-PAYMENT, price by reputation, release payload.</w:t>
            </w:r>
          </w:p>
        </w:tc>
        <w:tc>
          <w:tcPr>
            <w:tcW w:type="dxa" w:w="2760"/>
            <w:vAlign w:val="center"/>
            <w:tcMar>
              <w:top w:w="80" w:type="dxa"/>
              <w:start w:w="120" w:type="dxa"/>
              <w:bottom w:w="80" w:type="dxa"/>
              <w:end w:w="120" w:type="dxa"/>
            </w:tcMar>
          </w:tcPr>
          <w:p>
            <w:pPr>
              <w:spacing w:after="0" w:line="276" w:lineRule="auto"/>
              <w:jc w:val="center"/>
            </w:pPr>
            <w:r/>
            <w:r>
              <w:rPr>
                <w:rFonts w:ascii="Calibri" w:hAnsi="Calibri"/>
                <w:b w:val="0"/>
                <w:sz w:val="19"/>
              </w:rPr>
              <w:t>Express server with /api/v1/request-capital.</w:t>
            </w:r>
          </w:p>
        </w:tc>
      </w:tr>
      <w:tr>
        <w:tc>
          <w:tcPr>
            <w:tcW w:type="dxa" w:w="1700"/>
            <w:vAlign w:val="center"/>
            <w:tcMar>
              <w:top w:w="80" w:type="dxa"/>
              <w:start w:w="120" w:type="dxa"/>
              <w:bottom w:w="80" w:type="dxa"/>
              <w:end w:w="120" w:type="dxa"/>
            </w:tcMar>
          </w:tcPr>
          <w:p>
            <w:pPr>
              <w:spacing w:after="0" w:line="276" w:lineRule="auto"/>
              <w:jc w:val="center"/>
            </w:pPr>
            <w:r/>
            <w:r>
              <w:rPr>
                <w:rFonts w:ascii="Calibri" w:hAnsi="Calibri"/>
                <w:b w:val="0"/>
                <w:sz w:val="19"/>
              </w:rPr>
              <w:t>Execution Agent</w:t>
            </w:r>
          </w:p>
        </w:tc>
        <w:tc>
          <w:tcPr>
            <w:tcW w:type="dxa" w:w="1050"/>
            <w:vAlign w:val="center"/>
            <w:tcMar>
              <w:top w:w="80" w:type="dxa"/>
              <w:start w:w="120" w:type="dxa"/>
              <w:bottom w:w="80" w:type="dxa"/>
              <w:end w:w="120" w:type="dxa"/>
            </w:tcMar>
          </w:tcPr>
          <w:p>
            <w:pPr>
              <w:spacing w:after="0" w:line="276" w:lineRule="auto"/>
            </w:pPr>
            <w:r/>
            <w:r>
              <w:rPr>
                <w:rFonts w:ascii="Calibri" w:hAnsi="Calibri"/>
                <w:b w:val="0"/>
                <w:sz w:val="19"/>
              </w:rPr>
              <w:t>Dev B</w:t>
            </w:r>
          </w:p>
        </w:tc>
        <w:tc>
          <w:tcPr>
            <w:tcW w:type="dxa" w:w="3850"/>
            <w:vAlign w:val="center"/>
            <w:tcMar>
              <w:top w:w="80" w:type="dxa"/>
              <w:start w:w="120" w:type="dxa"/>
              <w:bottom w:w="80" w:type="dxa"/>
              <w:end w:w="120" w:type="dxa"/>
            </w:tcMar>
          </w:tcPr>
          <w:p>
            <w:pPr>
              <w:spacing w:after="0" w:line="276" w:lineRule="auto"/>
            </w:pPr>
            <w:r/>
            <w:r>
              <w:rPr>
                <w:rFonts w:ascii="Calibri" w:hAnsi="Calibri"/>
                <w:b w:val="0"/>
                <w:sz w:val="19"/>
              </w:rPr>
              <w:t>Make the request, settle invoice, retry automatically.</w:t>
            </w:r>
          </w:p>
        </w:tc>
        <w:tc>
          <w:tcPr>
            <w:tcW w:type="dxa" w:w="2760"/>
            <w:vAlign w:val="center"/>
            <w:tcMar>
              <w:top w:w="80" w:type="dxa"/>
              <w:start w:w="120" w:type="dxa"/>
              <w:bottom w:w="80" w:type="dxa"/>
              <w:end w:w="120" w:type="dxa"/>
            </w:tcMar>
          </w:tcPr>
          <w:p>
            <w:pPr>
              <w:spacing w:after="0" w:line="276" w:lineRule="auto"/>
              <w:jc w:val="center"/>
            </w:pPr>
            <w:r/>
            <w:r>
              <w:rPr>
                <w:rFonts w:ascii="Calibri" w:hAnsi="Calibri"/>
                <w:b w:val="0"/>
                <w:sz w:val="19"/>
              </w:rPr>
              <w:t>Script completes loop without manual intervention.</w:t>
            </w:r>
          </w:p>
        </w:tc>
      </w:tr>
    </w:tbl>
    <w:p/>
    <w:p>
      <w:pPr>
        <w:pStyle w:val="Heading2"/>
        <w:keepNext/>
      </w:pPr>
      <w:r>
        <w:t>End-to-End Flow</w:t>
      </w:r>
    </w:p>
    <w:p>
      <w:pPr>
        <w:pStyle w:val="ListNumber"/>
        <w:spacing w:after="80" w:line="300" w:lineRule="auto"/>
        <w:ind w:left="540" w:hanging="271"/>
      </w:pPr>
      <w:r>
        <w:t>Execution Agent sends POST /api/v1/request-capital with agentId and requested capital parameters.</w:t>
      </w:r>
    </w:p>
    <w:p>
      <w:pPr>
        <w:pStyle w:val="ListNumber"/>
        <w:spacing w:after="80" w:line="300" w:lineRule="auto"/>
        <w:ind w:left="540" w:hanging="271"/>
      </w:pPr>
      <w:r>
        <w:t>Sentinel API reads ReputationRegistry.getSummary(agentId) and computes the invoice price.</w:t>
      </w:r>
    </w:p>
    <w:p>
      <w:pPr>
        <w:pStyle w:val="ListNumber"/>
        <w:spacing w:after="80" w:line="300" w:lineRule="auto"/>
        <w:ind w:left="540" w:hanging="271"/>
      </w:pPr>
      <w:r>
        <w:t>If payment is missing or invalid, API returns HTTP 402 with invoice JSON.</w:t>
      </w:r>
    </w:p>
    <w:p>
      <w:pPr>
        <w:pStyle w:val="ListNumber"/>
        <w:spacing w:after="80" w:line="300" w:lineRule="auto"/>
        <w:ind w:left="540" w:hanging="271"/>
      </w:pPr>
      <w:r>
        <w:t>Agent signs and broadcasts a Fuji payment transaction for the requested token amount.</w:t>
      </w:r>
    </w:p>
    <w:p>
      <w:pPr>
        <w:pStyle w:val="ListNumber"/>
        <w:spacing w:after="80" w:line="300" w:lineRule="auto"/>
        <w:ind w:left="540" w:hanging="271"/>
      </w:pPr>
      <w:r>
        <w:t>Agent retries the exact request with X-PAYMENT containing the base64-encoded transaction hash.</w:t>
      </w:r>
    </w:p>
    <w:p>
      <w:pPr>
        <w:pStyle w:val="ListNumber"/>
        <w:spacing w:after="80" w:line="300" w:lineRule="auto"/>
        <w:ind w:left="540" w:hanging="271"/>
      </w:pPr>
      <w:r>
        <w:t>API decodes the header, reads the transaction via RPC, validates destination, token, amount, and confirmation status.</w:t>
      </w:r>
    </w:p>
    <w:p>
      <w:pPr>
        <w:pStyle w:val="ListNumber"/>
        <w:spacing w:after="80" w:line="300" w:lineRule="auto"/>
        <w:ind w:left="540" w:hanging="271"/>
      </w:pPr>
      <w:r>
        <w:t>API releases the mock capital permission / execution payload and optionally writes feedback to the reputation contract.</w:t>
      </w:r>
    </w:p>
    <w:p>
      <w:pPr>
        <w:pStyle w:val="Heading1"/>
        <w:keepNext/>
      </w:pPr>
      <w:r>
        <w:t>5. Functional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800"/>
        <w:gridCol w:w="4050"/>
        <w:gridCol w:w="4510"/>
      </w:tblGrid>
      <w:tr>
        <w:trPr>
          <w:tblHeader w:val="true"/>
        </w:trPr>
        <w:tc>
          <w:tcPr>
            <w:tcW w:type="dxa" w:w="8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ID</w:t>
            </w:r>
          </w:p>
        </w:tc>
        <w:tc>
          <w:tcPr>
            <w:tcW w:type="dxa" w:w="40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Requirement</w:t>
            </w:r>
          </w:p>
        </w:tc>
        <w:tc>
          <w:tcPr>
            <w:tcW w:type="dxa" w:w="451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Acceptance Criteria</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F1</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API accepts POST /api/v1/request-capital.</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Request body includes agentId; invalid bodies return 400 with a clear error.</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F2</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API creates a payment challenge when X-PAYMENT is absent.</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Response status is 402 and payload includes amount, token, destination, network, and nonce/request id.</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F3</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Gateway reads reputation before pricing.</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getSummary(agentId) is called or a clearly labeled mock fallback is used when contracts are not deployed.</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F4</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Pricing changes by score.</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score &gt; 90 returns low-tier fee; score &lt;= 90 or missing history returns high-tier fee.</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F5</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Agent automatically handles 402.</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No manual copy-paste is required between first request, payment, and retry.</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F6</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Agent sends X-PAYMENT.</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Header contains base64-encoded transaction hash or structured settlement reference agreed by API and agent.</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F7</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API verifies payment on Fuji.</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Transaction recipient and amount match invoice; failed or mismatched transactions are rejected.</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F8</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Successful payment releases payload.</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API returns 200 with capital permission, mock execution data, or vault authorization response.</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F9</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System emits useful logs.</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Logs show request id, agent id, price tier, invoice, tx hash, verification result, and final payload.</w:t>
            </w:r>
          </w:p>
        </w:tc>
      </w:tr>
      <w:tr>
        <w:tc>
          <w:tcPr>
            <w:tcW w:type="dxa" w:w="800"/>
            <w:vAlign w:val="center"/>
            <w:tcMar>
              <w:top w:w="80" w:type="dxa"/>
              <w:start w:w="120" w:type="dxa"/>
              <w:bottom w:w="80" w:type="dxa"/>
              <w:end w:w="120" w:type="dxa"/>
            </w:tcMar>
          </w:tcPr>
          <w:p>
            <w:pPr>
              <w:spacing w:after="0" w:line="276" w:lineRule="auto"/>
              <w:jc w:val="center"/>
            </w:pPr>
            <w:r/>
            <w:r>
              <w:rPr>
                <w:rFonts w:ascii="Calibri" w:hAnsi="Calibri"/>
                <w:b w:val="0"/>
                <w:sz w:val="19"/>
              </w:rPr>
              <w:t>F10</w:t>
            </w:r>
          </w:p>
        </w:tc>
        <w:tc>
          <w:tcPr>
            <w:tcW w:type="dxa" w:w="4050"/>
            <w:vAlign w:val="center"/>
            <w:tcMar>
              <w:top w:w="80" w:type="dxa"/>
              <w:start w:w="120" w:type="dxa"/>
              <w:bottom w:w="80" w:type="dxa"/>
              <w:end w:w="120" w:type="dxa"/>
            </w:tcMar>
          </w:tcPr>
          <w:p>
            <w:pPr>
              <w:spacing w:after="0" w:line="276" w:lineRule="auto"/>
            </w:pPr>
            <w:r/>
            <w:r>
              <w:rPr>
                <w:rFonts w:ascii="Calibri" w:hAnsi="Calibri"/>
                <w:b w:val="0"/>
                <w:sz w:val="19"/>
              </w:rPr>
              <w:t>Post-execution feedback can update reputation.</w:t>
            </w:r>
          </w:p>
        </w:tc>
        <w:tc>
          <w:tcPr>
            <w:tcW w:type="dxa" w:w="4510"/>
            <w:vAlign w:val="center"/>
            <w:tcMar>
              <w:top w:w="80" w:type="dxa"/>
              <w:start w:w="120" w:type="dxa"/>
              <w:bottom w:w="80" w:type="dxa"/>
              <w:end w:w="120" w:type="dxa"/>
            </w:tcMar>
          </w:tcPr>
          <w:p>
            <w:pPr>
              <w:spacing w:after="0" w:line="276" w:lineRule="auto"/>
              <w:jc w:val="center"/>
            </w:pPr>
            <w:r/>
            <w:r>
              <w:rPr>
                <w:rFonts w:ascii="Calibri" w:hAnsi="Calibri"/>
                <w:b w:val="0"/>
                <w:sz w:val="19"/>
              </w:rPr>
              <w:t>API can call Dev A's validation/reporting function or log the mock call if ABI/address is not ready.</w:t>
            </w:r>
          </w:p>
        </w:tc>
      </w:tr>
    </w:tbl>
    <w:p/>
    <w:p>
      <w:pPr>
        <w:pStyle w:val="Heading1"/>
        <w:keepNext/>
      </w:pPr>
      <w:r>
        <w:t>6. Non-Functional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Area</w:t>
            </w:r>
          </w:p>
        </w:tc>
        <w:tc>
          <w:tcPr>
            <w:tcW w:type="dxa" w:w="756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Requirement</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Reliability</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The demo path must complete repeatedly on Fuji with deterministic logs and graceful error handling for RPC delays.</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Security</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Private keys must live in environment variables or local .env files excluded from version control; never hardcode real secrets.</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Observability</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Every request should carry a requestId so the API log, agent log, and explorer transaction can be matched during recording.</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Portability</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The MVP should run locally with npm scripts and a documented .env.example.</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Speed</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The end-to-end demo should finish in a few minutes, allowing for testnet confirmation latency.</w:t>
            </w:r>
          </w:p>
        </w:tc>
      </w:tr>
      <w:tr>
        <w:tc>
          <w:tcPr>
            <w:tcW w:type="dxa" w:w="1800"/>
            <w:vAlign w:val="center"/>
            <w:tcMar>
              <w:top w:w="80" w:type="dxa"/>
              <w:start w:w="120" w:type="dxa"/>
              <w:bottom w:w="80" w:type="dxa"/>
              <w:end w:w="120" w:type="dxa"/>
            </w:tcMar>
          </w:tcPr>
          <w:p>
            <w:pPr>
              <w:spacing w:after="0" w:line="276" w:lineRule="auto"/>
              <w:jc w:val="center"/>
            </w:pPr>
            <w:r/>
            <w:r>
              <w:rPr>
                <w:rFonts w:ascii="Calibri" w:hAnsi="Calibri"/>
                <w:b w:val="0"/>
                <w:sz w:val="19"/>
              </w:rPr>
              <w:t>Scope control</w:t>
            </w:r>
          </w:p>
        </w:tc>
        <w:tc>
          <w:tcPr>
            <w:tcW w:type="dxa" w:w="7560"/>
            <w:vAlign w:val="center"/>
            <w:tcMar>
              <w:top w:w="80" w:type="dxa"/>
              <w:start w:w="120" w:type="dxa"/>
              <w:bottom w:w="80" w:type="dxa"/>
              <w:end w:w="120" w:type="dxa"/>
            </w:tcMar>
          </w:tcPr>
          <w:p>
            <w:pPr>
              <w:spacing w:after="0" w:line="276" w:lineRule="auto"/>
              <w:jc w:val="center"/>
            </w:pPr>
            <w:r/>
            <w:r>
              <w:rPr>
                <w:rFonts w:ascii="Calibri" w:hAnsi="Calibri"/>
                <w:b w:val="0"/>
                <w:sz w:val="19"/>
              </w:rPr>
              <w:t>All non-demo features must be deferred unless the autonomous payment loop is already working.</w:t>
            </w:r>
          </w:p>
        </w:tc>
      </w:tr>
    </w:tbl>
    <w:p/>
    <w:p>
      <w:pPr>
        <w:pStyle w:val="Heading1"/>
        <w:keepNext/>
      </w:pPr>
      <w:r>
        <w:t>7. API Contract</w:t>
      </w:r>
    </w:p>
    <w:p>
      <w:pPr>
        <w:pStyle w:val="Heading2"/>
        <w:keepNext/>
      </w:pPr>
      <w:r>
        <w:t>POST /api/v1/request-capital</w:t>
      </w:r>
    </w:p>
    <w:tbl>
      <w:tblPr>
        <w:tblW w:type="dxa" w:w="9360"/>
        <w:jc w:val="left"/>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2100"/>
        <w:gridCol w:w="7260"/>
      </w:tblGrid>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Purpose</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Request paid access to mock flash capital / protected execution route.</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Auth</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MVP relies on wallet-controlled payment rather than sessions.</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Required body</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agentId, capitalAmount, asset, strategyHint</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Optional headers</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X-PAYMENT, X-REQUEST-ID</w:t>
            </w:r>
          </w:p>
        </w:tc>
      </w:tr>
      <w:tr>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0B2545"/>
                <w:sz w:val="20"/>
              </w:rPr>
              <w:t>Primary responses</w:t>
            </w:r>
          </w:p>
        </w:tc>
        <w:tc>
          <w:tcPr>
            <w:tcW w:type="dxa" w:w="7260"/>
            <w:vAlign w:val="center"/>
            <w:tcMar>
              <w:top w:w="80" w:type="dxa"/>
              <w:start w:w="120" w:type="dxa"/>
              <w:bottom w:w="80" w:type="dxa"/>
              <w:end w:w="120" w:type="dxa"/>
            </w:tcMar>
            <w:shd w:fill="FFFFFF"/>
          </w:tcPr>
          <w:p>
            <w:pPr>
              <w:spacing w:after="0" w:line="276" w:lineRule="auto"/>
            </w:pPr>
            <w:r/>
            <w:r>
              <w:rPr>
                <w:rFonts w:ascii="Calibri" w:hAnsi="Calibri"/>
                <w:b w:val="0"/>
                <w:sz w:val="20"/>
              </w:rPr>
              <w:t>402 Payment Required, 200 OK, 400 Bad Request, 402 Invalid Payment, 500 RPC/contract error</w:t>
            </w:r>
          </w:p>
        </w:tc>
      </w:tr>
    </w:tbl>
    <w:p/>
    <w:p>
      <w:pPr>
        <w:spacing w:after="120" w:line="300" w:lineRule="auto"/>
      </w:pPr>
      <w:r>
        <w:t>Example first request body:</w:t>
      </w:r>
    </w:p>
    <w:tbl>
      <w:tblPr>
        <w:tblW w:type="dxa" w:w="9360"/>
        <w:jc w:val="left"/>
        <w:tblLayout w:type="fixed"/>
        <w:tblLook w:firstColumn="1" w:firstRow="1" w:lastColumn="0" w:lastRow="0" w:noHBand="0" w:noVBand="1" w:val="04A0"/>
        <w:tblInd w:type="dxa" w:w="12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9360"/>
      </w:tblGrid>
      <w:tr>
        <w:tc>
          <w:tcPr>
            <w:tcW w:type="dxa" w:w="9360"/>
            <w:vAlign w:val="center"/>
            <w:tcMar>
              <w:top w:w="80" w:type="dxa"/>
              <w:start w:w="120" w:type="dxa"/>
              <w:bottom w:w="80" w:type="dxa"/>
              <w:end w:w="120" w:type="dxa"/>
            </w:tcMar>
            <w:shd w:fill="F7F9FC"/>
          </w:tcPr>
          <w:p>
            <w:pPr>
              <w:spacing w:after="0" w:line="240" w:lineRule="auto"/>
            </w:pPr>
            <w:r>
              <w:rPr>
                <w:rFonts w:ascii="Consolas" w:hAnsi="Consolas"/>
                <w:color w:val="232B33"/>
                <w:sz w:val="18"/>
              </w:rPr>
              <w:t>{</w:t>
              <w:br/>
              <w:t xml:space="preserve">  "agentId": "1",</w:t>
              <w:br/>
              <w:t xml:space="preserve">  "capitalAmount": "100000000",</w:t>
              <w:br/>
              <w:t xml:space="preserve">  "asset": "USDC",</w:t>
              <w:br/>
              <w:t xml:space="preserve">  "strategyHint": "mock-arb-v1"</w:t>
              <w:br/>
              <w:t>}</w:t>
            </w:r>
          </w:p>
        </w:tc>
      </w:tr>
    </w:tbl>
    <w:p/>
    <w:p>
      <w:pPr>
        <w:spacing w:after="120" w:line="300" w:lineRule="auto"/>
      </w:pPr>
      <w:r>
        <w:t>Example 402 response:</w:t>
      </w:r>
    </w:p>
    <w:tbl>
      <w:tblPr>
        <w:tblW w:type="dxa" w:w="9360"/>
        <w:jc w:val="left"/>
        <w:tblLayout w:type="fixed"/>
        <w:tblLook w:firstColumn="1" w:firstRow="1" w:lastColumn="0" w:lastRow="0" w:noHBand="0" w:noVBand="1" w:val="04A0"/>
        <w:tblInd w:type="dxa" w:w="12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9360"/>
      </w:tblGrid>
      <w:tr>
        <w:tc>
          <w:tcPr>
            <w:tcW w:type="dxa" w:w="9360"/>
            <w:vAlign w:val="center"/>
            <w:tcMar>
              <w:top w:w="80" w:type="dxa"/>
              <w:start w:w="120" w:type="dxa"/>
              <w:bottom w:w="80" w:type="dxa"/>
              <w:end w:w="120" w:type="dxa"/>
            </w:tcMar>
            <w:shd w:fill="F7F9FC"/>
          </w:tcPr>
          <w:p>
            <w:pPr>
              <w:spacing w:after="0" w:line="240" w:lineRule="auto"/>
            </w:pPr>
            <w:r>
              <w:rPr>
                <w:rFonts w:ascii="Consolas" w:hAnsi="Consolas"/>
                <w:color w:val="232B33"/>
                <w:sz w:val="18"/>
              </w:rPr>
              <w:t>{</w:t>
              <w:br/>
              <w:t xml:space="preserve">  "status": 402,</w:t>
              <w:br/>
              <w:t xml:space="preserve">  "message": "Payment Required via x402 Protocol",</w:t>
              <w:br/>
              <w:t xml:space="preserve">  "invoice": {</w:t>
              <w:br/>
              <w:t xml:space="preserve">    "requestId": "sentinel_20260611_001",</w:t>
              <w:br/>
              <w:t xml:space="preserve">    "network": "avalanche-fuji",</w:t>
              <w:br/>
              <w:t xml:space="preserve">    "amount": "10000",</w:t>
              <w:br/>
              <w:t xml:space="preserve">    "decimals": 6,</w:t>
              <w:br/>
              <w:t xml:space="preserve">    "token": "USDC_Fuji_Address",</w:t>
              <w:br/>
              <w:t xml:space="preserve">    "destination": "Sentinel_Vault_Address",</w:t>
              <w:br/>
              <w:t xml:space="preserve">    "expiresAt": "2026-06-11T23:59:00Z",</w:t>
              <w:br/>
              <w:t xml:space="preserve">    "pricingTier": "trusted-agent"</w:t>
              <w:br/>
              <w:t xml:space="preserve">  }</w:t>
              <w:br/>
              <w:t>}</w:t>
            </w:r>
          </w:p>
        </w:tc>
      </w:tr>
    </w:tbl>
    <w:p/>
    <w:p>
      <w:pPr>
        <w:spacing w:after="120" w:line="300" w:lineRule="auto"/>
      </w:pPr>
      <w:r>
        <w:t>Example successful response:</w:t>
      </w:r>
    </w:p>
    <w:tbl>
      <w:tblPr>
        <w:tblW w:type="dxa" w:w="9360"/>
        <w:jc w:val="left"/>
        <w:tblLayout w:type="fixed"/>
        <w:tblLook w:firstColumn="1" w:firstRow="1" w:lastColumn="0" w:lastRow="0" w:noHBand="0" w:noVBand="1" w:val="04A0"/>
        <w:tblInd w:type="dxa" w:w="12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9360"/>
      </w:tblGrid>
      <w:tr>
        <w:tc>
          <w:tcPr>
            <w:tcW w:type="dxa" w:w="9360"/>
            <w:vAlign w:val="center"/>
            <w:tcMar>
              <w:top w:w="80" w:type="dxa"/>
              <w:start w:w="120" w:type="dxa"/>
              <w:bottom w:w="80" w:type="dxa"/>
              <w:end w:w="120" w:type="dxa"/>
            </w:tcMar>
            <w:shd w:fill="F7F9FC"/>
          </w:tcPr>
          <w:p>
            <w:pPr>
              <w:spacing w:after="0" w:line="240" w:lineRule="auto"/>
            </w:pPr>
            <w:r>
              <w:rPr>
                <w:rFonts w:ascii="Consolas" w:hAnsi="Consolas"/>
                <w:color w:val="232B33"/>
                <w:sz w:val="18"/>
              </w:rPr>
              <w:t>{</w:t>
              <w:br/>
              <w:t xml:space="preserve">  "status": 200,</w:t>
              <w:br/>
              <w:t xml:space="preserve">  "requestId": "sentinel_20260611_001",</w:t>
              <w:br/>
              <w:t xml:space="preserve">  "paymentTx": "0x...",</w:t>
              <w:br/>
              <w:t xml:space="preserve">  "capitalPermission": {</w:t>
              <w:br/>
              <w:t xml:space="preserve">    "vault": "Mock_Vault_Address",</w:t>
              <w:br/>
              <w:t xml:space="preserve">    "asset": "USDC",</w:t>
              <w:br/>
              <w:t xml:space="preserve">    "amount": "100000000",</w:t>
              <w:br/>
              <w:t xml:space="preserve">    "expiresInSeconds": 180</w:t>
              <w:br/>
              <w:t xml:space="preserve">  },</w:t>
              <w:br/>
              <w:t xml:space="preserve">  "reputationFeedback": "submitted-or-queued"</w:t>
              <w:br/>
              <w:t>}</w:t>
            </w:r>
          </w:p>
        </w:tc>
      </w:tr>
    </w:tbl>
    <w:p/>
    <w:p>
      <w:pPr>
        <w:pStyle w:val="Heading1"/>
        <w:keepNext/>
      </w:pPr>
      <w:r>
        <w:t>8. Dynamic Pricing Rules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600"/>
        <w:gridCol w:w="3460"/>
      </w:tblGrid>
      <w:tr>
        <w:trPr>
          <w:tblHeader w:val="true"/>
        </w:trPr>
        <w:tc>
          <w:tcPr>
            <w:tcW w:type="dxa" w:w="23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Reputation State</w:t>
            </w:r>
          </w:p>
        </w:tc>
        <w:tc>
          <w:tcPr>
            <w:tcW w:type="dxa" w:w="36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Rule</w:t>
            </w:r>
          </w:p>
        </w:tc>
        <w:tc>
          <w:tcPr>
            <w:tcW w:type="dxa" w:w="346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Invoice Amount</w:t>
            </w:r>
          </w:p>
        </w:tc>
      </w:tr>
      <w:tr>
        <w:tc>
          <w:tcPr>
            <w:tcW w:type="dxa" w:w="2300"/>
            <w:vAlign w:val="center"/>
            <w:tcMar>
              <w:top w:w="80" w:type="dxa"/>
              <w:start w:w="120" w:type="dxa"/>
              <w:bottom w:w="80" w:type="dxa"/>
              <w:end w:w="120" w:type="dxa"/>
            </w:tcMar>
          </w:tcPr>
          <w:p>
            <w:pPr>
              <w:spacing w:after="0" w:line="276" w:lineRule="auto"/>
              <w:jc w:val="center"/>
            </w:pPr>
            <w:r/>
            <w:r>
              <w:rPr>
                <w:rFonts w:ascii="Calibri" w:hAnsi="Calibri"/>
                <w:b w:val="0"/>
                <w:sz w:val="19"/>
              </w:rPr>
              <w:t>Score &gt; 90</w:t>
            </w:r>
          </w:p>
        </w:tc>
        <w:tc>
          <w:tcPr>
            <w:tcW w:type="dxa" w:w="3600"/>
            <w:vAlign w:val="center"/>
            <w:tcMar>
              <w:top w:w="80" w:type="dxa"/>
              <w:start w:w="120" w:type="dxa"/>
              <w:bottom w:w="80" w:type="dxa"/>
              <w:end w:w="120" w:type="dxa"/>
            </w:tcMar>
          </w:tcPr>
          <w:p>
            <w:pPr>
              <w:spacing w:after="0" w:line="276" w:lineRule="auto"/>
            </w:pPr>
            <w:r/>
            <w:r>
              <w:rPr>
                <w:rFonts w:ascii="Calibri" w:hAnsi="Calibri"/>
                <w:b w:val="0"/>
                <w:sz w:val="19"/>
              </w:rPr>
              <w:t>Trusted agent discount</w:t>
            </w:r>
          </w:p>
        </w:tc>
        <w:tc>
          <w:tcPr>
            <w:tcW w:type="dxa" w:w="3460"/>
            <w:vAlign w:val="center"/>
            <w:tcMar>
              <w:top w:w="80" w:type="dxa"/>
              <w:start w:w="120" w:type="dxa"/>
              <w:bottom w:w="80" w:type="dxa"/>
              <w:end w:w="120" w:type="dxa"/>
            </w:tcMar>
          </w:tcPr>
          <w:p>
            <w:pPr>
              <w:spacing w:after="0" w:line="276" w:lineRule="auto"/>
              <w:jc w:val="center"/>
            </w:pPr>
            <w:r/>
            <w:r>
              <w:rPr>
                <w:rFonts w:ascii="Calibri" w:hAnsi="Calibri"/>
                <w:b w:val="0"/>
                <w:sz w:val="19"/>
              </w:rPr>
              <w:t>0.01 USDC, represented as 10000 for 6-decimal USDC</w:t>
            </w:r>
          </w:p>
        </w:tc>
      </w:tr>
      <w:tr>
        <w:tc>
          <w:tcPr>
            <w:tcW w:type="dxa" w:w="2300"/>
            <w:vAlign w:val="center"/>
            <w:tcMar>
              <w:top w:w="80" w:type="dxa"/>
              <w:start w:w="120" w:type="dxa"/>
              <w:bottom w:w="80" w:type="dxa"/>
              <w:end w:w="120" w:type="dxa"/>
            </w:tcMar>
          </w:tcPr>
          <w:p>
            <w:pPr>
              <w:spacing w:after="0" w:line="276" w:lineRule="auto"/>
              <w:jc w:val="center"/>
            </w:pPr>
            <w:r/>
            <w:r>
              <w:rPr>
                <w:rFonts w:ascii="Calibri" w:hAnsi="Calibri"/>
                <w:b w:val="0"/>
                <w:sz w:val="19"/>
              </w:rPr>
              <w:t>Score &lt;= 90</w:t>
            </w:r>
          </w:p>
        </w:tc>
        <w:tc>
          <w:tcPr>
            <w:tcW w:type="dxa" w:w="3600"/>
            <w:vAlign w:val="center"/>
            <w:tcMar>
              <w:top w:w="80" w:type="dxa"/>
              <w:start w:w="120" w:type="dxa"/>
              <w:bottom w:w="80" w:type="dxa"/>
              <w:end w:w="120" w:type="dxa"/>
            </w:tcMar>
          </w:tcPr>
          <w:p>
            <w:pPr>
              <w:spacing w:after="0" w:line="276" w:lineRule="auto"/>
            </w:pPr>
            <w:r/>
            <w:r>
              <w:rPr>
                <w:rFonts w:ascii="Calibri" w:hAnsi="Calibri"/>
                <w:b w:val="0"/>
                <w:sz w:val="19"/>
              </w:rPr>
              <w:t>Standard/high-risk fee</w:t>
            </w:r>
          </w:p>
        </w:tc>
        <w:tc>
          <w:tcPr>
            <w:tcW w:type="dxa" w:w="3460"/>
            <w:vAlign w:val="center"/>
            <w:tcMar>
              <w:top w:w="80" w:type="dxa"/>
              <w:start w:w="120" w:type="dxa"/>
              <w:bottom w:w="80" w:type="dxa"/>
              <w:end w:w="120" w:type="dxa"/>
            </w:tcMar>
          </w:tcPr>
          <w:p>
            <w:pPr>
              <w:spacing w:after="0" w:line="276" w:lineRule="auto"/>
              <w:jc w:val="center"/>
            </w:pPr>
            <w:r/>
            <w:r>
              <w:rPr>
                <w:rFonts w:ascii="Calibri" w:hAnsi="Calibri"/>
                <w:b w:val="0"/>
                <w:sz w:val="19"/>
              </w:rPr>
              <w:t>0.50 USDC, represented as 500000 for 6-decimal USDC</w:t>
            </w:r>
          </w:p>
        </w:tc>
      </w:tr>
      <w:tr>
        <w:tc>
          <w:tcPr>
            <w:tcW w:type="dxa" w:w="2300"/>
            <w:vAlign w:val="center"/>
            <w:tcMar>
              <w:top w:w="80" w:type="dxa"/>
              <w:start w:w="120" w:type="dxa"/>
              <w:bottom w:w="80" w:type="dxa"/>
              <w:end w:w="120" w:type="dxa"/>
            </w:tcMar>
          </w:tcPr>
          <w:p>
            <w:pPr>
              <w:spacing w:after="0" w:line="276" w:lineRule="auto"/>
              <w:jc w:val="center"/>
            </w:pPr>
            <w:r/>
            <w:r>
              <w:rPr>
                <w:rFonts w:ascii="Calibri" w:hAnsi="Calibri"/>
                <w:b w:val="0"/>
                <w:sz w:val="19"/>
              </w:rPr>
              <w:t>No history / read error</w:t>
            </w:r>
          </w:p>
        </w:tc>
        <w:tc>
          <w:tcPr>
            <w:tcW w:type="dxa" w:w="3600"/>
            <w:vAlign w:val="center"/>
            <w:tcMar>
              <w:top w:w="80" w:type="dxa"/>
              <w:start w:w="120" w:type="dxa"/>
              <w:bottom w:w="80" w:type="dxa"/>
              <w:end w:w="120" w:type="dxa"/>
            </w:tcMar>
          </w:tcPr>
          <w:p>
            <w:pPr>
              <w:spacing w:after="0" w:line="276" w:lineRule="auto"/>
            </w:pPr>
            <w:r/>
            <w:r>
              <w:rPr>
                <w:rFonts w:ascii="Calibri" w:hAnsi="Calibri"/>
                <w:b w:val="0"/>
                <w:sz w:val="19"/>
              </w:rPr>
              <w:t>Safe fallback</w:t>
            </w:r>
          </w:p>
        </w:tc>
        <w:tc>
          <w:tcPr>
            <w:tcW w:type="dxa" w:w="3460"/>
            <w:vAlign w:val="center"/>
            <w:tcMar>
              <w:top w:w="80" w:type="dxa"/>
              <w:start w:w="120" w:type="dxa"/>
              <w:bottom w:w="80" w:type="dxa"/>
              <w:end w:w="120" w:type="dxa"/>
            </w:tcMar>
          </w:tcPr>
          <w:p>
            <w:pPr>
              <w:spacing w:after="0" w:line="276" w:lineRule="auto"/>
              <w:jc w:val="center"/>
            </w:pPr>
            <w:r/>
            <w:r>
              <w:rPr>
                <w:rFonts w:ascii="Calibri" w:hAnsi="Calibri"/>
                <w:b w:val="0"/>
                <w:sz w:val="19"/>
              </w:rPr>
              <w:t>0.50 USDC unless demo explicitly uses mock trusted score</w:t>
            </w:r>
          </w:p>
        </w:tc>
      </w:tr>
    </w:tbl>
    <w:p/>
    <w:p>
      <w:pPr>
        <w:spacing w:after="120" w:line="300" w:lineRule="auto"/>
      </w:pPr>
      <w:r>
        <w:t>The scoring threshold is intentionally simple for the demo. The important proof is that the gateway's business logic is reading the chain and altering the HTTP payment requirement before capital access is granted.</w:t>
      </w:r>
    </w:p>
    <w:p>
      <w:pPr>
        <w:pStyle w:val="Heading1"/>
        <w:keepNext/>
      </w:pPr>
      <w:r>
        <w:t>9. Smart Contract Integration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00"/>
        <w:gridCol w:w="4650"/>
        <w:gridCol w:w="2710"/>
      </w:tblGrid>
      <w:tr>
        <w:trPr>
          <w:tblHeader w:val="true"/>
        </w:trPr>
        <w:tc>
          <w:tcPr>
            <w:tcW w:type="dxa" w:w="20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Contract / ABI</w:t>
            </w:r>
          </w:p>
        </w:tc>
        <w:tc>
          <w:tcPr>
            <w:tcW w:type="dxa" w:w="46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Needed by Dev B</w:t>
            </w:r>
          </w:p>
        </w:tc>
        <w:tc>
          <w:tcPr>
            <w:tcW w:type="dxa" w:w="271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Fallback if Missing</w:t>
            </w:r>
          </w:p>
        </w:tc>
      </w:tr>
      <w:tr>
        <w:tc>
          <w:tcPr>
            <w:tcW w:type="dxa" w:w="2000"/>
            <w:vAlign w:val="center"/>
            <w:tcMar>
              <w:top w:w="80" w:type="dxa"/>
              <w:start w:w="120" w:type="dxa"/>
              <w:bottom w:w="80" w:type="dxa"/>
              <w:end w:w="120" w:type="dxa"/>
            </w:tcMar>
          </w:tcPr>
          <w:p>
            <w:pPr>
              <w:spacing w:after="0" w:line="276" w:lineRule="auto"/>
              <w:jc w:val="center"/>
            </w:pPr>
            <w:r/>
            <w:r>
              <w:rPr>
                <w:rFonts w:ascii="Calibri" w:hAnsi="Calibri"/>
                <w:b w:val="0"/>
                <w:sz w:val="19"/>
              </w:rPr>
              <w:t>Identity Registry</w:t>
            </w:r>
          </w:p>
        </w:tc>
        <w:tc>
          <w:tcPr>
            <w:tcW w:type="dxa" w:w="4650"/>
            <w:vAlign w:val="center"/>
            <w:tcMar>
              <w:top w:w="80" w:type="dxa"/>
              <w:start w:w="120" w:type="dxa"/>
              <w:bottom w:w="80" w:type="dxa"/>
              <w:end w:w="120" w:type="dxa"/>
            </w:tcMar>
          </w:tcPr>
          <w:p>
            <w:pPr>
              <w:spacing w:after="0" w:line="276" w:lineRule="auto"/>
            </w:pPr>
            <w:r/>
            <w:r>
              <w:rPr>
                <w:rFonts w:ascii="Calibri" w:hAnsi="Calibri"/>
                <w:b w:val="0"/>
                <w:sz w:val="19"/>
              </w:rPr>
              <w:t>agentId ownership or existence check.</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Accept agentId as demo input and log identity verification as pending.</w:t>
            </w:r>
          </w:p>
        </w:tc>
      </w:tr>
      <w:tr>
        <w:tc>
          <w:tcPr>
            <w:tcW w:type="dxa" w:w="2000"/>
            <w:vAlign w:val="center"/>
            <w:tcMar>
              <w:top w:w="80" w:type="dxa"/>
              <w:start w:w="120" w:type="dxa"/>
              <w:bottom w:w="80" w:type="dxa"/>
              <w:end w:w="120" w:type="dxa"/>
            </w:tcMar>
          </w:tcPr>
          <w:p>
            <w:pPr>
              <w:spacing w:after="0" w:line="276" w:lineRule="auto"/>
              <w:jc w:val="center"/>
            </w:pPr>
            <w:r/>
            <w:r>
              <w:rPr>
                <w:rFonts w:ascii="Calibri" w:hAnsi="Calibri"/>
                <w:b w:val="0"/>
                <w:sz w:val="19"/>
              </w:rPr>
              <w:t>Reputation Registry</w:t>
            </w:r>
          </w:p>
        </w:tc>
        <w:tc>
          <w:tcPr>
            <w:tcW w:type="dxa" w:w="4650"/>
            <w:vAlign w:val="center"/>
            <w:tcMar>
              <w:top w:w="80" w:type="dxa"/>
              <w:start w:w="120" w:type="dxa"/>
              <w:bottom w:w="80" w:type="dxa"/>
              <w:end w:w="120" w:type="dxa"/>
            </w:tcMar>
          </w:tcPr>
          <w:p>
            <w:pPr>
              <w:spacing w:after="0" w:line="276" w:lineRule="auto"/>
            </w:pPr>
            <w:r/>
            <w:r>
              <w:rPr>
                <w:rFonts w:ascii="Calibri" w:hAnsi="Calibri"/>
                <w:b w:val="0"/>
                <w:sz w:val="19"/>
              </w:rPr>
              <w:t>getSummary(agentId) returning rating/score data.</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Use local mock adapter with identical function shape and a prominent log label.</w:t>
            </w:r>
          </w:p>
        </w:tc>
      </w:tr>
      <w:tr>
        <w:tc>
          <w:tcPr>
            <w:tcW w:type="dxa" w:w="2000"/>
            <w:vAlign w:val="center"/>
            <w:tcMar>
              <w:top w:w="80" w:type="dxa"/>
              <w:start w:w="120" w:type="dxa"/>
              <w:bottom w:w="80" w:type="dxa"/>
              <w:end w:w="120" w:type="dxa"/>
            </w:tcMar>
          </w:tcPr>
          <w:p>
            <w:pPr>
              <w:spacing w:after="0" w:line="276" w:lineRule="auto"/>
              <w:jc w:val="center"/>
            </w:pPr>
            <w:r/>
            <w:r>
              <w:rPr>
                <w:rFonts w:ascii="Calibri" w:hAnsi="Calibri"/>
                <w:b w:val="0"/>
                <w:sz w:val="19"/>
              </w:rPr>
              <w:t>Mock Vault</w:t>
            </w:r>
          </w:p>
        </w:tc>
        <w:tc>
          <w:tcPr>
            <w:tcW w:type="dxa" w:w="4650"/>
            <w:vAlign w:val="center"/>
            <w:tcMar>
              <w:top w:w="80" w:type="dxa"/>
              <w:start w:w="120" w:type="dxa"/>
              <w:bottom w:w="80" w:type="dxa"/>
              <w:end w:w="120" w:type="dxa"/>
            </w:tcMar>
          </w:tcPr>
          <w:p>
            <w:pPr>
              <w:spacing w:after="0" w:line="276" w:lineRule="auto"/>
            </w:pPr>
            <w:r/>
            <w:r>
              <w:rPr>
                <w:rFonts w:ascii="Calibri" w:hAnsi="Calibri"/>
                <w:b w:val="0"/>
                <w:sz w:val="19"/>
              </w:rPr>
              <w:t>Address and ABI for releasing/authorizing mock capital.</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Return permission payload from API without on-chain vault call.</w:t>
            </w:r>
          </w:p>
        </w:tc>
      </w:tr>
      <w:tr>
        <w:tc>
          <w:tcPr>
            <w:tcW w:type="dxa" w:w="2000"/>
            <w:vAlign w:val="center"/>
            <w:tcMar>
              <w:top w:w="80" w:type="dxa"/>
              <w:start w:w="120" w:type="dxa"/>
              <w:bottom w:w="80" w:type="dxa"/>
              <w:end w:w="120" w:type="dxa"/>
            </w:tcMar>
          </w:tcPr>
          <w:p>
            <w:pPr>
              <w:spacing w:after="0" w:line="276" w:lineRule="auto"/>
              <w:jc w:val="center"/>
            </w:pPr>
            <w:r/>
            <w:r>
              <w:rPr>
                <w:rFonts w:ascii="Calibri" w:hAnsi="Calibri"/>
                <w:b w:val="0"/>
                <w:sz w:val="19"/>
              </w:rPr>
              <w:t>USDC/Test Token</w:t>
            </w:r>
          </w:p>
        </w:tc>
        <w:tc>
          <w:tcPr>
            <w:tcW w:type="dxa" w:w="4650"/>
            <w:vAlign w:val="center"/>
            <w:tcMar>
              <w:top w:w="80" w:type="dxa"/>
              <w:start w:w="120" w:type="dxa"/>
              <w:bottom w:w="80" w:type="dxa"/>
              <w:end w:w="120" w:type="dxa"/>
            </w:tcMar>
          </w:tcPr>
          <w:p>
            <w:pPr>
              <w:spacing w:after="0" w:line="276" w:lineRule="auto"/>
            </w:pPr>
            <w:r/>
            <w:r>
              <w:rPr>
                <w:rFonts w:ascii="Calibri" w:hAnsi="Calibri"/>
                <w:b w:val="0"/>
                <w:sz w:val="19"/>
              </w:rPr>
              <w:t>Token address, decimals, and transfer event/transaction parsing requirements.</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Use native AVAX payment for first smoke test, then switch to test USDC when funded.</w:t>
            </w:r>
          </w:p>
        </w:tc>
      </w:tr>
      <w:tr>
        <w:tc>
          <w:tcPr>
            <w:tcW w:type="dxa" w:w="2000"/>
            <w:vAlign w:val="center"/>
            <w:tcMar>
              <w:top w:w="80" w:type="dxa"/>
              <w:start w:w="120" w:type="dxa"/>
              <w:bottom w:w="80" w:type="dxa"/>
              <w:end w:w="120" w:type="dxa"/>
            </w:tcMar>
          </w:tcPr>
          <w:p>
            <w:pPr>
              <w:spacing w:after="0" w:line="276" w:lineRule="auto"/>
              <w:jc w:val="center"/>
            </w:pPr>
            <w:r/>
            <w:r>
              <w:rPr>
                <w:rFonts w:ascii="Calibri" w:hAnsi="Calibri"/>
                <w:b w:val="0"/>
                <w:sz w:val="19"/>
              </w:rPr>
              <w:t>Feedback Function</w:t>
            </w:r>
          </w:p>
        </w:tc>
        <w:tc>
          <w:tcPr>
            <w:tcW w:type="dxa" w:w="4650"/>
            <w:vAlign w:val="center"/>
            <w:tcMar>
              <w:top w:w="80" w:type="dxa"/>
              <w:start w:w="120" w:type="dxa"/>
              <w:bottom w:w="80" w:type="dxa"/>
              <w:end w:w="120" w:type="dxa"/>
            </w:tcMar>
          </w:tcPr>
          <w:p>
            <w:pPr>
              <w:spacing w:after="0" w:line="276" w:lineRule="auto"/>
            </w:pPr>
            <w:r/>
            <w:r>
              <w:rPr>
                <w:rFonts w:ascii="Calibri" w:hAnsi="Calibri"/>
                <w:b w:val="0"/>
                <w:sz w:val="19"/>
              </w:rPr>
              <w:t>ABI/address for submitting post-execution validation.</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Log the exact intended call payload for demo transparency.</w:t>
            </w:r>
          </w:p>
        </w:tc>
      </w:tr>
    </w:tbl>
    <w:p/>
    <w:p>
      <w:pPr>
        <w:pStyle w:val="Heading1"/>
        <w:keepNext/>
      </w:pPr>
      <w:r>
        <w:t>10. Backend Implementation Plan</w:t>
      </w:r>
    </w:p>
    <w:p>
      <w:pPr>
        <w:pStyle w:val="Heading2"/>
        <w:keepNext/>
      </w:pPr>
      <w:r>
        <w:t>Recommended Repository Shape</w:t>
      </w:r>
    </w:p>
    <w:tbl>
      <w:tblPr>
        <w:tblW w:type="dxa" w:w="9360"/>
        <w:jc w:val="left"/>
        <w:tblLayout w:type="fixed"/>
        <w:tblLook w:firstColumn="1" w:firstRow="1" w:lastColumn="0" w:lastRow="0" w:noHBand="0" w:noVBand="1" w:val="04A0"/>
        <w:tblInd w:type="dxa" w:w="12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9360"/>
      </w:tblGrid>
      <w:tr>
        <w:tc>
          <w:tcPr>
            <w:tcW w:type="dxa" w:w="9360"/>
            <w:vAlign w:val="center"/>
            <w:tcMar>
              <w:top w:w="80" w:type="dxa"/>
              <w:start w:w="120" w:type="dxa"/>
              <w:bottom w:w="80" w:type="dxa"/>
              <w:end w:w="120" w:type="dxa"/>
            </w:tcMar>
            <w:shd w:fill="F7F9FC"/>
          </w:tcPr>
          <w:p>
            <w:pPr>
              <w:spacing w:after="0" w:line="240" w:lineRule="auto"/>
            </w:pPr>
            <w:r>
              <w:rPr>
                <w:rFonts w:ascii="Consolas" w:hAnsi="Consolas"/>
                <w:color w:val="232B33"/>
                <w:sz w:val="18"/>
              </w:rPr>
              <w:t>liquidity-sentinel/</w:t>
              <w:br/>
              <w:t xml:space="preserve">  api/</w:t>
              <w:br/>
              <w:t xml:space="preserve">    src/</w:t>
              <w:br/>
              <w:t xml:space="preserve">      server.ts</w:t>
              <w:br/>
              <w:t xml:space="preserve">      routes/requestCapital.ts</w:t>
              <w:br/>
              <w:t xml:space="preserve">      middleware/x402.ts</w:t>
              <w:br/>
              <w:t xml:space="preserve">      services/reputation.ts</w:t>
              <w:br/>
              <w:t xml:space="preserve">      services/paymentVerifier.ts</w:t>
              <w:br/>
              <w:t xml:space="preserve">      services/invoiceStore.ts</w:t>
              <w:br/>
              <w:t xml:space="preserve">      config.ts</w:t>
              <w:br/>
              <w:t xml:space="preserve">    package.json</w:t>
              <w:br/>
              <w:t xml:space="preserve">    .env.example</w:t>
              <w:br/>
              <w:t xml:space="preserve">  agent/</w:t>
              <w:br/>
              <w:t xml:space="preserve">    src/agent.ts</w:t>
              <w:br/>
              <w:t xml:space="preserve">    package.json</w:t>
              <w:br/>
              <w:t xml:space="preserve">    .env.example</w:t>
              <w:br/>
              <w:t xml:space="preserve">  contracts-abi/</w:t>
              <w:br/>
              <w:t xml:space="preserve">    ReputationRegistry.json</w:t>
              <w:br/>
              <w:t xml:space="preserve">    MockVault.json</w:t>
              <w:br/>
              <w:t xml:space="preserve">  README.md</w:t>
            </w:r>
          </w:p>
        </w:tc>
      </w:tr>
    </w:tbl>
    <w:p/>
    <w:p>
      <w:pPr>
        <w:pStyle w:val="Heading2"/>
        <w:keepNext/>
      </w:pPr>
      <w:r>
        <w:t>Backend Tasks</w:t>
      </w:r>
    </w:p>
    <w:p>
      <w:pPr>
        <w:pStyle w:val="ListBullet"/>
        <w:spacing w:after="80" w:line="300" w:lineRule="auto"/>
        <w:ind w:left="540" w:hanging="271"/>
      </w:pPr>
      <w:r>
        <w:t>Initialize Express + TypeScript, or plain Node if speed matters more than typing.</w:t>
      </w:r>
    </w:p>
    <w:p>
      <w:pPr>
        <w:pStyle w:val="ListBullet"/>
        <w:spacing w:after="80" w:line="300" w:lineRule="auto"/>
        <w:ind w:left="540" w:hanging="271"/>
      </w:pPr>
      <w:r>
        <w:t>Create config loader for RPC URL, token address, vault address, reputation registry address, seller wallet, and pricing constants.</w:t>
      </w:r>
    </w:p>
    <w:p>
      <w:pPr>
        <w:pStyle w:val="ListBullet"/>
        <w:spacing w:after="80" w:line="300" w:lineRule="auto"/>
        <w:ind w:left="540" w:hanging="271"/>
      </w:pPr>
      <w:r>
        <w:t>Implement request validation for agentId and capital request fields.</w:t>
      </w:r>
    </w:p>
    <w:p>
      <w:pPr>
        <w:pStyle w:val="ListBullet"/>
        <w:spacing w:after="80" w:line="300" w:lineRule="auto"/>
        <w:ind w:left="540" w:hanging="271"/>
      </w:pPr>
      <w:r>
        <w:t>Implement invoice generation with requestId, nonce, expiration, amount, token, destination, and score tier.</w:t>
      </w:r>
    </w:p>
    <w:p>
      <w:pPr>
        <w:pStyle w:val="ListBullet"/>
        <w:spacing w:after="80" w:line="300" w:lineRule="auto"/>
        <w:ind w:left="540" w:hanging="271"/>
      </w:pPr>
      <w:r>
        <w:t>Persist invoices in memory for MVP; include requestId so retry verification cannot be confused with a different invoice.</w:t>
      </w:r>
    </w:p>
    <w:p>
      <w:pPr>
        <w:pStyle w:val="ListBullet"/>
        <w:spacing w:after="80" w:line="300" w:lineRule="auto"/>
        <w:ind w:left="540" w:hanging="271"/>
      </w:pPr>
      <w:r>
        <w:t>Implement X-PAYMENT parser and base64 decoder.</w:t>
      </w:r>
    </w:p>
    <w:p>
      <w:pPr>
        <w:pStyle w:val="ListBullet"/>
        <w:spacing w:after="80" w:line="300" w:lineRule="auto"/>
        <w:ind w:left="540" w:hanging="271"/>
      </w:pPr>
      <w:r>
        <w:t>Implement payment verifier using ethers.js or viem transaction receipt lookup and token transfer/event validation.</w:t>
      </w:r>
    </w:p>
    <w:p>
      <w:pPr>
        <w:pStyle w:val="ListBullet"/>
        <w:spacing w:after="80" w:line="300" w:lineRule="auto"/>
        <w:ind w:left="540" w:hanging="271"/>
      </w:pPr>
      <w:r>
        <w:t>Release mock payload after successful verification and log the result.</w:t>
      </w:r>
    </w:p>
    <w:p>
      <w:pPr>
        <w:pStyle w:val="Heading1"/>
        <w:keepNext/>
      </w:pPr>
      <w:r>
        <w:t>11. Execution Agent Requirements</w:t>
      </w:r>
    </w:p>
    <w:p>
      <w:pPr>
        <w:pStyle w:val="ListBullet"/>
        <w:spacing w:after="80" w:line="300" w:lineRule="auto"/>
        <w:ind w:left="540" w:hanging="271"/>
      </w:pPr>
      <w:r>
        <w:t>Load buyer private key, RPC URL, API base URL, agentId, and token address from environment variables.</w:t>
      </w:r>
    </w:p>
    <w:p>
      <w:pPr>
        <w:pStyle w:val="ListBullet"/>
        <w:spacing w:after="80" w:line="300" w:lineRule="auto"/>
        <w:ind w:left="540" w:hanging="271"/>
      </w:pPr>
      <w:r>
        <w:t>Submit initial POST /api/v1/request-capital.</w:t>
      </w:r>
    </w:p>
    <w:p>
      <w:pPr>
        <w:pStyle w:val="ListBullet"/>
        <w:spacing w:after="80" w:line="300" w:lineRule="auto"/>
        <w:ind w:left="540" w:hanging="271"/>
      </w:pPr>
      <w:r>
        <w:t>If response is 402, parse invoice and validate network/token/destination fields before paying.</w:t>
      </w:r>
    </w:p>
    <w:p>
      <w:pPr>
        <w:pStyle w:val="ListBullet"/>
        <w:spacing w:after="80" w:line="300" w:lineRule="auto"/>
        <w:ind w:left="540" w:hanging="271"/>
      </w:pPr>
      <w:r>
        <w:t>Sign and broadcast the token transfer or agreed settlement transaction.</w:t>
      </w:r>
    </w:p>
    <w:p>
      <w:pPr>
        <w:pStyle w:val="ListBullet"/>
        <w:spacing w:after="80" w:line="300" w:lineRule="auto"/>
        <w:ind w:left="540" w:hanging="271"/>
      </w:pPr>
      <w:r>
        <w:t>Wait for receipt or enough confirmation evidence for the API verifier.</w:t>
      </w:r>
    </w:p>
    <w:p>
      <w:pPr>
        <w:pStyle w:val="ListBullet"/>
        <w:spacing w:after="80" w:line="300" w:lineRule="auto"/>
        <w:ind w:left="540" w:hanging="271"/>
      </w:pPr>
      <w:r>
        <w:t>Retry the original request with X-PAYMENT set to base64(txHash).</w:t>
      </w:r>
    </w:p>
    <w:p>
      <w:pPr>
        <w:pStyle w:val="ListBullet"/>
        <w:spacing w:after="80" w:line="300" w:lineRule="auto"/>
        <w:ind w:left="540" w:hanging="271"/>
      </w:pPr>
      <w:r>
        <w:t>Print concise demo logs: invoice received, tx sent, retry sent, payload received.</w:t>
      </w:r>
    </w:p>
    <w:p>
      <w:pPr>
        <w:pStyle w:val="ListBullet"/>
        <w:spacing w:after="80" w:line="300" w:lineRule="auto"/>
        <w:ind w:left="540" w:hanging="271"/>
      </w:pPr>
      <w:r>
        <w:t>Exit non-zero on payment mismatch, insufficient funds, invalid invoice, or rejected retry.</w:t>
      </w:r>
    </w:p>
    <w:p>
      <w:pPr>
        <w:pStyle w:val="Heading1"/>
        <w:keepNext/>
      </w:pPr>
      <w:r>
        <w:t>12. Environment and Setup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1600"/>
        <w:gridCol w:w="5160"/>
      </w:tblGrid>
      <w:tr>
        <w:trPr>
          <w:tblHeader w:val="true"/>
        </w:trPr>
        <w:tc>
          <w:tcPr>
            <w:tcW w:type="dxa" w:w="26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Variable</w:t>
            </w:r>
          </w:p>
        </w:tc>
        <w:tc>
          <w:tcPr>
            <w:tcW w:type="dxa" w:w="16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Used By</w:t>
            </w:r>
          </w:p>
        </w:tc>
        <w:tc>
          <w:tcPr>
            <w:tcW w:type="dxa" w:w="516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Purpose</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FUJI_RPC_URL</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 + Agent</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Read contracts, send payment, verify transaction receipts.</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API_PORT</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Local server port, default 4020.</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REPUTATION_REGISTRY_ADDRESS</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Address for getSummary(agentId).</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MOCK_VAULT_ADDRESS</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Address for capital permission or mock execution contract.</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USDC_FUJI_ADDRESS</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 + Agent</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Token used for invoice settlement.</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SENTINEL_VAULT_ADDRESS</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Destination address that must receive payment.</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AGENT_PRIVATE_KEY</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Agent</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Buyer wallet funded with Fuji AVAX and test token.</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AGENT_ID</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Agent</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Identity token id used for reputation lookup.</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LOW_TIER_AMOUNT</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Trusted fee in smallest token units.</w:t>
            </w:r>
          </w:p>
        </w:tc>
      </w:tr>
      <w:tr>
        <w:tc>
          <w:tcPr>
            <w:tcW w:type="dxa" w:w="2600"/>
            <w:vAlign w:val="center"/>
            <w:tcMar>
              <w:top w:w="80" w:type="dxa"/>
              <w:start w:w="120" w:type="dxa"/>
              <w:bottom w:w="80" w:type="dxa"/>
              <w:end w:w="120" w:type="dxa"/>
            </w:tcMar>
          </w:tcPr>
          <w:p>
            <w:pPr>
              <w:spacing w:after="0" w:line="276" w:lineRule="auto"/>
              <w:jc w:val="center"/>
            </w:pPr>
            <w:r/>
            <w:r>
              <w:rPr>
                <w:rFonts w:ascii="Calibri" w:hAnsi="Calibri"/>
                <w:b w:val="0"/>
                <w:sz w:val="19"/>
              </w:rPr>
              <w:t>HIGH_TIER_AMOUNT</w:t>
            </w:r>
          </w:p>
        </w:tc>
        <w:tc>
          <w:tcPr>
            <w:tcW w:type="dxa" w:w="1600"/>
            <w:vAlign w:val="center"/>
            <w:tcMar>
              <w:top w:w="80" w:type="dxa"/>
              <w:start w:w="120" w:type="dxa"/>
              <w:bottom w:w="80" w:type="dxa"/>
              <w:end w:w="120" w:type="dxa"/>
            </w:tcMar>
          </w:tcPr>
          <w:p>
            <w:pPr>
              <w:spacing w:after="0" w:line="276" w:lineRule="auto"/>
            </w:pPr>
            <w:r/>
            <w:r>
              <w:rPr>
                <w:rFonts w:ascii="Calibri" w:hAnsi="Calibri"/>
                <w:b w:val="0"/>
                <w:sz w:val="19"/>
              </w:rPr>
              <w:t>API</w:t>
            </w:r>
          </w:p>
        </w:tc>
        <w:tc>
          <w:tcPr>
            <w:tcW w:type="dxa" w:w="5160"/>
            <w:vAlign w:val="center"/>
            <w:tcMar>
              <w:top w:w="80" w:type="dxa"/>
              <w:start w:w="120" w:type="dxa"/>
              <w:bottom w:w="80" w:type="dxa"/>
              <w:end w:w="120" w:type="dxa"/>
            </w:tcMar>
          </w:tcPr>
          <w:p>
            <w:pPr>
              <w:spacing w:after="0" w:line="276" w:lineRule="auto"/>
              <w:jc w:val="center"/>
            </w:pPr>
            <w:r/>
            <w:r>
              <w:rPr>
                <w:rFonts w:ascii="Calibri" w:hAnsi="Calibri"/>
                <w:b w:val="0"/>
                <w:sz w:val="19"/>
              </w:rPr>
              <w:t>Fallback fee in smallest token units.</w:t>
            </w:r>
          </w:p>
        </w:tc>
      </w:tr>
    </w:tbl>
    <w:p/>
    <w:p>
      <w:pPr>
        <w:pStyle w:val="Heading1"/>
        <w:keepNext/>
      </w:pPr>
      <w:r>
        <w:t>13. Build Sprint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50"/>
        <w:gridCol w:w="2600"/>
        <w:gridCol w:w="2900"/>
        <w:gridCol w:w="2710"/>
      </w:tblGrid>
      <w:tr>
        <w:trPr>
          <w:tblHeader w:val="true"/>
        </w:trPr>
        <w:tc>
          <w:tcPr>
            <w:tcW w:type="dxa" w:w="11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Date</w:t>
            </w:r>
          </w:p>
        </w:tc>
        <w:tc>
          <w:tcPr>
            <w:tcW w:type="dxa" w:w="26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Dev A Contracts</w:t>
            </w:r>
          </w:p>
        </w:tc>
        <w:tc>
          <w:tcPr>
            <w:tcW w:type="dxa" w:w="29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Dev B Backend / Agent</w:t>
            </w:r>
          </w:p>
        </w:tc>
        <w:tc>
          <w:tcPr>
            <w:tcW w:type="dxa" w:w="271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Definition of Done</w:t>
            </w:r>
          </w:p>
        </w:tc>
      </w:tr>
      <w:tr>
        <w:tc>
          <w:tcPr>
            <w:tcW w:type="dxa" w:w="1150"/>
            <w:vAlign w:val="center"/>
            <w:tcMar>
              <w:top w:w="80" w:type="dxa"/>
              <w:start w:w="120" w:type="dxa"/>
              <w:bottom w:w="80" w:type="dxa"/>
              <w:end w:w="120" w:type="dxa"/>
            </w:tcMar>
          </w:tcPr>
          <w:p>
            <w:pPr>
              <w:spacing w:after="0" w:line="276" w:lineRule="auto"/>
              <w:jc w:val="center"/>
            </w:pPr>
            <w:r/>
            <w:r>
              <w:rPr>
                <w:rFonts w:ascii="Calibri" w:hAnsi="Calibri"/>
                <w:b w:val="0"/>
                <w:sz w:val="19"/>
              </w:rPr>
              <w:t>Jun 11</w:t>
            </w:r>
          </w:p>
        </w:tc>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Mock vault + registry deployment targets.</w:t>
            </w:r>
          </w:p>
        </w:tc>
        <w:tc>
          <w:tcPr>
            <w:tcW w:type="dxa" w:w="2900"/>
            <w:vAlign w:val="center"/>
            <w:tcMar>
              <w:top w:w="80" w:type="dxa"/>
              <w:start w:w="120" w:type="dxa"/>
              <w:bottom w:w="80" w:type="dxa"/>
              <w:end w:w="120" w:type="dxa"/>
            </w:tcMar>
          </w:tcPr>
          <w:p>
            <w:pPr>
              <w:spacing w:after="0" w:line="276" w:lineRule="auto"/>
            </w:pPr>
            <w:r/>
            <w:r>
              <w:rPr>
                <w:rFonts w:ascii="Calibri" w:hAnsi="Calibri"/>
                <w:b w:val="0"/>
                <w:sz w:val="19"/>
              </w:rPr>
              <w:t>Express server, 402 middleware, Fuji RPC config.</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curl request receives valid 402 invoice.</w:t>
            </w:r>
          </w:p>
        </w:tc>
      </w:tr>
      <w:tr>
        <w:tc>
          <w:tcPr>
            <w:tcW w:type="dxa" w:w="1150"/>
            <w:vAlign w:val="center"/>
            <w:tcMar>
              <w:top w:w="80" w:type="dxa"/>
              <w:start w:w="120" w:type="dxa"/>
              <w:bottom w:w="80" w:type="dxa"/>
              <w:end w:w="120" w:type="dxa"/>
            </w:tcMar>
          </w:tcPr>
          <w:p>
            <w:pPr>
              <w:spacing w:after="0" w:line="276" w:lineRule="auto"/>
              <w:jc w:val="center"/>
            </w:pPr>
            <w:r/>
            <w:r>
              <w:rPr>
                <w:rFonts w:ascii="Calibri" w:hAnsi="Calibri"/>
                <w:b w:val="0"/>
                <w:sz w:val="19"/>
              </w:rPr>
              <w:t>Jun 12</w:t>
            </w:r>
          </w:p>
        </w:tc>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Validation hooks or ABI draft.</w:t>
            </w:r>
          </w:p>
        </w:tc>
        <w:tc>
          <w:tcPr>
            <w:tcW w:type="dxa" w:w="2900"/>
            <w:vAlign w:val="center"/>
            <w:tcMar>
              <w:top w:w="80" w:type="dxa"/>
              <w:start w:w="120" w:type="dxa"/>
              <w:bottom w:w="80" w:type="dxa"/>
              <w:end w:w="120" w:type="dxa"/>
            </w:tcMar>
          </w:tcPr>
          <w:p>
            <w:pPr>
              <w:spacing w:after="0" w:line="276" w:lineRule="auto"/>
            </w:pPr>
            <w:r/>
            <w:r>
              <w:rPr>
                <w:rFonts w:ascii="Calibri" w:hAnsi="Calibri"/>
                <w:b w:val="0"/>
                <w:sz w:val="19"/>
              </w:rPr>
              <w:t>Agent catches 402, pays invoice, retries with X-PAYMENT.</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Agent completes local mock payment flow.</w:t>
            </w:r>
          </w:p>
        </w:tc>
      </w:tr>
      <w:tr>
        <w:tc>
          <w:tcPr>
            <w:tcW w:type="dxa" w:w="1150"/>
            <w:vAlign w:val="center"/>
            <w:tcMar>
              <w:top w:w="80" w:type="dxa"/>
              <w:start w:w="120" w:type="dxa"/>
              <w:bottom w:w="80" w:type="dxa"/>
              <w:end w:w="120" w:type="dxa"/>
            </w:tcMar>
          </w:tcPr>
          <w:p>
            <w:pPr>
              <w:spacing w:after="0" w:line="276" w:lineRule="auto"/>
              <w:jc w:val="center"/>
            </w:pPr>
            <w:r/>
            <w:r>
              <w:rPr>
                <w:rFonts w:ascii="Calibri" w:hAnsi="Calibri"/>
                <w:b w:val="0"/>
                <w:sz w:val="19"/>
              </w:rPr>
              <w:t>Jun 13</w:t>
            </w:r>
          </w:p>
        </w:tc>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Final ABIs and registry addresses.</w:t>
            </w:r>
          </w:p>
        </w:tc>
        <w:tc>
          <w:tcPr>
            <w:tcW w:type="dxa" w:w="2900"/>
            <w:vAlign w:val="center"/>
            <w:tcMar>
              <w:top w:w="80" w:type="dxa"/>
              <w:start w:w="120" w:type="dxa"/>
              <w:bottom w:w="80" w:type="dxa"/>
              <w:end w:w="120" w:type="dxa"/>
            </w:tcMar>
          </w:tcPr>
          <w:p>
            <w:pPr>
              <w:spacing w:after="0" w:line="276" w:lineRule="auto"/>
            </w:pPr>
            <w:r/>
            <w:r>
              <w:rPr>
                <w:rFonts w:ascii="Calibri" w:hAnsi="Calibri"/>
                <w:b w:val="0"/>
                <w:sz w:val="19"/>
              </w:rPr>
              <w:t>Reputation pricing + real payment verification.</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Score changes invoice tier; tx verified from Fuji RPC.</w:t>
            </w:r>
          </w:p>
        </w:tc>
      </w:tr>
      <w:tr>
        <w:tc>
          <w:tcPr>
            <w:tcW w:type="dxa" w:w="1150"/>
            <w:vAlign w:val="center"/>
            <w:tcMar>
              <w:top w:w="80" w:type="dxa"/>
              <w:start w:w="120" w:type="dxa"/>
              <w:bottom w:w="80" w:type="dxa"/>
              <w:end w:w="120" w:type="dxa"/>
            </w:tcMar>
          </w:tcPr>
          <w:p>
            <w:pPr>
              <w:spacing w:after="0" w:line="276" w:lineRule="auto"/>
              <w:jc w:val="center"/>
            </w:pPr>
            <w:r/>
            <w:r>
              <w:rPr>
                <w:rFonts w:ascii="Calibri" w:hAnsi="Calibri"/>
                <w:b w:val="0"/>
                <w:sz w:val="19"/>
              </w:rPr>
              <w:t>Jun 14</w:t>
            </w:r>
          </w:p>
        </w:tc>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Explorer-ready contract evidence.</w:t>
            </w:r>
          </w:p>
        </w:tc>
        <w:tc>
          <w:tcPr>
            <w:tcW w:type="dxa" w:w="2900"/>
            <w:vAlign w:val="center"/>
            <w:tcMar>
              <w:top w:w="80" w:type="dxa"/>
              <w:start w:w="120" w:type="dxa"/>
              <w:bottom w:w="80" w:type="dxa"/>
              <w:end w:w="120" w:type="dxa"/>
            </w:tcMar>
          </w:tcPr>
          <w:p>
            <w:pPr>
              <w:spacing w:after="0" w:line="276" w:lineRule="auto"/>
            </w:pPr>
            <w:r/>
            <w:r>
              <w:rPr>
                <w:rFonts w:ascii="Calibri" w:hAnsi="Calibri"/>
                <w:b w:val="0"/>
                <w:sz w:val="19"/>
              </w:rPr>
              <w:t>End-to-end rehearsal and demo recording.</w:t>
            </w:r>
          </w:p>
        </w:tc>
        <w:tc>
          <w:tcPr>
            <w:tcW w:type="dxa" w:w="2710"/>
            <w:vAlign w:val="center"/>
            <w:tcMar>
              <w:top w:w="80" w:type="dxa"/>
              <w:start w:w="120" w:type="dxa"/>
              <w:bottom w:w="80" w:type="dxa"/>
              <w:end w:w="120" w:type="dxa"/>
            </w:tcMar>
          </w:tcPr>
          <w:p>
            <w:pPr>
              <w:spacing w:after="0" w:line="276" w:lineRule="auto"/>
              <w:jc w:val="center"/>
            </w:pPr>
            <w:r/>
            <w:r>
              <w:rPr>
                <w:rFonts w:ascii="Calibri" w:hAnsi="Calibri"/>
                <w:b w:val="0"/>
                <w:sz w:val="19"/>
              </w:rPr>
              <w:t>Split-screen demo shows terminal loop and explorer tx.</w:t>
            </w:r>
          </w:p>
        </w:tc>
      </w:tr>
    </w:tbl>
    <w:p/>
    <w:p>
      <w:pPr>
        <w:pStyle w:val="Heading1"/>
        <w:keepNext/>
      </w:pPr>
      <w:r>
        <w:t>14. Testing Plan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00"/>
        <w:gridCol w:w="4100"/>
        <w:gridCol w:w="4360"/>
      </w:tblGrid>
      <w:tr>
        <w:trPr>
          <w:tblHeader w:val="true"/>
        </w:trPr>
        <w:tc>
          <w:tcPr>
            <w:tcW w:type="dxa" w:w="9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Test</w:t>
            </w:r>
          </w:p>
        </w:tc>
        <w:tc>
          <w:tcPr>
            <w:tcW w:type="dxa" w:w="41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Scenario</w:t>
            </w:r>
          </w:p>
        </w:tc>
        <w:tc>
          <w:tcPr>
            <w:tcW w:type="dxa" w:w="436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Expected Result</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T1</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Missing X-PAYMENT</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returns 402 and complete invoice JSON.</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T2</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Malformed request body</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returns 400 with field-specific error.</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T3</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Trusted score</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Invoice amount is low-tier fee.</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T4</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Low or missing score</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Invoice amount is high-tier fee.</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T5</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Wrong destination tx</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rejects payment and does not release payload.</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T6</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Wrong amount tx</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rejects payment and logs mismatch.</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T7</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Valid tx hash</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returns 200 and payload.</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T8</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Agent full loop</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Agent performs first request, payment, retry, and payload handling unattended.</w:t>
            </w:r>
          </w:p>
        </w:tc>
      </w:tr>
      <w:tr>
        <w:tc>
          <w:tcPr>
            <w:tcW w:type="dxa" w:w="900"/>
            <w:vAlign w:val="center"/>
            <w:tcMar>
              <w:top w:w="80" w:type="dxa"/>
              <w:start w:w="120" w:type="dxa"/>
              <w:bottom w:w="80" w:type="dxa"/>
              <w:end w:w="120" w:type="dxa"/>
            </w:tcMar>
          </w:tcPr>
          <w:p>
            <w:pPr>
              <w:spacing w:after="0" w:line="276" w:lineRule="auto"/>
              <w:jc w:val="center"/>
            </w:pPr>
            <w:r/>
            <w:r>
              <w:rPr>
                <w:rFonts w:ascii="Calibri" w:hAnsi="Calibri"/>
                <w:b w:val="0"/>
                <w:sz w:val="19"/>
              </w:rPr>
              <w:t>T9</w:t>
            </w:r>
          </w:p>
        </w:tc>
        <w:tc>
          <w:tcPr>
            <w:tcW w:type="dxa" w:w="4100"/>
            <w:vAlign w:val="center"/>
            <w:tcMar>
              <w:top w:w="80" w:type="dxa"/>
              <w:start w:w="120" w:type="dxa"/>
              <w:bottom w:w="80" w:type="dxa"/>
              <w:end w:w="120" w:type="dxa"/>
            </w:tcMar>
          </w:tcPr>
          <w:p>
            <w:pPr>
              <w:spacing w:after="0" w:line="276" w:lineRule="auto"/>
            </w:pPr>
            <w:r/>
            <w:r>
              <w:rPr>
                <w:rFonts w:ascii="Calibri" w:hAnsi="Calibri"/>
                <w:b w:val="0"/>
                <w:sz w:val="19"/>
              </w:rPr>
              <w:t>RPC outage simulation</w:t>
            </w:r>
          </w:p>
        </w:tc>
        <w:tc>
          <w:tcPr>
            <w:tcW w:type="dxa" w:w="4360"/>
            <w:vAlign w:val="center"/>
            <w:tcMar>
              <w:top w:w="80" w:type="dxa"/>
              <w:start w:w="120" w:type="dxa"/>
              <w:bottom w:w="80" w:type="dxa"/>
              <w:end w:w="120" w:type="dxa"/>
            </w:tcMar>
          </w:tcPr>
          <w:p>
            <w:pPr>
              <w:spacing w:after="0" w:line="276" w:lineRule="auto"/>
              <w:jc w:val="center"/>
            </w:pPr>
            <w:r/>
            <w:r>
              <w:rPr>
                <w:rFonts w:ascii="Calibri" w:hAnsi="Calibri"/>
                <w:b w:val="0"/>
                <w:sz w:val="19"/>
              </w:rPr>
              <w:t>API returns clear temporary failure rather than crashing.</w:t>
            </w:r>
          </w:p>
        </w:tc>
      </w:tr>
    </w:tbl>
    <w:p/>
    <w:p>
      <w:pPr>
        <w:pStyle w:val="Heading1"/>
        <w:keepNext/>
      </w:pPr>
      <w:r>
        <w:t>15. Demo Script and Evidence</w:t>
      </w:r>
    </w:p>
    <w:p>
      <w:pPr>
        <w:pStyle w:val="Heading2"/>
        <w:keepNext/>
      </w:pPr>
      <w:r>
        <w:t>Recording Layout</w:t>
      </w:r>
    </w:p>
    <w:p>
      <w:pPr>
        <w:pStyle w:val="ListBullet"/>
        <w:spacing w:after="80" w:line="300" w:lineRule="auto"/>
        <w:ind w:left="540" w:hanging="271"/>
      </w:pPr>
      <w:r>
        <w:t>Left side: API terminal and agent terminal, preferably stacked.</w:t>
      </w:r>
    </w:p>
    <w:p>
      <w:pPr>
        <w:pStyle w:val="ListBullet"/>
        <w:spacing w:after="80" w:line="300" w:lineRule="auto"/>
        <w:ind w:left="540" w:hanging="271"/>
      </w:pPr>
      <w:r>
        <w:t>Right side: Avalanche Fuji explorer showing the payment transaction.</w:t>
      </w:r>
    </w:p>
    <w:p>
      <w:pPr>
        <w:pStyle w:val="ListBullet"/>
        <w:spacing w:after="80" w:line="300" w:lineRule="auto"/>
        <w:ind w:left="540" w:hanging="271"/>
      </w:pPr>
      <w:r>
        <w:t>Optional small browser/curl window: one 402 response payload if it helps judges understand the handshake.</w:t>
      </w:r>
    </w:p>
    <w:p>
      <w:pPr>
        <w:pStyle w:val="Heading2"/>
        <w:keepNext/>
      </w:pPr>
      <w:r>
        <w:t>Narrated Demo Beats</w:t>
      </w:r>
    </w:p>
    <w:p>
      <w:pPr>
        <w:pStyle w:val="ListNumber"/>
        <w:spacing w:after="80" w:line="300" w:lineRule="auto"/>
        <w:ind w:left="540" w:hanging="271"/>
      </w:pPr>
      <w:r>
        <w:t>Introduce the agentId and current reputation score.</w:t>
      </w:r>
    </w:p>
    <w:p>
      <w:pPr>
        <w:pStyle w:val="ListNumber"/>
        <w:spacing w:after="80" w:line="300" w:lineRule="auto"/>
        <w:ind w:left="540" w:hanging="271"/>
      </w:pPr>
      <w:r>
        <w:t>Run the agent and show the first request receiving HTTP 402.</w:t>
      </w:r>
    </w:p>
    <w:p>
      <w:pPr>
        <w:pStyle w:val="ListNumber"/>
        <w:spacing w:after="80" w:line="300" w:lineRule="auto"/>
        <w:ind w:left="540" w:hanging="271"/>
      </w:pPr>
      <w:r>
        <w:t>Show invoice amount and pricing tier.</w:t>
      </w:r>
    </w:p>
    <w:p>
      <w:pPr>
        <w:pStyle w:val="ListNumber"/>
        <w:spacing w:after="80" w:line="300" w:lineRule="auto"/>
        <w:ind w:left="540" w:hanging="271"/>
      </w:pPr>
      <w:r>
        <w:t>Show the agent broadcasting payment automatically.</w:t>
      </w:r>
    </w:p>
    <w:p>
      <w:pPr>
        <w:pStyle w:val="ListNumber"/>
        <w:spacing w:after="80" w:line="300" w:lineRule="auto"/>
        <w:ind w:left="540" w:hanging="271"/>
      </w:pPr>
      <w:r>
        <w:t>Show X-PAYMENT retry and successful API release.</w:t>
      </w:r>
    </w:p>
    <w:p>
      <w:pPr>
        <w:pStyle w:val="ListNumber"/>
        <w:spacing w:after="80" w:line="300" w:lineRule="auto"/>
        <w:ind w:left="540" w:hanging="271"/>
      </w:pPr>
      <w:r>
        <w:t>Show explorer transaction and, if available, reputation feedback update.</w:t>
      </w:r>
    </w:p>
    <w:p>
      <w:pPr>
        <w:pStyle w:val="ListNumber"/>
        <w:spacing w:after="80" w:line="300" w:lineRule="auto"/>
        <w:ind w:left="540" w:hanging="271"/>
      </w:pPr>
      <w:r>
        <w:t>Close by stating that no manual payment step occurred.</w:t>
      </w:r>
    </w:p>
    <w:p>
      <w:pPr>
        <w:pStyle w:val="Heading1"/>
        <w:keepNext/>
      </w:pPr>
      <w:r>
        <w:t>16. Risks and Mitigations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750"/>
        <w:gridCol w:w="2500"/>
        <w:gridCol w:w="4110"/>
      </w:tblGrid>
      <w:tr>
        <w:trPr>
          <w:tblHeader w:val="true"/>
        </w:trPr>
        <w:tc>
          <w:tcPr>
            <w:tcW w:type="dxa" w:w="27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Risk</w:t>
            </w:r>
          </w:p>
        </w:tc>
        <w:tc>
          <w:tcPr>
            <w:tcW w:type="dxa" w:w="25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Impact</w:t>
            </w:r>
          </w:p>
        </w:tc>
        <w:tc>
          <w:tcPr>
            <w:tcW w:type="dxa" w:w="411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Mitigation</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Fuji faucet or token funding delay</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Agent cannot settle invoice.</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Prepare wallets early; keep native AVAX smoke path as backup.</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Contract ABI not ready</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Dynamic pricing or feedback blocked.</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Use adapter pattern with mock implementation matching final function names.</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RPC latency</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Demo stalls during receipt verification.</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Add clear pending logs and reasonable timeout/retry behavior.</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x402 ambiguity</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Judges may question protocol compliance.</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Make HTTP 402 status, invoice fields, payment header, and retry behavior explicit in logs.</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Scope creep</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Core loop unfinished.</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No frontend, no real DEX, no mainnet until end-to-end demo is stable.</w:t>
            </w:r>
          </w:p>
        </w:tc>
      </w:tr>
      <w:tr>
        <w:tc>
          <w:tcPr>
            <w:tcW w:type="dxa" w:w="2750"/>
            <w:vAlign w:val="center"/>
            <w:tcMar>
              <w:top w:w="80" w:type="dxa"/>
              <w:start w:w="120" w:type="dxa"/>
              <w:bottom w:w="80" w:type="dxa"/>
              <w:end w:w="120" w:type="dxa"/>
            </w:tcMar>
          </w:tcPr>
          <w:p>
            <w:pPr>
              <w:spacing w:after="0" w:line="276" w:lineRule="auto"/>
              <w:jc w:val="center"/>
            </w:pPr>
            <w:r/>
            <w:r>
              <w:rPr>
                <w:rFonts w:ascii="Calibri" w:hAnsi="Calibri"/>
                <w:b w:val="0"/>
                <w:sz w:val="19"/>
              </w:rPr>
              <w:t>Private key leakage</w:t>
            </w:r>
          </w:p>
        </w:tc>
        <w:tc>
          <w:tcPr>
            <w:tcW w:type="dxa" w:w="2500"/>
            <w:vAlign w:val="center"/>
            <w:tcMar>
              <w:top w:w="80" w:type="dxa"/>
              <w:start w:w="120" w:type="dxa"/>
              <w:bottom w:w="80" w:type="dxa"/>
              <w:end w:w="120" w:type="dxa"/>
            </w:tcMar>
          </w:tcPr>
          <w:p>
            <w:pPr>
              <w:spacing w:after="0" w:line="276" w:lineRule="auto"/>
            </w:pPr>
            <w:r/>
            <w:r>
              <w:rPr>
                <w:rFonts w:ascii="Calibri" w:hAnsi="Calibri"/>
                <w:b w:val="0"/>
                <w:sz w:val="19"/>
              </w:rPr>
              <w:t>Security issue during recording or repo sharing.</w:t>
            </w:r>
          </w:p>
        </w:tc>
        <w:tc>
          <w:tcPr>
            <w:tcW w:type="dxa" w:w="4110"/>
            <w:vAlign w:val="center"/>
            <w:tcMar>
              <w:top w:w="80" w:type="dxa"/>
              <w:start w:w="120" w:type="dxa"/>
              <w:bottom w:w="80" w:type="dxa"/>
              <w:end w:w="120" w:type="dxa"/>
            </w:tcMar>
          </w:tcPr>
          <w:p>
            <w:pPr>
              <w:spacing w:after="0" w:line="276" w:lineRule="auto"/>
              <w:jc w:val="center"/>
            </w:pPr>
            <w:r/>
            <w:r>
              <w:rPr>
                <w:rFonts w:ascii="Calibri" w:hAnsi="Calibri"/>
                <w:b w:val="0"/>
                <w:sz w:val="19"/>
              </w:rPr>
              <w:t>Use .env, .gitignore, and test-only wallets with no real funds.</w:t>
            </w:r>
          </w:p>
        </w:tc>
      </w:tr>
    </w:tbl>
    <w:p/>
    <w:p>
      <w:pPr>
        <w:pStyle w:val="Heading1"/>
        <w:keepNext/>
      </w:pPr>
      <w:r>
        <w:t>17. Final Acceptance Criteria</w:t>
      </w:r>
    </w:p>
    <w:p>
      <w:pPr>
        <w:pStyle w:val="ListBullet"/>
        <w:spacing w:after="80" w:line="300" w:lineRule="auto"/>
        <w:ind w:left="540" w:hanging="271"/>
      </w:pPr>
      <w:r>
        <w:t>API server starts from a documented command and prints configured network/address summary.</w:t>
      </w:r>
    </w:p>
    <w:p>
      <w:pPr>
        <w:pStyle w:val="ListBullet"/>
        <w:spacing w:after="80" w:line="300" w:lineRule="auto"/>
        <w:ind w:left="540" w:hanging="271"/>
      </w:pPr>
      <w:r>
        <w:t>Agent starts from a documented command and requires no manual payment intervention.</w:t>
      </w:r>
    </w:p>
    <w:p>
      <w:pPr>
        <w:pStyle w:val="ListBullet"/>
        <w:spacing w:after="80" w:line="300" w:lineRule="auto"/>
        <w:ind w:left="540" w:hanging="271"/>
      </w:pPr>
      <w:r>
        <w:t>First request reliably returns HTTP 402 with invoice JSON.</w:t>
      </w:r>
    </w:p>
    <w:p>
      <w:pPr>
        <w:pStyle w:val="ListBullet"/>
        <w:spacing w:after="80" w:line="300" w:lineRule="auto"/>
        <w:ind w:left="540" w:hanging="271"/>
      </w:pPr>
      <w:r>
        <w:t>Payment transaction appears on Fuji explorer.</w:t>
      </w:r>
    </w:p>
    <w:p>
      <w:pPr>
        <w:pStyle w:val="ListBullet"/>
        <w:spacing w:after="80" w:line="300" w:lineRule="auto"/>
        <w:ind w:left="540" w:hanging="271"/>
      </w:pPr>
      <w:r>
        <w:t>Retry with X-PAYMENT reliably returns 200 and capital permission payload.</w:t>
      </w:r>
    </w:p>
    <w:p>
      <w:pPr>
        <w:pStyle w:val="ListBullet"/>
        <w:spacing w:after="80" w:line="300" w:lineRule="auto"/>
        <w:ind w:left="540" w:hanging="271"/>
      </w:pPr>
      <w:r>
        <w:t>Reputation score affects the invoice tier, either through deployed contract read or clearly labeled mock adapter.</w:t>
      </w:r>
    </w:p>
    <w:p>
      <w:pPr>
        <w:pStyle w:val="ListBullet"/>
        <w:spacing w:after="80" w:line="300" w:lineRule="auto"/>
        <w:ind w:left="540" w:hanging="271"/>
      </w:pPr>
      <w:r>
        <w:t>The README or demo notes explain any contract/address placeholders.</w:t>
      </w:r>
    </w:p>
    <w:p>
      <w:pPr>
        <w:pStyle w:val="ListBullet"/>
        <w:spacing w:after="80" w:line="300" w:lineRule="auto"/>
        <w:ind w:left="540" w:hanging="271"/>
      </w:pPr>
      <w:r>
        <w:t>A judge can understand the full loop from logs within 90 seconds.</w:t>
      </w:r>
    </w:p>
    <w:p>
      <w:pPr>
        <w:pStyle w:val="Heading1"/>
        <w:keepNext/>
      </w:pPr>
      <w:r>
        <w:t>18. Immediate Next Actions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00"/>
        <w:gridCol w:w="6310"/>
        <w:gridCol w:w="2050"/>
      </w:tblGrid>
      <w:tr>
        <w:trPr>
          <w:tblHeader w:val="true"/>
        </w:trPr>
        <w:tc>
          <w:tcPr>
            <w:tcW w:type="dxa" w:w="100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Priority</w:t>
            </w:r>
          </w:p>
        </w:tc>
        <w:tc>
          <w:tcPr>
            <w:tcW w:type="dxa" w:w="631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Action</w:t>
            </w:r>
          </w:p>
        </w:tc>
        <w:tc>
          <w:tcPr>
            <w:tcW w:type="dxa" w:w="2050"/>
            <w:vAlign w:val="center"/>
            <w:tcMar>
              <w:top w:w="80" w:type="dxa"/>
              <w:start w:w="120" w:type="dxa"/>
              <w:bottom w:w="80" w:type="dxa"/>
              <w:end w:w="120" w:type="dxa"/>
            </w:tcMar>
            <w:shd w:fill="E8EEF5"/>
          </w:tcPr>
          <w:p>
            <w:pPr>
              <w:spacing w:after="0" w:line="276" w:lineRule="auto"/>
              <w:jc w:val="center"/>
            </w:pPr>
            <w:r/>
            <w:r>
              <w:rPr>
                <w:rFonts w:ascii="Calibri" w:hAnsi="Calibri"/>
                <w:b/>
                <w:color w:val="0B2545"/>
                <w:sz w:val="20"/>
              </w:rPr>
              <w:t>Owner</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P0</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Create repo structure and .env.example files.</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P0</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Confirm Fuji RPC URL, test wallet, and funding.</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P0</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Get Dev A's registry/vault addresses and ABI stubs.</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A + 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P1</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Implement 402 middleware and invoice shape.</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P1</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Implement agent payment retry loop.</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P1</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Implement reputation pricing adapter.</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Dev B</w:t>
            </w:r>
          </w:p>
        </w:tc>
      </w:tr>
      <w:tr>
        <w:tc>
          <w:tcPr>
            <w:tcW w:type="dxa" w:w="1000"/>
            <w:vAlign w:val="center"/>
            <w:tcMar>
              <w:top w:w="80" w:type="dxa"/>
              <w:start w:w="120" w:type="dxa"/>
              <w:bottom w:w="80" w:type="dxa"/>
              <w:end w:w="120" w:type="dxa"/>
            </w:tcMar>
          </w:tcPr>
          <w:p>
            <w:pPr>
              <w:spacing w:after="0" w:line="276" w:lineRule="auto"/>
              <w:jc w:val="center"/>
            </w:pPr>
            <w:r/>
            <w:r>
              <w:rPr>
                <w:rFonts w:ascii="Calibri" w:hAnsi="Calibri"/>
                <w:b w:val="0"/>
                <w:sz w:val="19"/>
              </w:rPr>
              <w:t>P2</w:t>
            </w:r>
          </w:p>
        </w:tc>
        <w:tc>
          <w:tcPr>
            <w:tcW w:type="dxa" w:w="6310"/>
            <w:vAlign w:val="center"/>
            <w:tcMar>
              <w:top w:w="80" w:type="dxa"/>
              <w:start w:w="120" w:type="dxa"/>
              <w:bottom w:w="80" w:type="dxa"/>
              <w:end w:w="120" w:type="dxa"/>
            </w:tcMar>
          </w:tcPr>
          <w:p>
            <w:pPr>
              <w:spacing w:after="0" w:line="276" w:lineRule="auto"/>
            </w:pPr>
            <w:r/>
            <w:r>
              <w:rPr>
                <w:rFonts w:ascii="Calibri" w:hAnsi="Calibri"/>
                <w:b w:val="0"/>
                <w:sz w:val="19"/>
              </w:rPr>
              <w:t>Record clean demo with explorer proof.</w:t>
            </w:r>
          </w:p>
        </w:tc>
        <w:tc>
          <w:tcPr>
            <w:tcW w:type="dxa" w:w="2050"/>
            <w:vAlign w:val="center"/>
            <w:tcMar>
              <w:top w:w="80" w:type="dxa"/>
              <w:start w:w="120" w:type="dxa"/>
              <w:bottom w:w="80" w:type="dxa"/>
              <w:end w:w="120" w:type="dxa"/>
            </w:tcMar>
          </w:tcPr>
          <w:p>
            <w:pPr>
              <w:spacing w:after="0" w:line="276" w:lineRule="auto"/>
              <w:jc w:val="center"/>
            </w:pPr>
            <w:r/>
            <w:r>
              <w:rPr>
                <w:rFonts w:ascii="Calibri" w:hAnsi="Calibri"/>
                <w:b w:val="0"/>
                <w:sz w:val="19"/>
              </w:rPr>
              <w:t>Both</w:t>
            </w:r>
          </w:p>
        </w:tc>
      </w:tr>
    </w:tbl>
    <w:p/>
    <w:p>
      <w:pPr>
        <w:pStyle w:val="Heading1"/>
        <w:keepNext/>
      </w:pPr>
      <w:r>
        <w:t>Appendix A: Assumptions</w:t>
      </w:r>
    </w:p>
    <w:p>
      <w:pPr>
        <w:pStyle w:val="ListBullet"/>
        <w:spacing w:after="80" w:line="300" w:lineRule="auto"/>
        <w:ind w:left="540" w:hanging="271"/>
      </w:pPr>
      <w:r>
        <w:t>The terms ERC-8004 and x402 are treated according to the provided project notes; final contract/API details should be adjusted if the hackathon starter repos define exact interfaces.</w:t>
      </w:r>
    </w:p>
    <w:p>
      <w:pPr>
        <w:pStyle w:val="ListBullet"/>
        <w:spacing w:after="80" w:line="300" w:lineRule="auto"/>
        <w:ind w:left="540" w:hanging="271"/>
      </w:pPr>
      <w:r>
        <w:t>USDC amounts are represented with 6 decimals in examples.</w:t>
      </w:r>
    </w:p>
    <w:p>
      <w:pPr>
        <w:pStyle w:val="ListBullet"/>
        <w:spacing w:after="80" w:line="300" w:lineRule="auto"/>
        <w:ind w:left="540" w:hanging="271"/>
      </w:pPr>
      <w:r>
        <w:t>A mock vault is acceptable for the MVP because the goal is paid authorization and agent autonomy, not real capital efficiency.</w:t>
      </w:r>
    </w:p>
    <w:p>
      <w:pPr>
        <w:pStyle w:val="ListBullet"/>
        <w:spacing w:after="80" w:line="300" w:lineRule="auto"/>
        <w:ind w:left="540" w:hanging="271"/>
      </w:pPr>
      <w:r>
        <w:t>The document date is June 11, 2026, matching the active build day in the workspace context.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86069"/>
        <w:sz w:val="18"/>
      </w:rPr>
      <w:t>Avalanche Fuji MVP build spec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86069"/>
        <w:sz w:val="18"/>
      </w:rPr>
      <w:t>Liquidity Sentinel | Project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