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FFD07" w14:textId="77777777" w:rsidR="00914C22" w:rsidRDefault="00914C22" w:rsidP="00914C22">
      <w:pPr>
        <w:pStyle w:val="Heading1"/>
      </w:pPr>
      <w:r>
        <w:t>Background information:</w:t>
      </w:r>
    </w:p>
    <w:p w14:paraId="026AE39E" w14:textId="77777777" w:rsidR="00EC64AD" w:rsidRPr="00EC64AD" w:rsidRDefault="00EC64AD" w:rsidP="00EC64AD"/>
    <w:p w14:paraId="59AAD15B" w14:textId="77777777" w:rsidR="00914C22" w:rsidRPr="00914C22" w:rsidRDefault="00914C22" w:rsidP="004A631E">
      <w:pPr>
        <w:pStyle w:val="Heading2"/>
        <w:numPr>
          <w:ilvl w:val="0"/>
          <w:numId w:val="2"/>
        </w:numPr>
      </w:pPr>
      <w:r>
        <w:t>Assumption: Black Scholes Frame</w:t>
      </w:r>
    </w:p>
    <w:p w14:paraId="092E694E" w14:textId="77777777" w:rsidR="00864E05" w:rsidRDefault="00864E05" w:rsidP="00535BC8">
      <w:pPr>
        <w:ind w:left="360"/>
      </w:pPr>
    </w:p>
    <w:p w14:paraId="548A8643" w14:textId="77777777" w:rsidR="00773F99" w:rsidRDefault="004219D4" w:rsidP="00535BC8">
      <w:pPr>
        <w:ind w:left="360"/>
      </w:pPr>
      <w:r>
        <w:t xml:space="preserve">We use assumptions from the Black-Scholes Equation that the </w:t>
      </w:r>
      <w:r w:rsidR="004517BC">
        <w:t xml:space="preserve">continuously compounded annual </w:t>
      </w:r>
      <w:r>
        <w:t>return</w:t>
      </w:r>
      <w:r w:rsidR="004517BC">
        <w:t xml:space="preserve"> rate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85707">
        <w:t xml:space="preserve"> </w:t>
      </w:r>
      <w:r>
        <w:t xml:space="preserve">on </w:t>
      </w:r>
      <w:r w:rsidR="00685707">
        <w:t xml:space="preserve">a </w:t>
      </w:r>
      <w:r>
        <w:t xml:space="preserve">stock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685707">
        <w:t xml:space="preserve"> for the period from </w:t>
      </w:r>
      <m:oMath>
        <m:r>
          <w:rPr>
            <w:rFonts w:ascii="Cambria Math" w:hAnsi="Cambria Math"/>
          </w:rPr>
          <m:t>t=0</m:t>
        </m:r>
      </m:oMath>
      <w:r w:rsidR="00685707">
        <w:t xml:space="preserve"> to </w:t>
      </w:r>
      <m:oMath>
        <m:r>
          <w:rPr>
            <w:rFonts w:ascii="Cambria Math" w:hAnsi="Cambria Math"/>
          </w:rPr>
          <m:t>t=T</m:t>
        </m:r>
      </m:oMath>
      <w:r w:rsidR="00685707">
        <w:t xml:space="preserve"> follows a Normal </w:t>
      </w:r>
      <w:proofErr w:type="gramStart"/>
      <w:r w:rsidR="00685707">
        <w:t xml:space="preserve">distribution </w:t>
      </w:r>
      <w:proofErr w:type="gramEnd"/>
      <m:oMath>
        <m:r>
          <w:rPr>
            <w:rFonts w:ascii="Cambria Math" w:hAnsi="Cambria Math"/>
          </w:rPr>
          <m:t>N</m:t>
        </m:r>
        <m:d>
          <m:dPr>
            <m:ctrlPr>
              <w:rPr>
                <w:rFonts w:ascii="Cambria Math" w:hAnsi="Cambria Math"/>
                <w:i/>
              </w:rPr>
            </m:ctrlPr>
          </m:dPr>
          <m:e>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T,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e>
        </m:d>
      </m:oMath>
      <w:r w:rsidR="00685707">
        <w:t>.</w:t>
      </w:r>
      <w:r w:rsidR="00C35AA0">
        <w:t xml:space="preserve"> This implies </w:t>
      </w:r>
      <w:proofErr w:type="gramStart"/>
      <w:r w:rsidR="00C35AA0">
        <w:t xml:space="preserve">that </w:t>
      </w:r>
      <m:oMath>
        <m:f>
          <m:fPr>
            <m:type m:val="lin"/>
            <m:ctrlPr>
              <w:rPr>
                <w:rFonts w:ascii="Cambria Math" w:hAnsi="Cambria Math"/>
                <w:i/>
              </w:rPr>
            </m:ctrlPr>
          </m:fPr>
          <m:num>
            <w:proofErr w:type="gramEnd"/>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~logN</m:t>
        </m:r>
        <m:d>
          <m:dPr>
            <m:ctrlPr>
              <w:rPr>
                <w:rFonts w:ascii="Cambria Math" w:hAnsi="Cambria Math"/>
                <w:i/>
              </w:rPr>
            </m:ctrlPr>
          </m:dPr>
          <m:e>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T,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e>
        </m:d>
      </m:oMath>
      <w:r w:rsidR="00C35AA0">
        <w:t xml:space="preserve"> </w:t>
      </w:r>
      <w:r w:rsidR="004517BC">
        <w:t>, where</w:t>
      </w:r>
      <w:r w:rsidR="00C35AA0">
        <w:t xml:space="preserve"> </w:t>
      </w:r>
      <m:oMath>
        <m:r>
          <w:rPr>
            <w:rFonts w:ascii="Cambria Math" w:hAnsi="Cambria Math"/>
          </w:rPr>
          <m:t>α</m:t>
        </m:r>
      </m:oMath>
      <w:r w:rsidR="00C35AA0">
        <w:t xml:space="preserve"> is the </w:t>
      </w:r>
      <w:r w:rsidR="004517BC">
        <w:t xml:space="preserve">expected return </w:t>
      </w:r>
      <w:r w:rsidR="00C35AA0">
        <w:t xml:space="preserve">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C35AA0">
        <w:t xml:space="preserve"> is the volatility of the stock.</w:t>
      </w:r>
      <w:r w:rsidR="00535BC8">
        <w:t xml:space="preserve"> </w:t>
      </w:r>
      <w:r w:rsidR="00864E05">
        <w:t xml:space="preserve">Note that the mean is expressed </w:t>
      </w:r>
      <w:proofErr w:type="gramStart"/>
      <w:r w:rsidR="00864E05">
        <w:t xml:space="preserve">as </w:t>
      </w:r>
      <w:proofErr w:type="gramEnd"/>
      <m:oMath>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T</m:t>
        </m:r>
      </m:oMath>
      <w:r w:rsidR="00864E05">
        <w:t xml:space="preserve">, but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αT</m:t>
            </m:r>
          </m:sup>
        </m:sSup>
      </m:oMath>
      <w:r w:rsidR="00D92EA3">
        <w:t>.</w:t>
      </w:r>
    </w:p>
    <w:p w14:paraId="614DA9A1" w14:textId="77777777" w:rsidR="00535BC8" w:rsidRDefault="00535BC8" w:rsidP="00535BC8">
      <w:pPr>
        <w:ind w:left="360"/>
      </w:pPr>
      <w:r>
        <w:t>To further complicate things, the stock return is assumed to be a</w:t>
      </w:r>
      <w:r w:rsidRPr="00535BC8">
        <w:t xml:space="preserve"> </w:t>
      </w:r>
      <w:r>
        <w:t xml:space="preserve">Brownian </w:t>
      </w:r>
      <w:proofErr w:type="gramStart"/>
      <w:r>
        <w:t>Motion</w:t>
      </w:r>
      <w:proofErr w:type="gramEnd"/>
      <w:r>
        <w:t>. The only implication we will use is the property that the return on any day is independent from the return on any other day.</w:t>
      </w:r>
    </w:p>
    <w:p w14:paraId="7B7177E7" w14:textId="77777777" w:rsidR="00535BC8" w:rsidRDefault="00535BC8" w:rsidP="00535BC8">
      <w:pPr>
        <w:ind w:left="360"/>
      </w:pPr>
    </w:p>
    <w:p w14:paraId="4B11C0C5" w14:textId="77777777" w:rsidR="00914C22" w:rsidRDefault="00914C22" w:rsidP="004A631E">
      <w:pPr>
        <w:pStyle w:val="Heading2"/>
        <w:numPr>
          <w:ilvl w:val="0"/>
          <w:numId w:val="2"/>
        </w:numPr>
      </w:pPr>
      <w:r>
        <w:t>Bayesian Inference</w:t>
      </w:r>
    </w:p>
    <w:p w14:paraId="031D161E" w14:textId="77777777" w:rsidR="00864E05" w:rsidRDefault="00864E05" w:rsidP="00EC64AD">
      <w:pPr>
        <w:ind w:left="360"/>
      </w:pPr>
    </w:p>
    <w:p w14:paraId="0DE63A7E" w14:textId="77777777" w:rsidR="004A631E" w:rsidRDefault="00914C22" w:rsidP="00EC64AD">
      <w:pPr>
        <w:ind w:left="360"/>
      </w:pPr>
      <w:r>
        <w:t xml:space="preserve">Suppose we would like to estimate a parameter </w:t>
      </w:r>
      <m:oMath>
        <m:r>
          <w:rPr>
            <w:rFonts w:ascii="Cambria Math" w:hAnsi="Cambria Math"/>
          </w:rPr>
          <m:t>θ</m:t>
        </m:r>
      </m:oMath>
      <w:r>
        <w:t xml:space="preserve"> of a specified distribution with density </w:t>
      </w:r>
      <w:proofErr w:type="gramStart"/>
      <w:r>
        <w:t xml:space="preserve">function </w:t>
      </w:r>
      <w:proofErr w:type="gramEnd"/>
      <m:oMath>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oMath>
      <w:r>
        <w:t xml:space="preserve">. Ordinarily we would gather a sample of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estimate the parameter </w:t>
      </w:r>
      <m:oMath>
        <m:r>
          <w:rPr>
            <w:rFonts w:ascii="Cambria Math" w:hAnsi="Cambria Math"/>
          </w:rPr>
          <m:t>θ</m:t>
        </m:r>
      </m:oMath>
      <w:r>
        <w:t xml:space="preserve"> with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MLE</m:t>
            </m:r>
          </m:sub>
        </m:sSub>
      </m:oMath>
      <w:r>
        <w:t xml:space="preserve"> such that the likelihood function </w:t>
      </w:r>
      <m:oMath>
        <m:r>
          <w:rPr>
            <w:rFonts w:ascii="Cambria Math" w:hAnsi="Cambria Math"/>
          </w:rPr>
          <m:t>L(</m:t>
        </m:r>
        <m:bar>
          <m:barPr>
            <m:ctrlPr>
              <w:rPr>
                <w:rFonts w:ascii="Cambria Math" w:hAnsi="Cambria Math"/>
                <w:i/>
              </w:rPr>
            </m:ctrlPr>
          </m:barPr>
          <m:e>
            <m:r>
              <w:rPr>
                <w:rFonts w:ascii="Cambria Math" w:hAnsi="Cambria Math"/>
              </w:rPr>
              <m:t>x</m:t>
            </m:r>
          </m:e>
        </m:bar>
        <m:r>
          <w:rPr>
            <w:rFonts w:ascii="Cambria Math" w:hAnsi="Cambria Math"/>
          </w:rPr>
          <m:t>|θ)=</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w:r>
        <w:t xml:space="preserve"> is maximized </w:t>
      </w:r>
      <w:proofErr w:type="gramStart"/>
      <w:r>
        <w:t xml:space="preserve">at </w:t>
      </w:r>
      <m:oMath>
        <m:r>
          <w:rPr>
            <w:rFonts w:ascii="Cambria Math" w:hAnsi="Cambria Math"/>
          </w:rPr>
          <m:t>=</m:t>
        </m:r>
        <w:proofErr w:type="gramEnd"/>
        <m:sSub>
          <m:sSubPr>
            <m:ctrlPr>
              <w:rPr>
                <w:rFonts w:ascii="Cambria Math" w:hAnsi="Cambria Math"/>
              </w:rPr>
            </m:ctrlPr>
          </m:sSubPr>
          <m:e>
            <m:acc>
              <m:accPr>
                <m:ctrlPr>
                  <w:rPr>
                    <w:rFonts w:ascii="Cambria Math" w:hAnsi="Cambria Math"/>
                    <w:i/>
                  </w:rPr>
                </m:ctrlPr>
              </m:accPr>
              <m:e>
                <m:r>
                  <w:rPr>
                    <w:rFonts w:ascii="Cambria Math" w:hAnsi="Cambria Math"/>
                  </w:rPr>
                  <m:t>θ</m:t>
                </m:r>
              </m:e>
            </m:acc>
            <m:ctrlPr>
              <w:rPr>
                <w:rFonts w:ascii="Cambria Math" w:hAnsi="Cambria Math"/>
                <w:i/>
              </w:rPr>
            </m:ctrlPr>
          </m:e>
          <m:sub>
            <m:r>
              <w:rPr>
                <w:rFonts w:ascii="Cambria Math" w:hAnsi="Cambria Math"/>
              </w:rPr>
              <m:t>MLE</m:t>
            </m:r>
          </m:sub>
        </m:sSub>
      </m:oMath>
      <w:r w:rsidR="004A631E">
        <w:t xml:space="preserve"> . </w:t>
      </w:r>
    </w:p>
    <w:p w14:paraId="545EB317" w14:textId="77777777" w:rsidR="007A4310" w:rsidRDefault="004A631E" w:rsidP="007A4310">
      <w:pPr>
        <w:ind w:left="360"/>
      </w:pPr>
      <w:r>
        <w:t xml:space="preserve">However, with Bayesian Inference, we have a prior belief of the distribution </w:t>
      </w:r>
      <w:proofErr w:type="gramStart"/>
      <w:r>
        <w:t xml:space="preserve">of </w:t>
      </w:r>
      <w:proofErr w:type="gramEnd"/>
      <m:oMath>
        <m:r>
          <w:rPr>
            <w:rFonts w:ascii="Cambria Math" w:hAnsi="Cambria Math"/>
          </w:rPr>
          <m:t>θ</m:t>
        </m:r>
      </m:oMath>
      <w:r>
        <w:t xml:space="preserve">. </w:t>
      </w:r>
      <w:r w:rsidRPr="004A631E">
        <w:t>The prio</w:t>
      </w:r>
      <w:r>
        <w:t xml:space="preserve">r belief can come from historical data or physical theory, or it can be purely subjective, and the distribution which we believe that </w:t>
      </w:r>
      <m:oMath>
        <m:r>
          <w:rPr>
            <w:rFonts w:ascii="Cambria Math" w:hAnsi="Cambria Math"/>
          </w:rPr>
          <m:t>θ</m:t>
        </m:r>
      </m:oMath>
      <w:r>
        <w:t xml:space="preserve"> follows is called the prior distribution with </w:t>
      </w:r>
      <w:proofErr w:type="gramStart"/>
      <w:r>
        <w:t xml:space="preserve">density </w:t>
      </w:r>
      <w:proofErr w:type="gramEnd"/>
      <m:oMath>
        <m:r>
          <w:rPr>
            <w:rFonts w:ascii="Cambria Math" w:hAnsi="Cambria Math"/>
          </w:rPr>
          <m:t>π</m:t>
        </m:r>
        <m:d>
          <m:dPr>
            <m:ctrlPr>
              <w:rPr>
                <w:rFonts w:ascii="Cambria Math" w:hAnsi="Cambria Math"/>
                <w:i/>
              </w:rPr>
            </m:ctrlPr>
          </m:dPr>
          <m:e>
            <m:r>
              <w:rPr>
                <w:rFonts w:ascii="Cambria Math" w:hAnsi="Cambria Math"/>
              </w:rPr>
              <m:t>θ</m:t>
            </m:r>
          </m:e>
        </m:d>
      </m:oMath>
      <w:r>
        <w:t xml:space="preserve">. Then, with the same observation, we can calculate the “posterior density” </w:t>
      </w:r>
      <m:oMath>
        <m:r>
          <w:rPr>
            <w:rFonts w:ascii="Cambria Math" w:hAnsi="Cambria Math"/>
          </w:rPr>
          <m:t>π(θ|</m:t>
        </m:r>
        <m:bar>
          <m:barPr>
            <m:ctrlPr>
              <w:rPr>
                <w:rFonts w:ascii="Cambria Math" w:hAnsi="Cambria Math"/>
                <w:i/>
              </w:rPr>
            </m:ctrlPr>
          </m:barPr>
          <m:e>
            <m:r>
              <w:rPr>
                <w:rFonts w:ascii="Cambria Math" w:hAnsi="Cambria Math"/>
              </w:rPr>
              <m:t>x</m:t>
            </m:r>
          </m:e>
        </m:bar>
        <m:r>
          <w:rPr>
            <w:rFonts w:ascii="Cambria Math" w:hAnsi="Cambria Math"/>
          </w:rPr>
          <m:t>)</m:t>
        </m:r>
      </m:oMath>
      <w:r>
        <w:t xml:space="preserve"> of </w:t>
      </w:r>
      <m:oMath>
        <m:r>
          <w:rPr>
            <w:rFonts w:ascii="Cambria Math" w:hAnsi="Cambria Math"/>
          </w:rPr>
          <m:t>θ</m:t>
        </m:r>
      </m:oMath>
      <w:r w:rsidR="007A4310">
        <w:t xml:space="preserve"> given our observations:</w:t>
      </w:r>
    </w:p>
    <w:p w14:paraId="5009567E" w14:textId="77777777" w:rsidR="007A4310" w:rsidRDefault="007A4310" w:rsidP="00EC64AD">
      <w:pPr>
        <w:ind w:left="360"/>
      </w:pPr>
      <m:oMathPara>
        <m:oMath>
          <m:r>
            <w:rPr>
              <w:rFonts w:ascii="Cambria Math" w:hAnsi="Cambria Math"/>
            </w:rPr>
            <m:t>π</m:t>
          </m:r>
          <m:d>
            <m:dPr>
              <m:ctrlPr>
                <w:rPr>
                  <w:rFonts w:ascii="Cambria Math" w:hAnsi="Cambria Math"/>
                  <w:i/>
                </w:rPr>
              </m:ctrlPr>
            </m:dPr>
            <m:e>
              <m:r>
                <w:rPr>
                  <w:rFonts w:ascii="Cambria Math" w:hAnsi="Cambria Math"/>
                </w:rPr>
                <m:t>θ</m:t>
              </m:r>
            </m:e>
            <m:e>
              <m:bar>
                <m:barPr>
                  <m:ctrlPr>
                    <w:rPr>
                      <w:rFonts w:ascii="Cambria Math" w:hAnsi="Cambria Math"/>
                      <w:i/>
                    </w:rPr>
                  </m:ctrlPr>
                </m:barPr>
                <m:e>
                  <m:r>
                    <w:rPr>
                      <w:rFonts w:ascii="Cambria Math" w:hAnsi="Cambria Math"/>
                    </w:rPr>
                    <m:t>x</m:t>
                  </m:r>
                </m:e>
              </m:bar>
            </m:e>
          </m:d>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x</m:t>
                      </m:r>
                    </m:e>
                  </m:bar>
                </m:e>
                <m:e>
                  <m:r>
                    <w:rPr>
                      <w:rFonts w:ascii="Cambria Math" w:hAnsi="Cambria Math"/>
                    </w:rPr>
                    <m:t>θ</m:t>
                  </m:r>
                </m:e>
              </m:d>
            </m:num>
            <m:den>
              <m:nary>
                <m:naryPr>
                  <m:supHide m:val="1"/>
                  <m:ctrlPr>
                    <w:rPr>
                      <w:rFonts w:ascii="Cambria Math" w:hAnsi="Cambria Math"/>
                      <w:i/>
                    </w:rPr>
                  </m:ctrlPr>
                </m:naryPr>
                <m:sub>
                  <m:r>
                    <m:rPr>
                      <m:sty m:val="p"/>
                    </m:rPr>
                    <w:rPr>
                      <w:rFonts w:ascii="Cambria Math" w:hAnsi="Cambria Math"/>
                    </w:rPr>
                    <m:t>Θ</m:t>
                  </m:r>
                </m:sub>
                <m:sup/>
                <m:e>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x</m:t>
                          </m:r>
                        </m:e>
                      </m:bar>
                    </m:e>
                    <m:e>
                      <m:r>
                        <w:rPr>
                          <w:rFonts w:ascii="Cambria Math" w:hAnsi="Cambria Math"/>
                        </w:rPr>
                        <m:t>θ</m:t>
                      </m:r>
                    </m:e>
                  </m:d>
                  <m:r>
                    <w:rPr>
                      <w:rFonts w:ascii="Cambria Math" w:hAnsi="Cambria Math"/>
                    </w:rPr>
                    <m:t>dθ</m:t>
                  </m:r>
                </m:e>
              </m:nary>
            </m:den>
          </m:f>
          <m:r>
            <w:rPr>
              <w:rFonts w:ascii="Cambria Math" w:hAnsi="Cambria Math"/>
            </w:rPr>
            <m:t xml:space="preserve"> </m:t>
          </m:r>
        </m:oMath>
      </m:oMathPara>
    </w:p>
    <w:p w14:paraId="1147F126" w14:textId="77777777" w:rsidR="00914C22" w:rsidRDefault="004A631E" w:rsidP="00EC64AD">
      <w:pPr>
        <w:ind w:left="360"/>
      </w:pPr>
      <w:r>
        <w:t xml:space="preserve">From there we can estimate </w:t>
      </w:r>
      <m:oMath>
        <m:r>
          <w:rPr>
            <w:rFonts w:ascii="Cambria Math" w:hAnsi="Cambria Math"/>
          </w:rPr>
          <m:t>θ</m:t>
        </m:r>
      </m:oMath>
      <w:r>
        <w:t xml:space="preserve"> with </w:t>
      </w:r>
      <m:oMath>
        <m:acc>
          <m:accPr>
            <m:ctrlPr>
              <w:rPr>
                <w:rFonts w:ascii="Cambria Math" w:hAnsi="Cambria Math"/>
                <w:i/>
              </w:rPr>
            </m:ctrlPr>
          </m:accPr>
          <m:e>
            <m:r>
              <w:rPr>
                <w:rFonts w:ascii="Cambria Math" w:hAnsi="Cambria Math"/>
              </w:rPr>
              <m:t>θ</m:t>
            </m:r>
          </m:e>
        </m:acc>
      </m:oMath>
      <w:r>
        <w:t xml:space="preserve"> which maximizes the posterior density.</w:t>
      </w:r>
    </w:p>
    <w:p w14:paraId="0FFAFC53" w14:textId="77777777" w:rsidR="004A631E" w:rsidRDefault="004A631E"/>
    <w:p w14:paraId="2AAEB480" w14:textId="77777777" w:rsidR="00AE2E72" w:rsidRDefault="00AE2E72"/>
    <w:p w14:paraId="0B4F5CC2" w14:textId="77777777" w:rsidR="00AE2E72" w:rsidRDefault="00AE2E72"/>
    <w:p w14:paraId="7EA6322C" w14:textId="77777777" w:rsidR="00AE2E72" w:rsidRDefault="00AE2E72"/>
    <w:p w14:paraId="48DFCEED" w14:textId="77777777" w:rsidR="004A631E" w:rsidRDefault="004A631E" w:rsidP="004A631E">
      <w:pPr>
        <w:pStyle w:val="Heading1"/>
      </w:pPr>
      <w:r>
        <w:lastRenderedPageBreak/>
        <w:t>Model</w:t>
      </w:r>
    </w:p>
    <w:p w14:paraId="4D122733" w14:textId="77777777" w:rsidR="00EC64AD" w:rsidRPr="00EC64AD" w:rsidRDefault="00EC64AD" w:rsidP="00EC64AD"/>
    <w:p w14:paraId="4C76A5D8" w14:textId="77777777" w:rsidR="004A631E" w:rsidRDefault="00EC64AD" w:rsidP="004A631E">
      <w:pPr>
        <w:pStyle w:val="Heading2"/>
        <w:numPr>
          <w:ilvl w:val="0"/>
          <w:numId w:val="1"/>
        </w:numPr>
      </w:pPr>
      <w:r>
        <w:t>Stock return</w:t>
      </w:r>
    </w:p>
    <w:p w14:paraId="7EC532E5" w14:textId="77777777" w:rsidR="00864E05" w:rsidRDefault="00864E05" w:rsidP="00EC64AD">
      <w:pPr>
        <w:ind w:left="360"/>
      </w:pPr>
    </w:p>
    <w:p w14:paraId="6E3E7CD1" w14:textId="77777777" w:rsidR="00EC64AD" w:rsidRDefault="0001103A" w:rsidP="00EC64AD">
      <w:pPr>
        <w:ind w:left="360"/>
      </w:pPr>
      <w:r>
        <w:t xml:space="preserve">The return on stock </w:t>
      </w:r>
      <w:r w:rsidR="00CA1102">
        <w:t xml:space="preserve">from time </w:t>
      </w:r>
      <m:oMath>
        <m:r>
          <w:rPr>
            <w:rFonts w:ascii="Cambria Math" w:hAnsi="Cambria Math"/>
          </w:rPr>
          <m:t>t=0</m:t>
        </m:r>
      </m:oMath>
      <w:r w:rsidR="00CA1102">
        <w:t xml:space="preserve"> to </w:t>
      </w:r>
      <w:proofErr w:type="gramStart"/>
      <w:r w:rsidR="00CA1102">
        <w:t xml:space="preserve">time </w:t>
      </w:r>
      <w:proofErr w:type="gramEnd"/>
      <m:oMath>
        <m:r>
          <w:rPr>
            <w:rFonts w:ascii="Cambria Math" w:hAnsi="Cambria Math"/>
          </w:rPr>
          <m:t>t=T</m:t>
        </m:r>
      </m:oMath>
      <w:r w:rsidR="00CA1102">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CA1102">
        <w:t>,</w:t>
      </w:r>
      <w:r>
        <w:t xml:space="preserve"> follows a normal distribution </w:t>
      </w:r>
      <m:oMath>
        <m:r>
          <w:rPr>
            <w:rFonts w:ascii="Cambria Math" w:hAnsi="Cambria Math"/>
          </w:rPr>
          <m:t>N</m:t>
        </m:r>
        <m:d>
          <m:dPr>
            <m:ctrlPr>
              <w:rPr>
                <w:rFonts w:ascii="Cambria Math" w:hAnsi="Cambria Math"/>
                <w:i/>
              </w:rPr>
            </m:ctrlPr>
          </m:dPr>
          <m:e>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T,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e>
        </m:d>
      </m:oMath>
      <w:r w:rsidR="00535BC8">
        <w:t xml:space="preserve">. Taking period to be </w:t>
      </w: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m:t>
            </m:r>
          </m:den>
        </m:f>
      </m:oMath>
      <w:r w:rsidR="00FD14D0">
        <w:t xml:space="preserve"> (1 month</w:t>
      </w:r>
      <w:r w:rsidR="00535BC8">
        <w:t xml:space="preserve">), </w:t>
      </w:r>
      <w:r w:rsidR="007A4310">
        <w:t xml:space="preserve">we have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~iid N</m:t>
        </m:r>
        <m:d>
          <m:dPr>
            <m:ctrlPr>
              <w:rPr>
                <w:rFonts w:ascii="Cambria Math" w:hAnsi="Cambria Math"/>
                <w:i/>
              </w:rPr>
            </m:ctrlPr>
          </m:dPr>
          <m:e>
            <m:f>
              <m:fPr>
                <m:ctrlPr>
                  <w:rPr>
                    <w:rFonts w:ascii="Cambria Math" w:hAnsi="Cambria Math"/>
                    <w:i/>
                  </w:rPr>
                </m:ctrlPr>
              </m:fPr>
              <m:num>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12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12</m:t>
                </m:r>
              </m:den>
            </m:f>
          </m:e>
        </m:d>
        <m:r>
          <w:rPr>
            <w:rFonts w:ascii="Cambria Math" w:hAnsi="Cambria Math"/>
          </w:rPr>
          <m:t>.</m:t>
        </m:r>
      </m:oMath>
      <w:r w:rsidR="007A4310">
        <w:t xml:space="preserve"> Note that “iid” means “independently and identically distributed”, and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oMath>
      <w:r w:rsidR="007A4310">
        <w:t xml:space="preserve"> is the return on the </w:t>
      </w:r>
      <m:oMath>
        <m:r>
          <w:rPr>
            <w:rFonts w:ascii="Cambria Math" w:hAnsi="Cambria Math"/>
          </w:rPr>
          <m:t>t</m:t>
        </m:r>
      </m:oMath>
      <w:r w:rsidR="007A4310">
        <w:t>-</w:t>
      </w:r>
      <w:proofErr w:type="gramStart"/>
      <w:r w:rsidR="007A4310">
        <w:t>th</w:t>
      </w:r>
      <w:proofErr w:type="gramEnd"/>
      <w:r w:rsidR="007A4310">
        <w:rPr>
          <w:vertAlign w:val="superscript"/>
        </w:rPr>
        <w:t xml:space="preserve"> </w:t>
      </w:r>
      <w:r w:rsidR="00406BAE">
        <w:t>month</w:t>
      </w:r>
      <w:r w:rsidR="007A4310">
        <w:t>.</w:t>
      </w:r>
    </w:p>
    <w:p w14:paraId="6E47410E" w14:textId="77777777" w:rsidR="007A4310" w:rsidRDefault="007A4310" w:rsidP="00EC64AD">
      <w:pPr>
        <w:ind w:left="360"/>
      </w:pPr>
      <w:r>
        <w:t xml:space="preserve">Taking </w:t>
      </w:r>
      <m:oMath>
        <m:r>
          <w:rPr>
            <w:rFonts w:ascii="Cambria Math" w:hAnsi="Cambria Math"/>
          </w:rPr>
          <m:t>μ=</m:t>
        </m:r>
        <m:f>
          <m:fPr>
            <m:ctrlPr>
              <w:rPr>
                <w:rFonts w:ascii="Cambria Math" w:hAnsi="Cambria Math"/>
                <w:i/>
              </w:rPr>
            </m:ctrlPr>
          </m:fPr>
          <m:num>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12</m:t>
            </m:r>
          </m:den>
        </m:f>
      </m:oMath>
      <w:r>
        <w:t xml:space="preserve"> </w:t>
      </w:r>
      <w:proofErr w:type="gramStart"/>
      <w:r>
        <w:t xml:space="preserve">and </w:t>
      </w:r>
      <w:proofErr w:type="gramEnd"/>
      <m:oMath>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12</m:t>
            </m:r>
          </m:den>
        </m:f>
      </m:oMath>
      <w:r>
        <w:t xml:space="preserve">, we have </w:t>
      </w:r>
    </w:p>
    <w:p w14:paraId="3E979BEA" w14:textId="77777777" w:rsidR="007A4310" w:rsidRDefault="007A4310" w:rsidP="00EC64AD">
      <w:pPr>
        <w:ind w:left="360"/>
      </w:pPr>
      <m:oMathPara>
        <m:oMath>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r</m:t>
                  </m:r>
                </m:e>
              </m:bar>
            </m:e>
            <m:e>
              <m:r>
                <w:rPr>
                  <w:rFonts w:ascii="Cambria Math" w:hAnsi="Cambria Math"/>
                </w:rPr>
                <m:t>α, σ</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 ν)</m:t>
              </m:r>
            </m:e>
          </m:nary>
        </m:oMath>
      </m:oMathPara>
    </w:p>
    <w:p w14:paraId="59453427" w14:textId="77777777" w:rsidR="007A4310" w:rsidRDefault="007A4310" w:rsidP="00EC64AD">
      <w:pPr>
        <w:ind w:left="360"/>
      </w:pPr>
      <w:r>
        <w:t>Where</w:t>
      </w:r>
    </w:p>
    <w:p w14:paraId="4EEE9555" w14:textId="77777777" w:rsidR="008E2988" w:rsidRPr="00864E05" w:rsidRDefault="007A4310" w:rsidP="008E2988">
      <w:pPr>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e>
              <m:r>
                <w:rPr>
                  <w:rFonts w:ascii="Cambria Math" w:hAnsi="Cambria Math"/>
                </w:rPr>
                <m:t>μ, ν</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ν</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sup>
          </m:sSup>
        </m:oMath>
      </m:oMathPara>
    </w:p>
    <w:p w14:paraId="31E3BD90" w14:textId="77777777" w:rsidR="00864E05" w:rsidRPr="00864E05" w:rsidRDefault="00864E05" w:rsidP="00EC64AD">
      <w:pPr>
        <w:ind w:left="360"/>
      </w:pPr>
    </w:p>
    <w:p w14:paraId="08EC156F" w14:textId="77777777" w:rsidR="00864E05" w:rsidRDefault="00864E05" w:rsidP="00864E05">
      <w:pPr>
        <w:pStyle w:val="Heading2"/>
        <w:numPr>
          <w:ilvl w:val="0"/>
          <w:numId w:val="1"/>
        </w:numPr>
      </w:pPr>
      <w:r>
        <w:t>Formulate prior distribution from analyst report</w:t>
      </w:r>
    </w:p>
    <w:p w14:paraId="63FEE7D0" w14:textId="77777777" w:rsidR="00864E05" w:rsidRDefault="00864E05" w:rsidP="00864E05">
      <w:pPr>
        <w:ind w:left="360"/>
      </w:pPr>
    </w:p>
    <w:p w14:paraId="45100202" w14:textId="77777777" w:rsidR="00D92EA3" w:rsidRPr="00D92EA3" w:rsidRDefault="00864E05" w:rsidP="00D92EA3">
      <w:pPr>
        <w:ind w:left="360"/>
      </w:pPr>
      <w:r>
        <w:t>On analyst report, they usually specify the target pr</w:t>
      </w:r>
      <w:r w:rsidR="00D92EA3">
        <w:t xml:space="preserve">ice at one year later. We can take that number as their belief of the expected stock price </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D92EA3">
        <w:t xml:space="preserve"> </w:t>
      </w:r>
      <w:proofErr w:type="gramStart"/>
      <w:r w:rsidR="00D92EA3">
        <w:t xml:space="preserve">at </w:t>
      </w:r>
      <w:proofErr w:type="gramEnd"/>
      <m:oMath>
        <m:r>
          <w:rPr>
            <w:rFonts w:ascii="Cambria Math" w:hAnsi="Cambria Math"/>
          </w:rPr>
          <m:t>T=1</m:t>
        </m:r>
      </m:oMath>
      <w:r w:rsidR="00D92EA3">
        <w:t xml:space="preserve">. </w:t>
      </w:r>
      <w:proofErr w:type="gramStart"/>
      <w:r w:rsidR="00D92EA3">
        <w:t>Which implies that</w:t>
      </w:r>
      <w:proofErr w:type="gramEnd"/>
      <w:r w:rsidR="00D92EA3">
        <w:t xml:space="preserve"> </w:t>
      </w:r>
    </w:p>
    <w:p w14:paraId="1229F2B4" w14:textId="77777777" w:rsidR="00D92EA3" w:rsidRPr="00D92EA3" w:rsidRDefault="006B58F0" w:rsidP="00D92EA3">
      <w:pPr>
        <w:ind w:left="360"/>
      </w:pPr>
      <m:oMathPara>
        <m:oMath>
          <m:acc>
            <m:accPr>
              <m:ctrlPr>
                <w:rPr>
                  <w:rFonts w:ascii="Cambria Math" w:hAnsi="Cambria Math"/>
                  <w:i/>
                </w:rPr>
              </m:ctrlPr>
            </m:accPr>
            <m:e>
              <m:r>
                <w:rPr>
                  <w:rFonts w:ascii="Cambria Math" w:hAnsi="Cambria Math"/>
                </w:rPr>
                <m:t>α</m:t>
              </m:r>
            </m:e>
          </m:ac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num>
                    <m:den>
                      <m:sSub>
                        <m:sSubPr>
                          <m:ctrlPr>
                            <w:rPr>
                              <w:rFonts w:ascii="Cambria Math" w:hAnsi="Cambria Math"/>
                              <w:i/>
                            </w:rPr>
                          </m:ctrlPr>
                        </m:sSubPr>
                        <m:e>
                          <m:r>
                            <w:rPr>
                              <w:rFonts w:ascii="Cambria Math" w:hAnsi="Cambria Math"/>
                            </w:rPr>
                            <m:t>S</m:t>
                          </m:r>
                        </m:e>
                        <m:sub>
                          <m:r>
                            <w:rPr>
                              <w:rFonts w:ascii="Cambria Math" w:hAnsi="Cambria Math"/>
                            </w:rPr>
                            <m:t>0</m:t>
                          </m:r>
                        </m:sub>
                      </m:sSub>
                    </m:den>
                  </m:f>
                </m:e>
              </m:d>
            </m:e>
          </m:func>
        </m:oMath>
      </m:oMathPara>
    </w:p>
    <w:p w14:paraId="6E508D0C" w14:textId="192AE8E2" w:rsidR="00C60274" w:rsidRDefault="00D92EA3" w:rsidP="001B7510">
      <w:pPr>
        <w:ind w:left="360"/>
      </w:pPr>
      <w:r>
        <w:t xml:space="preserve">However, to turn the point belief into a density, </w:t>
      </w:r>
      <w:r w:rsidR="009C089D">
        <w:t xml:space="preserve">it is reasonable to assume that the return follow a normal distribution centered </w:t>
      </w:r>
      <w:proofErr w:type="gramStart"/>
      <w:r w:rsidR="009C089D">
        <w:t xml:space="preserve">at </w:t>
      </w:r>
      <w:proofErr w:type="gramEnd"/>
      <m:oMath>
        <m:acc>
          <m:accPr>
            <m:ctrlPr>
              <w:rPr>
                <w:rFonts w:ascii="Cambria Math" w:hAnsi="Cambria Math"/>
                <w:i/>
              </w:rPr>
            </m:ctrlPr>
          </m:accPr>
          <m:e>
            <m:r>
              <w:rPr>
                <w:rFonts w:ascii="Cambria Math" w:hAnsi="Cambria Math"/>
              </w:rPr>
              <m:t>α</m:t>
            </m:r>
          </m:e>
        </m:acc>
      </m:oMath>
      <w:r w:rsidR="009C089D" w:rsidRPr="001B7510">
        <w:t>.</w:t>
      </w:r>
      <w:r w:rsidR="009C089D" w:rsidRPr="001B7510">
        <w:rPr>
          <w:color w:val="FF0000"/>
        </w:rPr>
        <w:t xml:space="preserve"> </w:t>
      </w:r>
      <w:commentRangeStart w:id="0"/>
      <w:commentRangeStart w:id="1"/>
      <w:r w:rsidR="009C089D" w:rsidRPr="001B7510">
        <w:rPr>
          <w:color w:val="FF0000"/>
        </w:rPr>
        <w:t xml:space="preserve">As for variance, </w:t>
      </w:r>
      <w:r w:rsidR="001B7510" w:rsidRPr="001B7510">
        <w:rPr>
          <w:color w:val="FF0000"/>
        </w:rPr>
        <w:t>before we obtain any more information, we would assume that</w:t>
      </w:r>
      <w:r w:rsidR="00564577">
        <w:rPr>
          <w:color w:val="FF0000"/>
        </w:rPr>
        <w:t xml:space="preserve"> we are 6</w:t>
      </w:r>
      <w:r w:rsidR="009C089D" w:rsidRPr="001B7510">
        <w:rPr>
          <w:color w:val="FF0000"/>
        </w:rPr>
        <w:t>0% sure that we won’t lose anything</w:t>
      </w:r>
      <w:commentRangeEnd w:id="0"/>
      <w:r w:rsidR="00406BAE">
        <w:rPr>
          <w:rStyle w:val="CommentReference"/>
        </w:rPr>
        <w:commentReference w:id="0"/>
      </w:r>
      <w:commentRangeEnd w:id="1"/>
      <w:r w:rsidR="00C01315">
        <w:rPr>
          <w:rStyle w:val="CommentReference"/>
        </w:rPr>
        <w:commentReference w:id="1"/>
      </w:r>
      <w:r w:rsidR="009C089D">
        <w:t xml:space="preserve">, and that </w:t>
      </w:r>
      <w:proofErr w:type="gramStart"/>
      <w:r w:rsidR="009C089D">
        <w:t xml:space="preserve">gives </w:t>
      </w:r>
      <w:proofErr w:type="gramEnd"/>
      <m:oMath>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m:t>
                </m:r>
                <m:acc>
                  <m:accPr>
                    <m:ctrlPr>
                      <w:rPr>
                        <w:rFonts w:ascii="Cambria Math" w:hAnsi="Cambria Math"/>
                        <w:i/>
                      </w:rPr>
                    </m:ctrlPr>
                  </m:accPr>
                  <m:e>
                    <m:r>
                      <w:rPr>
                        <w:rFonts w:ascii="Cambria Math" w:hAnsi="Cambria Math"/>
                      </w:rPr>
                      <m:t>α</m:t>
                    </m:r>
                  </m:e>
                </m:acc>
              </m:num>
              <m:den>
                <m:sSub>
                  <m:sSubPr>
                    <m:ctrlPr>
                      <w:rPr>
                        <w:rFonts w:ascii="Cambria Math" w:hAnsi="Cambria Math"/>
                        <w:i/>
                      </w:rPr>
                    </m:ctrlPr>
                  </m:sSubPr>
                  <m:e>
                    <m:r>
                      <w:rPr>
                        <w:rFonts w:ascii="Cambria Math" w:hAnsi="Cambria Math"/>
                      </w:rPr>
                      <m:t>σ</m:t>
                    </m:r>
                  </m:e>
                  <m:sub>
                    <m:r>
                      <w:rPr>
                        <w:rFonts w:ascii="Cambria Math" w:hAnsi="Cambria Math"/>
                      </w:rPr>
                      <m:t>α</m:t>
                    </m:r>
                  </m:sub>
                </m:sSub>
              </m:den>
            </m:f>
          </m:e>
        </m:d>
        <m:r>
          <w:rPr>
            <w:rFonts w:ascii="Cambria Math" w:hAnsi="Cambria Math"/>
          </w:rPr>
          <m:t>=0.4</m:t>
        </m:r>
      </m:oMath>
      <w:r w:rsidR="001B7510">
        <w:t xml:space="preserve">, from which we can calculate </w:t>
      </w:r>
      <m:oMath>
        <m:sSub>
          <m:sSubPr>
            <m:ctrlPr>
              <w:rPr>
                <w:rFonts w:ascii="Cambria Math" w:hAnsi="Cambria Math"/>
                <w:i/>
              </w:rPr>
            </m:ctrlPr>
          </m:sSubPr>
          <m:e>
            <m:r>
              <w:rPr>
                <w:rFonts w:ascii="Cambria Math" w:hAnsi="Cambria Math"/>
              </w:rPr>
              <m:t>σ</m:t>
            </m:r>
          </m:e>
          <m:sub>
            <m:r>
              <w:rPr>
                <w:rFonts w:ascii="Cambria Math" w:hAnsi="Cambria Math"/>
              </w:rPr>
              <m:t>α</m:t>
            </m:r>
          </m:sub>
        </m:sSub>
      </m:oMath>
      <w:r w:rsidR="001B7510">
        <w:t xml:space="preserve">. Then we have </w:t>
      </w:r>
    </w:p>
    <w:p w14:paraId="23400544" w14:textId="75D8EB4B" w:rsidR="001B7510" w:rsidRPr="00C60274" w:rsidRDefault="001B7510" w:rsidP="001B7510">
      <w:pPr>
        <w:ind w:left="360"/>
      </w:pPr>
      <m:oMathPara>
        <m:oMath>
          <m:r>
            <w:rPr>
              <w:rFonts w:ascii="Cambria Math" w:hAnsi="Cambria Math"/>
            </w:rPr>
            <m:t>α~N</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e>
                  </m:d>
                </m:e>
              </m:fun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α</m:t>
                              </m:r>
                            </m:e>
                          </m:acc>
                        </m:num>
                        <m:den>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0.4</m:t>
                              </m:r>
                            </m:e>
                          </m:d>
                        </m:den>
                      </m:f>
                    </m:e>
                  </m:d>
                </m:e>
                <m:sup>
                  <m:r>
                    <w:rPr>
                      <w:rFonts w:ascii="Cambria Math" w:hAnsi="Cambria Math"/>
                    </w:rPr>
                    <m:t>2</m:t>
                  </m:r>
                </m:sup>
              </m:sSup>
            </m:e>
          </m:d>
        </m:oMath>
      </m:oMathPara>
      <w:bookmarkStart w:id="2" w:name="_GoBack"/>
      <w:bookmarkEnd w:id="2"/>
    </w:p>
    <w:p w14:paraId="6A16B793" w14:textId="77777777" w:rsidR="00C60274" w:rsidRPr="00C60274" w:rsidRDefault="00C60274" w:rsidP="001B7510">
      <w:pPr>
        <w:ind w:left="360"/>
      </w:pPr>
      <w:proofErr w:type="gramStart"/>
      <w:r>
        <w:t>and</w:t>
      </w:r>
      <w:proofErr w:type="gramEnd"/>
    </w:p>
    <w:p w14:paraId="048D7340" w14:textId="77777777" w:rsidR="00C60274" w:rsidRDefault="00C60274" w:rsidP="001B7510">
      <w:pPr>
        <w:ind w:left="360"/>
      </w:pPr>
      <m:oMathPara>
        <m:oMath>
          <m:r>
            <w:rPr>
              <w:rFonts w:ascii="Cambria Math" w:hAnsi="Cambria Math"/>
            </w:rPr>
            <m:t>π</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α</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α-</m:t>
                          </m:r>
                          <m:acc>
                            <m:accPr>
                              <m:ctrlPr>
                                <w:rPr>
                                  <w:rFonts w:ascii="Cambria Math" w:hAnsi="Cambria Math"/>
                                  <w:i/>
                                </w:rPr>
                              </m:ctrlPr>
                            </m:accPr>
                            <m:e>
                              <m:r>
                                <w:rPr>
                                  <w:rFonts w:ascii="Cambria Math" w:hAnsi="Cambria Math"/>
                                </w:rPr>
                                <m:t>a</m:t>
                              </m:r>
                            </m:e>
                          </m:acc>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den>
              </m:f>
            </m:sup>
          </m:sSup>
        </m:oMath>
      </m:oMathPara>
    </w:p>
    <w:p w14:paraId="418B007E" w14:textId="77777777" w:rsidR="001B7510" w:rsidRDefault="001B7510" w:rsidP="001B7510">
      <w:pPr>
        <w:ind w:left="360"/>
      </w:pPr>
      <w:r>
        <w:lastRenderedPageBreak/>
        <w:t>The analyst report itself d</w:t>
      </w:r>
      <w:r w:rsidR="00C60274">
        <w:t>id not provide any information regarding the volatility of the stock, so we need to estimate the volatility using other methods.</w:t>
      </w:r>
    </w:p>
    <w:p w14:paraId="0C9EBBFE" w14:textId="77777777" w:rsidR="00C60274" w:rsidRDefault="00C60274" w:rsidP="001B7510">
      <w:pPr>
        <w:ind w:left="360"/>
      </w:pPr>
    </w:p>
    <w:p w14:paraId="409EA710" w14:textId="77777777" w:rsidR="00C60274" w:rsidRDefault="00C60274" w:rsidP="00BD6516">
      <w:pPr>
        <w:pStyle w:val="Heading2"/>
        <w:numPr>
          <w:ilvl w:val="0"/>
          <w:numId w:val="1"/>
        </w:numPr>
      </w:pPr>
      <w:r>
        <w:t>Regression of stock volatility on VIX</w:t>
      </w:r>
    </w:p>
    <w:p w14:paraId="217BD599" w14:textId="77777777" w:rsidR="00C60274" w:rsidRDefault="00C60274" w:rsidP="00D92EA3">
      <w:pPr>
        <w:ind w:left="360"/>
      </w:pPr>
    </w:p>
    <w:p w14:paraId="26BE1EAF" w14:textId="77777777" w:rsidR="00C60274" w:rsidRDefault="00C60274" w:rsidP="00D92EA3">
      <w:pPr>
        <w:ind w:left="360"/>
      </w:pPr>
      <w:r>
        <w:t>In order to determine the current stock volatility, firstly we note that it is inappropriate to use the estimated volatility from the past few years, since the volatility was very low during those years in the market as a whole. So instead, we would like to use</w:t>
      </w:r>
      <w:commentRangeStart w:id="3"/>
      <w:r>
        <w:t xml:space="preserve"> VIX </w:t>
      </w:r>
      <w:commentRangeEnd w:id="3"/>
      <w:r w:rsidR="00C01315">
        <w:rPr>
          <w:rStyle w:val="CommentReference"/>
        </w:rPr>
        <w:commentReference w:id="3"/>
      </w:r>
      <w:r>
        <w:t xml:space="preserve">as </w:t>
      </w:r>
      <w:proofErr w:type="gramStart"/>
      <w:r>
        <w:t>a guidance</w:t>
      </w:r>
      <w:proofErr w:type="gramEnd"/>
      <w:r>
        <w:t xml:space="preserve"> to estimate the current volatility of the stock.</w:t>
      </w:r>
    </w:p>
    <w:p w14:paraId="66ABD9B7" w14:textId="77777777" w:rsidR="00C60274" w:rsidRDefault="0099593A" w:rsidP="00D92EA3">
      <w:pPr>
        <w:ind w:left="360"/>
      </w:pPr>
      <w:r>
        <w:t xml:space="preserve">We use linear </w:t>
      </w:r>
      <w:r w:rsidR="00C60274">
        <w:t>regression:</w:t>
      </w:r>
    </w:p>
    <w:p w14:paraId="69CC3FE2" w14:textId="77777777" w:rsidR="00C60274" w:rsidRPr="00C60274" w:rsidRDefault="0099593A" w:rsidP="00D92EA3">
      <w:pPr>
        <w:ind w:left="360"/>
      </w:pPr>
      <m:oMathPara>
        <m:oMath>
          <m:r>
            <w:rPr>
              <w:rFonts w:ascii="Cambria Math" w:hAnsi="Cambria Math"/>
            </w:rPr>
            <m:t>σ=</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VIX+ϵ, where ϵ~N(0, </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oMath>
      </m:oMathPara>
    </w:p>
    <w:p w14:paraId="5BBBAB59" w14:textId="77777777" w:rsidR="0099593A" w:rsidRDefault="00AE2E72" w:rsidP="0099593A">
      <w:pPr>
        <w:ind w:left="360"/>
      </w:pPr>
      <w:r>
        <w:t xml:space="preserve">Then we will plug in the current VIX to obtain the stock </w:t>
      </w:r>
      <w:proofErr w:type="gramStart"/>
      <w:r>
        <w:t>volatility</w:t>
      </w:r>
      <w:r w:rsidR="0099593A">
        <w:t xml:space="preserve"> </w:t>
      </w:r>
      <w:proofErr w:type="gramEnd"/>
      <m:oMath>
        <m:acc>
          <m:accPr>
            <m:ctrlPr>
              <w:rPr>
                <w:rFonts w:ascii="Cambria Math" w:hAnsi="Cambria Math"/>
                <w:i/>
              </w:rPr>
            </m:ctrlPr>
          </m:accPr>
          <m:e>
            <m:r>
              <w:rPr>
                <w:rFonts w:ascii="Cambria Math" w:hAnsi="Cambria Math"/>
              </w:rPr>
              <m:t>σ</m:t>
            </m:r>
          </m:e>
        </m:acc>
      </m:oMath>
      <w:r>
        <w:t xml:space="preserve">. </w:t>
      </w:r>
    </w:p>
    <w:p w14:paraId="49A964E6" w14:textId="77777777" w:rsidR="00AE2E72" w:rsidRDefault="00AE2E72" w:rsidP="00AE2E72"/>
    <w:p w14:paraId="0290B728" w14:textId="77777777" w:rsidR="00AE2E72" w:rsidRDefault="00BD6516" w:rsidP="00BD6516">
      <w:pPr>
        <w:pStyle w:val="Heading2"/>
        <w:numPr>
          <w:ilvl w:val="0"/>
          <w:numId w:val="1"/>
        </w:numPr>
      </w:pPr>
      <w:r>
        <w:t xml:space="preserve">Posterior density of </w:t>
      </w:r>
      <w:r w:rsidR="008E2988">
        <w:t>return rate</w:t>
      </w:r>
    </w:p>
    <w:p w14:paraId="04CF26B8" w14:textId="77777777" w:rsidR="008E2988" w:rsidRDefault="008E2988" w:rsidP="008E2988"/>
    <w:p w14:paraId="1A0D0244" w14:textId="77777777" w:rsidR="008E2988" w:rsidRDefault="008E2988" w:rsidP="008E2988">
      <w:pPr>
        <w:ind w:left="360"/>
      </w:pPr>
      <w:r>
        <w:t xml:space="preserve">Using the likelihood function and prior density </w:t>
      </w:r>
      <w:proofErr w:type="gramStart"/>
      <w:r>
        <w:t xml:space="preserve">for </w:t>
      </w:r>
      <w:proofErr w:type="gramEnd"/>
      <m:oMath>
        <m:r>
          <w:rPr>
            <w:rFonts w:ascii="Cambria Math" w:hAnsi="Cambria Math"/>
          </w:rPr>
          <m:t>α</m:t>
        </m:r>
      </m:oMath>
      <w:r>
        <w:t xml:space="preserve">, we can formulate the posterior density for </w:t>
      </w:r>
      <m:oMath>
        <m:r>
          <w:rPr>
            <w:rFonts w:ascii="Cambria Math" w:hAnsi="Cambria Math"/>
          </w:rPr>
          <m:t>α</m:t>
        </m:r>
      </m:oMath>
      <w:r>
        <w:t xml:space="preserve"> as:</w:t>
      </w:r>
    </w:p>
    <w:p w14:paraId="001CB5A0" w14:textId="24608945" w:rsidR="00895C22" w:rsidRPr="00895C22" w:rsidRDefault="008E2988" w:rsidP="008E2988">
      <w:pPr>
        <w:ind w:left="360"/>
      </w:pPr>
      <m:oMathPara>
        <m:oMath>
          <m:r>
            <w:rPr>
              <w:rFonts w:ascii="Cambria Math" w:hAnsi="Cambria Math"/>
            </w:rPr>
            <m:t>π</m:t>
          </m:r>
          <m:d>
            <m:dPr>
              <m:ctrlPr>
                <w:rPr>
                  <w:rFonts w:ascii="Cambria Math" w:hAnsi="Cambria Math"/>
                  <w:i/>
                </w:rPr>
              </m:ctrlPr>
            </m:dPr>
            <m:e>
              <m:r>
                <w:rPr>
                  <w:rFonts w:ascii="Cambria Math" w:hAnsi="Cambria Math"/>
                </w:rPr>
                <m:t>α</m:t>
              </m:r>
            </m:e>
            <m:e>
              <m:bar>
                <m:barPr>
                  <m:ctrlPr>
                    <w:rPr>
                      <w:rFonts w:ascii="Cambria Math" w:hAnsi="Cambria Math"/>
                      <w:i/>
                    </w:rPr>
                  </m:ctrlPr>
                </m:barPr>
                <m:e>
                  <m:r>
                    <w:rPr>
                      <w:rFonts w:ascii="Cambria Math" w:hAnsi="Cambria Math"/>
                    </w:rPr>
                    <m:t>r</m:t>
                  </m:r>
                </m:e>
              </m:bar>
              <m:r>
                <w:rPr>
                  <w:rFonts w:ascii="Cambria Math" w:hAnsi="Cambria Math"/>
                </w:rPr>
                <m:t xml:space="preserve">, </m:t>
              </m:r>
              <m:acc>
                <m:accPr>
                  <m:ctrlPr>
                    <w:rPr>
                      <w:rFonts w:ascii="Cambria Math" w:hAnsi="Cambria Math"/>
                      <w:i/>
                    </w:rPr>
                  </m:ctrlPr>
                </m:accPr>
                <m:e>
                  <m:r>
                    <w:rPr>
                      <w:rFonts w:ascii="Cambria Math" w:hAnsi="Cambria Math"/>
                    </w:rPr>
                    <m:t>σ</m:t>
                  </m:r>
                </m:e>
              </m:acc>
            </m:e>
          </m:d>
          <m:r>
            <w:rPr>
              <w:rFonts w:ascii="Cambria Math" w:hAnsi="Cambria Math"/>
            </w:rPr>
            <m:t>=k</m:t>
          </m:r>
          <m:d>
            <m:dPr>
              <m:ctrlPr>
                <w:rPr>
                  <w:rFonts w:ascii="Cambria Math" w:hAnsi="Cambria Math"/>
                  <w:i/>
                </w:rPr>
              </m:ctrlPr>
            </m:dPr>
            <m:e>
              <m:bar>
                <m:barPr>
                  <m:ctrlPr>
                    <w:rPr>
                      <w:rFonts w:ascii="Cambria Math" w:hAnsi="Cambria Math"/>
                      <w:i/>
                    </w:rPr>
                  </m:ctrlPr>
                </m:barPr>
                <m:e>
                  <m:r>
                    <w:rPr>
                      <w:rFonts w:ascii="Cambria Math" w:hAnsi="Cambria Math"/>
                    </w:rPr>
                    <m:t>r</m:t>
                  </m:r>
                </m:e>
              </m:bar>
              <m:r>
                <w:rPr>
                  <w:rFonts w:ascii="Cambria Math" w:hAnsi="Cambria Math"/>
                </w:rPr>
                <m:t xml:space="preserve">, </m:t>
              </m:r>
              <m:acc>
                <m:accPr>
                  <m:ctrlPr>
                    <w:rPr>
                      <w:rFonts w:ascii="Cambria Math" w:hAnsi="Cambria Math"/>
                      <w:i/>
                    </w:rPr>
                  </m:ctrlPr>
                </m:accPr>
                <m:e>
                  <m:r>
                    <w:rPr>
                      <w:rFonts w:ascii="Cambria Math" w:hAnsi="Cambria Math"/>
                    </w:rPr>
                    <m:t>σ</m:t>
                  </m:r>
                </m:e>
              </m:acc>
            </m:e>
          </m:d>
          <m:r>
            <w:rPr>
              <w:rFonts w:ascii="Cambria Math" w:hAnsi="Cambria Math"/>
            </w:rPr>
            <m:t>⋅π</m:t>
          </m:r>
          <m:d>
            <m:dPr>
              <m:ctrlPr>
                <w:rPr>
                  <w:rFonts w:ascii="Cambria Math" w:hAnsi="Cambria Math"/>
                  <w:i/>
                </w:rPr>
              </m:ctrlPr>
            </m:dPr>
            <m:e>
              <m:r>
                <w:rPr>
                  <w:rFonts w:ascii="Cambria Math" w:hAnsi="Cambria Math"/>
                </w:rPr>
                <m:t>α</m:t>
              </m:r>
            </m:e>
          </m:d>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r</m:t>
                  </m:r>
                </m:e>
              </m:bar>
            </m:e>
            <m:e>
              <m:r>
                <w:rPr>
                  <w:rFonts w:ascii="Cambria Math" w:hAnsi="Cambria Math"/>
                </w:rPr>
                <m:t xml:space="preserve">α, </m:t>
              </m:r>
              <m:acc>
                <m:accPr>
                  <m:ctrlPr>
                    <w:rPr>
                      <w:rFonts w:ascii="Cambria Math" w:hAnsi="Cambria Math"/>
                      <w:i/>
                    </w:rPr>
                  </m:ctrlPr>
                </m:accPr>
                <m:e>
                  <m:r>
                    <w:rPr>
                      <w:rFonts w:ascii="Cambria Math" w:hAnsi="Cambria Math"/>
                    </w:rPr>
                    <m:t>σ</m:t>
                  </m:r>
                </m:e>
              </m:acc>
            </m:e>
          </m:d>
          <m:r>
            <w:rPr>
              <w:rFonts w:ascii="Cambria Math" w:hAnsi="Cambria Math"/>
            </w:rPr>
            <m:t>,  where</m:t>
          </m:r>
        </m:oMath>
      </m:oMathPara>
    </w:p>
    <w:p w14:paraId="687077ED" w14:textId="2BD4B802" w:rsidR="008E2988" w:rsidRPr="008E2988" w:rsidRDefault="00895C22" w:rsidP="008E2988">
      <w:pPr>
        <w:ind w:left="360"/>
      </w:pPr>
      <m:oMathPara>
        <m:oMath>
          <m:r>
            <w:rPr>
              <w:rFonts w:ascii="Cambria Math" w:hAnsi="Cambria Math"/>
            </w:rPr>
            <m:t>k</m:t>
          </m:r>
          <m:d>
            <m:dPr>
              <m:ctrlPr>
                <w:rPr>
                  <w:rFonts w:ascii="Cambria Math" w:hAnsi="Cambria Math"/>
                  <w:i/>
                </w:rPr>
              </m:ctrlPr>
            </m:dPr>
            <m:e>
              <m:bar>
                <m:barPr>
                  <m:ctrlPr>
                    <w:rPr>
                      <w:rFonts w:ascii="Cambria Math" w:hAnsi="Cambria Math"/>
                      <w:i/>
                    </w:rPr>
                  </m:ctrlPr>
                </m:barPr>
                <m:e>
                  <m:r>
                    <w:rPr>
                      <w:rFonts w:ascii="Cambria Math" w:hAnsi="Cambria Math"/>
                    </w:rPr>
                    <m:t>r</m:t>
                  </m:r>
                </m:e>
              </m:bar>
              <m:r>
                <w:rPr>
                  <w:rFonts w:ascii="Cambria Math" w:hAnsi="Cambria Math"/>
                </w:rPr>
                <m:t xml:space="preserve">, </m:t>
              </m:r>
              <m:acc>
                <m:accPr>
                  <m:ctrlPr>
                    <w:rPr>
                      <w:rFonts w:ascii="Cambria Math" w:hAnsi="Cambria Math"/>
                      <w:i/>
                    </w:rPr>
                  </m:ctrlPr>
                </m:accPr>
                <m:e>
                  <m:r>
                    <w:rPr>
                      <w:rFonts w:ascii="Cambria Math" w:hAnsi="Cambria Math"/>
                    </w:rPr>
                    <m:t>σ</m:t>
                  </m:r>
                </m:e>
              </m:acc>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π</m:t>
                      </m:r>
                      <m:d>
                        <m:dPr>
                          <m:ctrlPr>
                            <w:rPr>
                              <w:rFonts w:ascii="Cambria Math" w:hAnsi="Cambria Math"/>
                              <w:i/>
                            </w:rPr>
                          </m:ctrlPr>
                        </m:dPr>
                        <m:e>
                          <m:r>
                            <w:rPr>
                              <w:rFonts w:ascii="Cambria Math" w:hAnsi="Cambria Math"/>
                            </w:rPr>
                            <m:t>α</m:t>
                          </m:r>
                        </m:e>
                      </m:d>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r</m:t>
                              </m:r>
                            </m:e>
                          </m:bar>
                        </m:e>
                        <m:e>
                          <m:r>
                            <w:rPr>
                              <w:rFonts w:ascii="Cambria Math" w:hAnsi="Cambria Math"/>
                            </w:rPr>
                            <m:t xml:space="preserve">α, </m:t>
                          </m:r>
                          <m:acc>
                            <m:accPr>
                              <m:ctrlPr>
                                <w:rPr>
                                  <w:rFonts w:ascii="Cambria Math" w:hAnsi="Cambria Math"/>
                                  <w:i/>
                                </w:rPr>
                              </m:ctrlPr>
                            </m:accPr>
                            <m:e>
                              <m:r>
                                <w:rPr>
                                  <w:rFonts w:ascii="Cambria Math" w:hAnsi="Cambria Math"/>
                                </w:rPr>
                                <m:t>σ</m:t>
                              </m:r>
                            </m:e>
                          </m:acc>
                        </m:e>
                      </m:d>
                      <m:r>
                        <w:rPr>
                          <w:rFonts w:ascii="Cambria Math" w:hAnsi="Cambria Math"/>
                        </w:rPr>
                        <m:t xml:space="preserve"> dα</m:t>
                      </m:r>
                    </m:e>
                  </m:nary>
                </m:e>
              </m:d>
            </m:e>
            <m:sup>
              <m:r>
                <w:rPr>
                  <w:rFonts w:ascii="Cambria Math" w:hAnsi="Cambria Math"/>
                </w:rPr>
                <m:t>-1</m:t>
              </m:r>
            </m:sup>
          </m:sSup>
        </m:oMath>
      </m:oMathPara>
    </w:p>
    <w:p w14:paraId="3DB5BB85" w14:textId="77777777" w:rsidR="008E2988" w:rsidRDefault="008E2988" w:rsidP="008E2988">
      <w:pPr>
        <w:ind w:left="360"/>
      </w:pPr>
      <w:r>
        <w:t>Where</w:t>
      </w:r>
    </w:p>
    <w:p w14:paraId="7FE7A385" w14:textId="77777777" w:rsidR="008E2988" w:rsidRPr="00A628C7" w:rsidRDefault="008E2988" w:rsidP="008E2988">
      <w:pPr>
        <w:ind w:left="360"/>
      </w:pPr>
      <m:oMathPara>
        <m:oMath>
          <m:r>
            <w:rPr>
              <w:rFonts w:ascii="Cambria Math" w:hAnsi="Cambria Math"/>
            </w:rPr>
            <m:t>μ=</m:t>
          </m:r>
          <m:f>
            <m:fPr>
              <m:ctrlPr>
                <w:rPr>
                  <w:rFonts w:ascii="Cambria Math" w:hAnsi="Cambria Math"/>
                  <w:i/>
                </w:rPr>
              </m:ctrlPr>
            </m:fPr>
            <m:num>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12</m:t>
              </m:r>
            </m:den>
          </m:f>
          <m:r>
            <w:rPr>
              <w:rFonts w:ascii="Cambria Math" w:hAnsi="Cambria Math"/>
            </w:rPr>
            <m:t>, and ν=</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12</m:t>
              </m:r>
            </m:den>
          </m:f>
        </m:oMath>
      </m:oMathPara>
    </w:p>
    <w:p w14:paraId="74792D15" w14:textId="77777777" w:rsidR="00A628C7" w:rsidRDefault="00A628C7" w:rsidP="008E2988">
      <w:pPr>
        <w:ind w:left="360"/>
      </w:pPr>
    </w:p>
    <w:p w14:paraId="67C383ED" w14:textId="77777777" w:rsidR="00A628C7" w:rsidRDefault="00A628C7" w:rsidP="00A628C7">
      <w:pPr>
        <w:pStyle w:val="Heading2"/>
        <w:numPr>
          <w:ilvl w:val="0"/>
          <w:numId w:val="1"/>
        </w:numPr>
      </w:pPr>
      <w:r>
        <w:t xml:space="preserve">Estimate of </w:t>
      </w:r>
      <m:oMath>
        <m:r>
          <w:rPr>
            <w:rFonts w:ascii="Cambria Math" w:hAnsi="Cambria Math"/>
          </w:rPr>
          <m:t>α</m:t>
        </m:r>
      </m:oMath>
    </w:p>
    <w:p w14:paraId="52A8FA55" w14:textId="77777777" w:rsidR="00A628C7" w:rsidRDefault="00A628C7" w:rsidP="00A628C7"/>
    <w:p w14:paraId="3798638C" w14:textId="77777777" w:rsidR="00A628C7" w:rsidRDefault="00A628C7" w:rsidP="00A628C7">
      <w:pPr>
        <w:ind w:left="360"/>
      </w:pPr>
      <w:r>
        <w:t xml:space="preserve">Maximize posterior density with respect to </w:t>
      </w:r>
      <m:oMath>
        <m:r>
          <w:rPr>
            <w:rFonts w:ascii="Cambria Math" w:hAnsi="Cambria Math"/>
          </w:rPr>
          <m:t>α</m:t>
        </m:r>
      </m:oMath>
      <w:r w:rsidR="00ED2CE9">
        <w:t xml:space="preserve"> to get 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BI</m:t>
            </m:r>
          </m:sub>
        </m:sSub>
      </m:oMath>
    </w:p>
    <w:p w14:paraId="6C2FD570" w14:textId="77777777" w:rsidR="00ED2CE9" w:rsidRDefault="00ED2CE9" w:rsidP="00ED2CE9">
      <w:pPr>
        <w:ind w:left="360"/>
      </w:pPr>
      <w:r>
        <w:t xml:space="preserve">Then we have estimated the parameters for the stock price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~N</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BI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 xml:space="preserve">T,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T</m:t>
            </m:r>
          </m:e>
        </m:d>
      </m:oMath>
    </w:p>
    <w:p w14:paraId="021C12E4" w14:textId="77777777" w:rsidR="00ED2CE9" w:rsidRDefault="00ED2CE9" w:rsidP="00ED2CE9">
      <w:pPr>
        <w:ind w:left="360"/>
      </w:pPr>
    </w:p>
    <w:p w14:paraId="0A0D6935" w14:textId="77777777" w:rsidR="00AB4836" w:rsidRDefault="00AB4836" w:rsidP="00ED2CE9">
      <w:pPr>
        <w:ind w:left="360"/>
      </w:pPr>
    </w:p>
    <w:p w14:paraId="3F89C875" w14:textId="77777777" w:rsidR="00AB4836" w:rsidRDefault="00AB4836" w:rsidP="00ED2CE9">
      <w:pPr>
        <w:ind w:left="360"/>
      </w:pPr>
    </w:p>
    <w:p w14:paraId="23DC15CD" w14:textId="77777777" w:rsidR="00AB4836" w:rsidRDefault="00AB4836" w:rsidP="00AB4836">
      <w:pPr>
        <w:pStyle w:val="Heading2"/>
        <w:numPr>
          <w:ilvl w:val="0"/>
          <w:numId w:val="1"/>
        </w:numPr>
      </w:pPr>
      <w:r>
        <w:lastRenderedPageBreak/>
        <w:t>Estimate of covariance between stocks</w:t>
      </w:r>
    </w:p>
    <w:p w14:paraId="4D3D13D7" w14:textId="77777777" w:rsidR="00AB4836" w:rsidRDefault="00AB4836" w:rsidP="00AB4836"/>
    <w:p w14:paraId="3B2F0C0D" w14:textId="77777777" w:rsidR="00AB4836" w:rsidRDefault="00AB4836" w:rsidP="00AB4836">
      <w:pPr>
        <w:ind w:left="360"/>
      </w:pPr>
      <w:r>
        <w:t>We use sample variance from the historical prices from each pair of stocks to estimate the covariance between them.</w:t>
      </w:r>
    </w:p>
    <w:p w14:paraId="16EE2C9C" w14:textId="77777777" w:rsidR="00AB4836" w:rsidRPr="00AB4836" w:rsidRDefault="00AB4836" w:rsidP="00AB4836">
      <w:pPr>
        <w:ind w:left="360"/>
      </w:pPr>
    </w:p>
    <w:p w14:paraId="4A322700" w14:textId="77777777" w:rsidR="00ED2CE9" w:rsidRDefault="00ED2CE9" w:rsidP="00ED2CE9">
      <w:pPr>
        <w:pStyle w:val="Heading2"/>
        <w:numPr>
          <w:ilvl w:val="0"/>
          <w:numId w:val="1"/>
        </w:numPr>
      </w:pPr>
      <w:r>
        <w:t>Capital Allocation Line (CAL)</w:t>
      </w:r>
    </w:p>
    <w:p w14:paraId="010F0C09" w14:textId="77777777" w:rsidR="00ED2CE9" w:rsidRDefault="00ED2CE9" w:rsidP="00ED2CE9"/>
    <w:p w14:paraId="394D715D" w14:textId="77777777" w:rsidR="00ED2CE9" w:rsidRPr="00ED2CE9" w:rsidRDefault="00ED2CE9" w:rsidP="00ED2CE9">
      <w:pPr>
        <w:ind w:left="360"/>
      </w:pPr>
      <w:r>
        <w:t xml:space="preserve">We model CAL with one-year return random variable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(subscript </w:t>
      </w:r>
      <m:oMath>
        <m:r>
          <w:rPr>
            <w:rFonts w:ascii="Cambria Math" w:hAnsi="Cambria Math"/>
          </w:rPr>
          <m:t>i</m:t>
        </m:r>
      </m:oMath>
      <w:r>
        <w:t xml:space="preserve"> now refers to an individual stock). From above calculations, we let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BI, 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sup>
            <m:r>
              <w:rPr>
                <w:rFonts w:ascii="Cambria Math" w:hAnsi="Cambria Math"/>
              </w:rPr>
              <m:t>2</m:t>
            </m:r>
          </m:sup>
        </m:sSup>
      </m:oMath>
      <w:r>
        <w:t xml:space="preserve"> </w:t>
      </w:r>
      <w:proofErr w:type="gramStart"/>
      <w:r>
        <w:t xml:space="preserve">and </w:t>
      </w:r>
      <w:proofErr w:type="gramEnd"/>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sup>
            <m:r>
              <w:rPr>
                <w:rFonts w:ascii="Cambria Math" w:hAnsi="Cambria Math"/>
              </w:rPr>
              <m:t>2</m:t>
            </m:r>
          </m:sup>
        </m:sSup>
      </m:oMath>
      <w:r>
        <w:t>.</w:t>
      </w:r>
      <w:r w:rsidR="00AB4836">
        <w:t xml:space="preserve"> From here we can determine the optimal portfolio using the CAL method. </w:t>
      </w:r>
    </w:p>
    <w:sectPr w:rsidR="00ED2CE9" w:rsidRPr="00ED2CE9">
      <w:head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hard Luo" w:date="2014-10-20T20:06:00Z" w:initials="RL">
    <w:p w14:paraId="250C6C28" w14:textId="77777777" w:rsidR="006B58F0" w:rsidRDefault="006B58F0">
      <w:pPr>
        <w:pStyle w:val="CommentText"/>
      </w:pPr>
      <w:r>
        <w:rPr>
          <w:rStyle w:val="CommentReference"/>
        </w:rPr>
        <w:annotationRef/>
      </w:r>
      <w:r>
        <w:t>Need better methodology for this part</w:t>
      </w:r>
    </w:p>
  </w:comment>
  <w:comment w:id="1" w:author="kevinhu" w:date="2014-11-14T16:27:00Z" w:initials="KH">
    <w:p w14:paraId="676E1C33" w14:textId="6A008BA9" w:rsidR="006B58F0" w:rsidRDefault="006B58F0">
      <w:pPr>
        <w:pStyle w:val="CommentText"/>
      </w:pPr>
      <w:r>
        <w:rPr>
          <w:rStyle w:val="CommentReference"/>
        </w:rPr>
        <w:annotationRef/>
      </w:r>
      <w:r>
        <w:t>Let’s do something better</w:t>
      </w:r>
    </w:p>
  </w:comment>
  <w:comment w:id="3" w:author="kevinhu" w:date="2014-11-14T18:24:00Z" w:initials="KH">
    <w:p w14:paraId="01EC08F0" w14:textId="4CF5A83B" w:rsidR="006B58F0" w:rsidRDefault="006B58F0">
      <w:pPr>
        <w:pStyle w:val="CommentText"/>
      </w:pPr>
      <w:r>
        <w:rPr>
          <w:rStyle w:val="CommentReference"/>
        </w:rPr>
        <w:annotationRef/>
      </w:r>
    </w:p>
    <w:p w14:paraId="31FACBC8" w14:textId="0B4467CA" w:rsidR="006B58F0" w:rsidRDefault="006B58F0">
      <w:pPr>
        <w:pStyle w:val="CommentText"/>
      </w:pPr>
      <w:r>
        <w:t xml:space="preserve">Let’s try ARCH and GARCH models to get volatility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0C6C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8D74C" w14:textId="77777777" w:rsidR="009163A3" w:rsidRDefault="009163A3" w:rsidP="00914C22">
      <w:pPr>
        <w:spacing w:after="0" w:line="240" w:lineRule="auto"/>
      </w:pPr>
      <w:r>
        <w:separator/>
      </w:r>
    </w:p>
  </w:endnote>
  <w:endnote w:type="continuationSeparator" w:id="0">
    <w:p w14:paraId="54F0A0FA" w14:textId="77777777" w:rsidR="009163A3" w:rsidRDefault="009163A3" w:rsidP="00914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E14D7" w14:textId="77777777" w:rsidR="009163A3" w:rsidRDefault="009163A3" w:rsidP="00914C22">
      <w:pPr>
        <w:spacing w:after="0" w:line="240" w:lineRule="auto"/>
      </w:pPr>
      <w:r>
        <w:separator/>
      </w:r>
    </w:p>
  </w:footnote>
  <w:footnote w:type="continuationSeparator" w:id="0">
    <w:p w14:paraId="115B37E2" w14:textId="77777777" w:rsidR="009163A3" w:rsidRDefault="009163A3" w:rsidP="00914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A19C4" w14:textId="77777777" w:rsidR="006B58F0" w:rsidRDefault="006B58F0" w:rsidP="00914C22">
    <w:pPr>
      <w:pBdr>
        <w:bottom w:val="single" w:sz="6" w:space="1" w:color="auto"/>
      </w:pBdr>
      <w:jc w:val="center"/>
    </w:pPr>
    <w:r>
      <w:t>Bayesian Inference on Stock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F32F6"/>
    <w:multiLevelType w:val="hybridMultilevel"/>
    <w:tmpl w:val="3D960376"/>
    <w:lvl w:ilvl="0" w:tplc="FD66CAB0">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72A9E"/>
    <w:multiLevelType w:val="hybridMultilevel"/>
    <w:tmpl w:val="73C8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B343D"/>
    <w:multiLevelType w:val="hybridMultilevel"/>
    <w:tmpl w:val="51A0B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Luo">
    <w15:presenceInfo w15:providerId="Windows Live" w15:userId="5d44777004cfe6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B5"/>
    <w:rsid w:val="0001103A"/>
    <w:rsid w:val="00013B85"/>
    <w:rsid w:val="00116635"/>
    <w:rsid w:val="00153A98"/>
    <w:rsid w:val="001642B5"/>
    <w:rsid w:val="001975E5"/>
    <w:rsid w:val="001A4774"/>
    <w:rsid w:val="001B7510"/>
    <w:rsid w:val="00216FB6"/>
    <w:rsid w:val="002A09AC"/>
    <w:rsid w:val="00406BAE"/>
    <w:rsid w:val="00412814"/>
    <w:rsid w:val="004219D4"/>
    <w:rsid w:val="004517BC"/>
    <w:rsid w:val="004A631E"/>
    <w:rsid w:val="00535BC8"/>
    <w:rsid w:val="00564577"/>
    <w:rsid w:val="0058274F"/>
    <w:rsid w:val="00685707"/>
    <w:rsid w:val="006B2467"/>
    <w:rsid w:val="006B58F0"/>
    <w:rsid w:val="006E2E2D"/>
    <w:rsid w:val="00773F99"/>
    <w:rsid w:val="007A4310"/>
    <w:rsid w:val="00864E05"/>
    <w:rsid w:val="00895C22"/>
    <w:rsid w:val="008A1C9F"/>
    <w:rsid w:val="008E2988"/>
    <w:rsid w:val="00914C22"/>
    <w:rsid w:val="009163A3"/>
    <w:rsid w:val="0099593A"/>
    <w:rsid w:val="009C089D"/>
    <w:rsid w:val="00A628C7"/>
    <w:rsid w:val="00AB4836"/>
    <w:rsid w:val="00AC53FA"/>
    <w:rsid w:val="00AC7949"/>
    <w:rsid w:val="00AE2E72"/>
    <w:rsid w:val="00B40E3D"/>
    <w:rsid w:val="00BA1694"/>
    <w:rsid w:val="00BD6516"/>
    <w:rsid w:val="00C01315"/>
    <w:rsid w:val="00C22827"/>
    <w:rsid w:val="00C35AA0"/>
    <w:rsid w:val="00C41933"/>
    <w:rsid w:val="00C60274"/>
    <w:rsid w:val="00C80463"/>
    <w:rsid w:val="00CA1102"/>
    <w:rsid w:val="00D92EA3"/>
    <w:rsid w:val="00E37669"/>
    <w:rsid w:val="00EC64AD"/>
    <w:rsid w:val="00ED2CE9"/>
    <w:rsid w:val="00FD1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4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02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707"/>
    <w:rPr>
      <w:color w:val="808080"/>
    </w:rPr>
  </w:style>
  <w:style w:type="paragraph" w:styleId="Header">
    <w:name w:val="header"/>
    <w:basedOn w:val="Normal"/>
    <w:link w:val="HeaderChar"/>
    <w:uiPriority w:val="99"/>
    <w:unhideWhenUsed/>
    <w:rsid w:val="00914C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14C22"/>
  </w:style>
  <w:style w:type="paragraph" w:styleId="Footer">
    <w:name w:val="footer"/>
    <w:basedOn w:val="Normal"/>
    <w:link w:val="FooterChar"/>
    <w:uiPriority w:val="99"/>
    <w:unhideWhenUsed/>
    <w:rsid w:val="00914C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4C22"/>
  </w:style>
  <w:style w:type="character" w:customStyle="1" w:styleId="Heading1Char">
    <w:name w:val="Heading 1 Char"/>
    <w:basedOn w:val="DefaultParagraphFont"/>
    <w:link w:val="Heading1"/>
    <w:uiPriority w:val="9"/>
    <w:rsid w:val="00914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4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027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2E72"/>
    <w:pPr>
      <w:ind w:left="720"/>
      <w:contextualSpacing/>
    </w:pPr>
  </w:style>
  <w:style w:type="character" w:styleId="CommentReference">
    <w:name w:val="annotation reference"/>
    <w:basedOn w:val="DefaultParagraphFont"/>
    <w:uiPriority w:val="99"/>
    <w:semiHidden/>
    <w:unhideWhenUsed/>
    <w:rsid w:val="00406BAE"/>
    <w:rPr>
      <w:sz w:val="16"/>
      <w:szCs w:val="16"/>
    </w:rPr>
  </w:style>
  <w:style w:type="paragraph" w:styleId="CommentText">
    <w:name w:val="annotation text"/>
    <w:basedOn w:val="Normal"/>
    <w:link w:val="CommentTextChar"/>
    <w:uiPriority w:val="99"/>
    <w:semiHidden/>
    <w:unhideWhenUsed/>
    <w:rsid w:val="00406BAE"/>
    <w:pPr>
      <w:spacing w:line="240" w:lineRule="auto"/>
    </w:pPr>
    <w:rPr>
      <w:sz w:val="20"/>
      <w:szCs w:val="20"/>
    </w:rPr>
  </w:style>
  <w:style w:type="character" w:customStyle="1" w:styleId="CommentTextChar">
    <w:name w:val="Comment Text Char"/>
    <w:basedOn w:val="DefaultParagraphFont"/>
    <w:link w:val="CommentText"/>
    <w:uiPriority w:val="99"/>
    <w:semiHidden/>
    <w:rsid w:val="00406BAE"/>
    <w:rPr>
      <w:sz w:val="20"/>
      <w:szCs w:val="20"/>
    </w:rPr>
  </w:style>
  <w:style w:type="paragraph" w:styleId="CommentSubject">
    <w:name w:val="annotation subject"/>
    <w:basedOn w:val="CommentText"/>
    <w:next w:val="CommentText"/>
    <w:link w:val="CommentSubjectChar"/>
    <w:uiPriority w:val="99"/>
    <w:semiHidden/>
    <w:unhideWhenUsed/>
    <w:rsid w:val="00406BAE"/>
    <w:rPr>
      <w:b/>
      <w:bCs/>
    </w:rPr>
  </w:style>
  <w:style w:type="character" w:customStyle="1" w:styleId="CommentSubjectChar">
    <w:name w:val="Comment Subject Char"/>
    <w:basedOn w:val="CommentTextChar"/>
    <w:link w:val="CommentSubject"/>
    <w:uiPriority w:val="99"/>
    <w:semiHidden/>
    <w:rsid w:val="00406BAE"/>
    <w:rPr>
      <w:b/>
      <w:bCs/>
      <w:sz w:val="20"/>
      <w:szCs w:val="20"/>
    </w:rPr>
  </w:style>
  <w:style w:type="paragraph" w:styleId="BalloonText">
    <w:name w:val="Balloon Text"/>
    <w:basedOn w:val="Normal"/>
    <w:link w:val="BalloonTextChar"/>
    <w:uiPriority w:val="99"/>
    <w:semiHidden/>
    <w:unhideWhenUsed/>
    <w:rsid w:val="0040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BA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4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02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707"/>
    <w:rPr>
      <w:color w:val="808080"/>
    </w:rPr>
  </w:style>
  <w:style w:type="paragraph" w:styleId="Header">
    <w:name w:val="header"/>
    <w:basedOn w:val="Normal"/>
    <w:link w:val="HeaderChar"/>
    <w:uiPriority w:val="99"/>
    <w:unhideWhenUsed/>
    <w:rsid w:val="00914C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14C22"/>
  </w:style>
  <w:style w:type="paragraph" w:styleId="Footer">
    <w:name w:val="footer"/>
    <w:basedOn w:val="Normal"/>
    <w:link w:val="FooterChar"/>
    <w:uiPriority w:val="99"/>
    <w:unhideWhenUsed/>
    <w:rsid w:val="00914C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4C22"/>
  </w:style>
  <w:style w:type="character" w:customStyle="1" w:styleId="Heading1Char">
    <w:name w:val="Heading 1 Char"/>
    <w:basedOn w:val="DefaultParagraphFont"/>
    <w:link w:val="Heading1"/>
    <w:uiPriority w:val="9"/>
    <w:rsid w:val="00914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4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027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2E72"/>
    <w:pPr>
      <w:ind w:left="720"/>
      <w:contextualSpacing/>
    </w:pPr>
  </w:style>
  <w:style w:type="character" w:styleId="CommentReference">
    <w:name w:val="annotation reference"/>
    <w:basedOn w:val="DefaultParagraphFont"/>
    <w:uiPriority w:val="99"/>
    <w:semiHidden/>
    <w:unhideWhenUsed/>
    <w:rsid w:val="00406BAE"/>
    <w:rPr>
      <w:sz w:val="16"/>
      <w:szCs w:val="16"/>
    </w:rPr>
  </w:style>
  <w:style w:type="paragraph" w:styleId="CommentText">
    <w:name w:val="annotation text"/>
    <w:basedOn w:val="Normal"/>
    <w:link w:val="CommentTextChar"/>
    <w:uiPriority w:val="99"/>
    <w:semiHidden/>
    <w:unhideWhenUsed/>
    <w:rsid w:val="00406BAE"/>
    <w:pPr>
      <w:spacing w:line="240" w:lineRule="auto"/>
    </w:pPr>
    <w:rPr>
      <w:sz w:val="20"/>
      <w:szCs w:val="20"/>
    </w:rPr>
  </w:style>
  <w:style w:type="character" w:customStyle="1" w:styleId="CommentTextChar">
    <w:name w:val="Comment Text Char"/>
    <w:basedOn w:val="DefaultParagraphFont"/>
    <w:link w:val="CommentText"/>
    <w:uiPriority w:val="99"/>
    <w:semiHidden/>
    <w:rsid w:val="00406BAE"/>
    <w:rPr>
      <w:sz w:val="20"/>
      <w:szCs w:val="20"/>
    </w:rPr>
  </w:style>
  <w:style w:type="paragraph" w:styleId="CommentSubject">
    <w:name w:val="annotation subject"/>
    <w:basedOn w:val="CommentText"/>
    <w:next w:val="CommentText"/>
    <w:link w:val="CommentSubjectChar"/>
    <w:uiPriority w:val="99"/>
    <w:semiHidden/>
    <w:unhideWhenUsed/>
    <w:rsid w:val="00406BAE"/>
    <w:rPr>
      <w:b/>
      <w:bCs/>
    </w:rPr>
  </w:style>
  <w:style w:type="character" w:customStyle="1" w:styleId="CommentSubjectChar">
    <w:name w:val="Comment Subject Char"/>
    <w:basedOn w:val="CommentTextChar"/>
    <w:link w:val="CommentSubject"/>
    <w:uiPriority w:val="99"/>
    <w:semiHidden/>
    <w:rsid w:val="00406BAE"/>
    <w:rPr>
      <w:b/>
      <w:bCs/>
      <w:sz w:val="20"/>
      <w:szCs w:val="20"/>
    </w:rPr>
  </w:style>
  <w:style w:type="paragraph" w:styleId="BalloonText">
    <w:name w:val="Balloon Text"/>
    <w:basedOn w:val="Normal"/>
    <w:link w:val="BalloonTextChar"/>
    <w:uiPriority w:val="99"/>
    <w:semiHidden/>
    <w:unhideWhenUsed/>
    <w:rsid w:val="0040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B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Luo</dc:creator>
  <cp:keywords/>
  <dc:description/>
  <cp:lastModifiedBy>kevinhu</cp:lastModifiedBy>
  <cp:revision>15</cp:revision>
  <dcterms:created xsi:type="dcterms:W3CDTF">2014-10-19T19:37:00Z</dcterms:created>
  <dcterms:modified xsi:type="dcterms:W3CDTF">2014-11-15T13:27:00Z</dcterms:modified>
</cp:coreProperties>
</file>