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Décrire la présentation clinique de l'appendicite</w:t>
      </w:r>
    </w:p>
    <w:p/>
    <w:p>
      <w:r>
        <w:t>L'</w:t>
      </w:r>
      <w:r>
        <w:rPr>
          <w:b/>
        </w:rPr>
        <w:t>appendicite</w:t>
      </w:r>
      <w:r>
        <w:t xml:space="preserve"> est une inflammation aiguë de l'appendice vermiforme, située dans la </w:t>
      </w:r>
      <w:r>
        <w:rPr>
          <w:b/>
        </w:rPr>
        <w:t>fosse iliaque droite (FID)</w:t>
      </w:r>
      <w:r>
        <w:t>. Sa présentation clinique suit une séquence caractéristique de migration de la douleur, accompagnée de symptômes digestifs.</w:t>
      </w:r>
    </w:p>
    <w:p/>
    <w:p>
      <w:r/>
      <w:r>
        <w:rPr>
          <w:b/>
        </w:rPr>
        <w:t>Douleur — séquence typique</w:t>
      </w:r>
      <w:r/>
    </w:p>
    <w:p>
      <w:pPr>
        <w:pStyle w:val="ListBullet"/>
      </w:pPr>
      <w:r>
        <w:t xml:space="preserve">Douleur initialement </w:t>
      </w:r>
      <w:r>
        <w:rPr>
          <w:b/>
        </w:rPr>
        <w:t>péri-ombilicale</w:t>
      </w:r>
      <w:r>
        <w:t xml:space="preserve">, de type </w:t>
      </w:r>
      <w:r>
        <w:rPr>
          <w:b/>
        </w:rPr>
        <w:t>crampiforme</w:t>
      </w:r>
      <w:r>
        <w:t xml:space="preserve"> (douleur viscérale)</w:t>
      </w:r>
    </w:p>
    <w:p>
      <w:r>
        <w:t>- La localisation péri-ombilicale correspond à la douleur référée de l'intestin moyen</w:t>
      </w:r>
    </w:p>
    <w:p>
      <w:pPr>
        <w:pStyle w:val="ListBullet"/>
      </w:pPr>
      <w:r>
        <w:t xml:space="preserve">Puis </w:t>
      </w:r>
      <w:r>
        <w:rPr>
          <w:b/>
        </w:rPr>
        <w:t>migration</w:t>
      </w:r>
      <w:r>
        <w:t xml:space="preserve"> vers la </w:t>
      </w:r>
      <w:r>
        <w:rPr>
          <w:b/>
        </w:rPr>
        <w:t>FID</w:t>
      </w:r>
      <w:r>
        <w:t xml:space="preserve"> où la douleur devient </w:t>
      </w:r>
      <w:r>
        <w:rPr>
          <w:b/>
        </w:rPr>
        <w:t>constante</w:t>
      </w:r>
      <w:r>
        <w:t xml:space="preserve"> (douleur somatique, par irritation péritonéale localisée)</w:t>
      </w:r>
    </w:p>
    <w:p>
      <w:pPr>
        <w:pStyle w:val="ListBullet"/>
      </w:pPr>
      <w:r/>
      <w:r>
        <w:rPr>
          <w:b/>
        </w:rPr>
        <w:t>Point de McBurney</w:t>
      </w:r>
      <w:r>
        <w:t xml:space="preserve"> : point de sensibilité maximale classique en FID (jonction du tiers externe et des deux tiers internes de la ligne reliant l'ombilic à l'épine iliaque antéro-supérieure droite)</w:t>
      </w:r>
    </w:p>
    <w:p/>
    <w:p>
      <w:r/>
      <w:r>
        <w:rPr>
          <w:b/>
        </w:rPr>
        <w:t>Symptômes accompagnateurs</w:t>
      </w:r>
      <w:r/>
    </w:p>
    <w:p>
      <w:pPr>
        <w:pStyle w:val="ListBullet"/>
      </w:pPr>
      <w:r/>
      <w:r>
        <w:rPr>
          <w:b/>
        </w:rPr>
        <w:t>Nausée</w:t>
      </w:r>
      <w:r>
        <w:t xml:space="preserve"> (fréquente)</w:t>
      </w:r>
    </w:p>
    <w:p>
      <w:pPr>
        <w:pStyle w:val="ListBullet"/>
      </w:pPr>
      <w:r/>
      <w:r>
        <w:rPr>
          <w:b/>
        </w:rPr>
        <w:t>Trouble du transit</w:t>
      </w:r>
      <w:r>
        <w:t xml:space="preserve"> (constipation ou, parfois, diarrhée)</w:t>
      </w:r>
    </w:p>
    <w:p>
      <w:pPr>
        <w:pStyle w:val="ListBullet"/>
      </w:pPr>
      <w:r/>
      <w:r>
        <w:rPr>
          <w:b/>
        </w:rPr>
        <w:t>Fièvre</w:t>
      </w:r>
      <w:r>
        <w:t xml:space="preserve"> (mentionnée dans le contexte des pathologies inflammatoires abdominales basses)</w:t>
      </w:r>
    </w:p>
    <w:p/>
    <w:p>
      <w:r/>
      <w:r>
        <w:rPr>
          <w:b/>
        </w:rPr>
        <w:t>Signes à l'examen physique</w:t>
      </w:r>
      <w:r/>
    </w:p>
    <w:p>
      <w:pPr>
        <w:pStyle w:val="ListBullet"/>
      </w:pPr>
      <w:r>
        <w:t>Douleur à la palpation de la FID (défense, voire ressaut si irritation péritonéale)</w:t>
      </w:r>
    </w:p>
    <w:p>
      <w:pPr>
        <w:pStyle w:val="ListBullet"/>
      </w:pPr>
      <w:r/>
      <w:r>
        <w:rPr>
          <w:b/>
        </w:rPr>
        <w:t>Signe du psoas</w:t>
      </w:r>
      <w:r>
        <w:t xml:space="preserve"> positif (douleur à l'extension de la hanche droite → suggère une irritation du muscle psoas par l'appendice rétrocæcal)</w:t>
      </w:r>
    </w:p>
    <w:p>
      <w:pPr>
        <w:pStyle w:val="ListBullet"/>
      </w:pPr>
      <w:r/>
      <w:r>
        <w:rPr>
          <w:b/>
        </w:rPr>
        <w:t>Signe de l'obturateur</w:t>
      </w:r>
      <w:r>
        <w:t xml:space="preserve"> positif (douleur à la rotation interne de la hanche droite fléchie → suggère un appendice pelvien)</w:t>
      </w:r>
    </w:p>
    <w:p>
      <w:pPr>
        <w:pStyle w:val="ListBullet"/>
      </w:pPr>
      <w:r/>
      <w:r>
        <w:rPr>
          <w:b/>
        </w:rPr>
        <w:t>Toucher rectal (TR)</w:t>
      </w:r>
      <w:r>
        <w:t xml:space="preserve"> positif (douleur à droite au TR, utile surtout si appendice en position pelvienne)</w:t>
      </w:r>
    </w:p>
    <w:p/>
    <w:p>
      <w:r/>
      <w:r>
        <w:rPr>
          <w:b/>
        </w:rPr>
        <w:t>Chronologie</w:t>
      </w:r>
      <w:r/>
    </w:p>
    <w:p>
      <w:pPr>
        <w:pStyle w:val="ListBullet"/>
      </w:pPr>
      <w:r>
        <w:t xml:space="preserve">Classée parmi les douleurs à </w:t>
      </w:r>
      <w:r>
        <w:rPr>
          <w:b/>
        </w:rPr>
        <w:t>augmentation progressive</w:t>
      </w:r>
      <w:r>
        <w:t xml:space="preserve"> (la douleur s'installe sur plusieurs heures)</w:t>
      </w:r>
    </w:p>
    <w:p>
      <w:pPr>
        <w:pStyle w:val="ListBullet"/>
      </w:pPr>
      <w:r>
        <w:t xml:space="preserve">Une fois installée en FID, la douleur est </w:t>
      </w:r>
      <w:r>
        <w:rPr>
          <w:b/>
        </w:rPr>
        <w:t>continue</w:t>
      </w:r>
      <w:r>
        <w:t xml:space="preserve"> (irritation péritonéale)</w:t>
      </w:r>
    </w:p>
    <w:p/>
    <w:p>
      <w:r/>
      <w:r>
        <w:rPr>
          <w:b/>
        </w:rPr>
        <w:t>Perle clinique</w:t>
      </w:r>
      <w:r/>
    </w:p>
    <w:p>
      <w:pPr>
        <w:pStyle w:val="ListBullet"/>
      </w:pPr>
      <w:r>
        <w:t>La séquence douleur péri-ombilicale crampiforme → douleur constante en FID est très évocatrice d'appendicite et constitue un élément clé du diagnostic clinique</w:t>
      </w:r>
    </w:p>
    <w:p>
      <w:pPr>
        <w:pStyle w:val="ListBullet"/>
      </w:pPr>
      <w:r>
        <w:t xml:space="preserve">L'aggravation de la douleur par les </w:t>
      </w:r>
      <w:r>
        <w:rPr>
          <w:b/>
        </w:rPr>
        <w:t>mouvements</w:t>
      </w:r>
      <w:r>
        <w:t xml:space="preserve"> suggère une irritation péritonéale (signe en faveur d'une appendicite évoluée, comme pour toute irritation péritonéale : cholécystite, ulcère perforé,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