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Интеграция запуска рекламы во внешних рекламных сетях</w:t>
      </w:r>
    </w:p>
    <w:p>
      <w:pPr>
        <w:spacing w:after="60"/>
      </w:pPr>
      <w:r>
        <w:rPr>
          <w:b/>
          <w:bCs/>
          <w:color w:val="404040"/>
          <w:sz w:val="28"/>
          <w:szCs w:val="28"/>
        </w:rPr>
        <w:t xml:space="preserve">в кабинете третьих лиц для телеком-оператора</w:t>
      </w:r>
    </w:p>
    <w:p>
      <w:pPr>
        <w:pBdr>
          <w:bottom w:val="single" w:color="1F4E79" w:sz="6" w:space="6"/>
        </w:pBdr>
        <w:spacing w:after="120"/>
      </w:pPr>
      <w:r>
        <w:rPr>
          <w:i/>
          <w:iCs/>
          <w:color w:val="808080"/>
          <w:sz w:val="20"/>
          <w:szCs w:val="20"/>
        </w:rPr>
        <w:t xml:space="preserve">Аналитический документ · разбор аналогов и рекомендуемая архитектура</w:t>
      </w:r>
    </w:p>
    <w:p>
      <w:pPr>
        <w:spacing w:after="240"/>
      </w:pPr>
      <w:r>
        <w:rPr>
          <w:color w:val="808080"/>
          <w:sz w:val="18"/>
          <w:szCs w:val="18"/>
        </w:rPr>
        <w:t xml:space="preserve">Июнь 2026 · версия 1.0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120" w:line="276"/>
      </w:pPr>
      <w:r>
        <w:t xml:space="preserve">Цель документа — определить, как в нашем кабинете третьих лиц совместить два актива оператора (аудиторные сегменты на абонентской базе и собственные каналы коммуникации) с возможностью запуска кампаний во внешних рекламных сетях: Telegram Ads, Meta и WhatsApp, Google Ads и других.</w:t>
      </w:r>
    </w:p>
    <w:p>
      <w:pPr>
        <w:spacing w:after="120" w:line="276"/>
      </w:pPr>
      <w:r>
        <w:t xml:space="preserve">Главный вывод: единого универсального способа интеграции нет. Сети делятся на две группы. Первая (Meta, Google) предоставляет полноценные программные интерфейсы (API) и допускает агентскую модель, при которой мы создаём и обслуживаем рекламные кабинеты клиентов под своей управляющей структурой. Вторая (Telegram Ads) закрыта, не имеет публичного API и доступна только через статус официального реселлера — именно так работает «МТС Маркетолог».</w:t>
      </w:r>
    </w:p>
    <w:p>
      <w:pPr>
        <w:spacing w:after="120" w:line="276"/>
      </w:pPr>
      <w:r>
        <w:t xml:space="preserve">Ключевые точки сложности, которым посвящён документ: устройство баланса (единый кошелёк в кабинете против отдельных балансов в каждой сети), передача сегментов оператора во внешние сети (через механизмы пользовательских аудиторий и сопоставление по хешированным телефонам), а также модерация кампаний.</w:t>
      </w:r>
    </w:p>
    <w:p>
      <w:pPr>
        <w:spacing w:after="120" w:line="276"/>
      </w:pPr>
      <w:r>
        <w:t xml:space="preserve">Рекомендуемый подход — гибридная архитектура: единый баланс и единое окно запуска для пользователя, под которым работает слой-посредник (агрегатор), транслирующий кампании в нативные кабинеты сетей через их API либо через реселлерский доступ.</w:t>
      </w:r>
    </w:p>
    <w:p>
      <w:pPr>
        <w:pStyle w:val="Heading1"/>
      </w:pPr>
      <w:r>
        <w:t xml:space="preserve">2. Аналоги: кабинеты операторов</w:t>
      </w:r>
    </w:p>
    <w:p>
      <w:pPr>
        <w:spacing w:after="120" w:line="276"/>
      </w:pPr>
      <w:r>
        <w:t xml:space="preserve">Прямые аналоги нашего продукта — рекламные платформы российских операторов. Обе построены вокруг монетизации обезличенных данных абонентской базы и предоставляют рекламодателю единый кабинет самообслуживания.</w:t>
      </w:r>
    </w:p>
    <w:p>
      <w:pPr>
        <w:pStyle w:val="Heading2"/>
      </w:pPr>
      <w:r>
        <w:t xml:space="preserve">2.1. МТС Маркетолог</w:t>
      </w:r>
    </w:p>
    <w:p>
      <w:pPr>
        <w:spacing w:after="120" w:line="276"/>
      </w:pPr>
      <w:r>
        <w:t xml:space="preserve">Платформа отбирает аудиторные сегменты из базы свыше 85 млн абонентов с помощью технологий обработки больших данных и машинного обучения. Сегменты формируются на обезличенных и агрегированных данных (демография, интересы, поведение, география, доход). За первое полугодие 2025 года число доступных сегментов выросло с 250 до 350, заявленная точность попадания — до 90%, с отслеживанием качества сегментов в реальном времени.</w:t>
      </w:r>
    </w:p>
    <w:p>
      <w:pPr>
        <w:spacing w:after="120" w:line="276"/>
      </w:pPr>
      <w:r>
        <w:t xml:space="preserve">Запуск разделён на два направления. Раздел «По каналам» — таргетированные рассылки (SMS, MMS, RCS) на сегменты больших данных оператора и партнёров, а также на собственную базу рекламодателя. Отдельно реализован запуск рекламы в Telegram Ads в текстовом и премиальных форматах (баннер, видео) без минимального порога бюджета для малого и среднего бизнеса. Это важный прецедент: оператор выступает официальным реселлером Telegram Ads и накладывает свои сегменты на инструмент закупки внешней сети.</w:t>
      </w:r>
    </w:p>
    <w:p>
      <w:pPr>
        <w:pStyle w:val="Heading2"/>
      </w:pPr>
      <w:r>
        <w:t xml:space="preserve">2.2. билайн.ПРОдвижение</w:t>
      </w:r>
    </w:p>
    <w:p>
      <w:pPr>
        <w:spacing w:after="120" w:line="276"/>
      </w:pPr>
      <w:r>
        <w:t xml:space="preserve">Платформа опирается на данные около 49 млн абонентов. Помимо собственных каналов (таргетированные SMS-рассылки, голосовые звонки, push-уведомления), предоставляет запуск рекламы в интернете — на сайтах, в мобильных приложениях и социальных сетях. Ключевой элемент — конструктор аудиторий, позволяющий пересекать параметры в произвольных комбинациях и добавлять собственную базу клиента из его CRM. Заявленная скорость запуска кампании на аудиторию — около 15 минут.</w:t>
      </w:r>
    </w:p>
    <w:p>
      <w:pPr>
        <w:pStyle w:val="Heading2"/>
      </w:pPr>
      <w:r>
        <w:t xml:space="preserve">2.3. Выводы для нас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Оба аналога монетизируют сегменты оператора и собственные каналы, но запуск во внешних сетях у них ограничен (у МТС — точечно Telegram Ads через реселлерский статус). Это и есть зона, где наш продукт может дать клиентам оператора больше — единое окно во многие сети.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Конструктор аудиторий и загрузка собственной базы клиента (CRM) — обязательная функция; именно она связывает данные оператора с таргетингом внешних сетей.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Запуск во внешней сети требует либо реселлерского статуса (Telegram), либо агентской интеграции по API (Meta, Google).</w:t>
      </w:r>
    </w:p>
    <w:p>
      <w:pPr>
        <w:pStyle w:val="Heading1"/>
      </w:pPr>
      <w:r>
        <w:t xml:space="preserve">3. Как устроены единые платформы запуска рекламы</w:t>
      </w:r>
    </w:p>
    <w:p>
      <w:pPr>
        <w:spacing w:after="120" w:line="276"/>
      </w:pPr>
      <w:r>
        <w:t xml:space="preserve">Платформы, позволяющие запускать рекламу одновременно в нескольких сетях (например, Smartly и Revealbot/Birch), не заменяют рекламные кабинеты сетей, а работают как управляющий слой-посредник над ними. Они подключаются к официальным программным интерфейсам — Marketing API в Meta, Google Ads API, Marketing API в TikTok — и выполняют операции от имени подключённого кабинета.</w:t>
      </w:r>
    </w:p>
    <w:p>
      <w:pPr>
        <w:spacing w:after="120" w:line="276"/>
      </w:pPr>
      <w:r>
        <w:t xml:space="preserve">Принципиальные особенности этой модели: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Кабинет остаётся за клиентом. </w:t>
      </w:r>
      <w:r>
        <w:t xml:space="preserve">Рекламный аккаунт в сети принадлежит рекламодателю; платформа получает доступ через выданный токен (например, по протоколу авторизации OAuth) и действует в рамках предоставленных прав. Это масштабируемо и снимает с платформы ответственность за владение активами.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Платформа — control plane, а не хранилище денег. </w:t>
      </w:r>
      <w:r>
        <w:t xml:space="preserve">Списание средств и биллинг происходят на стороне сети, в кабинете клиента. Платформа лишь создаёт и редактирует кампании, читает статистику и применяет правила автоматизации.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Монетизация — от оборота. </w:t>
      </w:r>
      <w:r>
        <w:t xml:space="preserve">Тариф обычно привязан к рекламному обороту по всем подключённым кабинетам, а не к самим деньгам на рекламу.</w:t>
      </w:r>
    </w:p>
    <w:p>
      <w:pPr>
        <w:spacing w:after="120" w:line="276"/>
      </w:pPr>
      <w:r>
        <w:t xml:space="preserve">Для нас это «чистая» модель посредника. Но она плохо совмещается с задачей оператора: чтобы продавать сегменты и каналы оператора и брать оплату через себя, нам нужна не только роль посредника, но и собственный баланс и собственные (агентские) кабинеты. Поэтому ниже рассматриваются обе модели.</w:t>
      </w:r>
    </w:p>
    <w:p>
      <w:pPr>
        <w:pStyle w:val="Heading2"/>
      </w:pPr>
      <w:r>
        <w:t xml:space="preserve">3.1. Примеры продуктов с зрелой интеграцией</w:t>
      </w:r>
    </w:p>
    <w:p>
      <w:pPr>
        <w:spacing w:after="120" w:line="276"/>
      </w:pPr>
      <w:r>
        <w:t xml:space="preserve">Ниже — ориентиры, у которых интеграция с сетями реализована качественно. Их полезно разделить на две группы: управляющие платформы (control plane над кабинетами клиентов) и платформы с агентской/реселлерской моделью (собственные кабинеты и биллинг под клиента) — последние ближе к нашей задаче.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4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Сети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Чем полезен как ориентир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Smartly.io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Управляющий слой над кабинетами клиента (enterprise)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Meta, Google, TikTok, Pinterest, Snapchat — нативные API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Эталон единого окна и автоматизации креативов и кампаний поверх множества сетей; разделение на сборку креатива, запуск и аналитику.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Skai (ранее Kenshoo)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Управляющий слой, оркестрация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Поиск, соцсети, retail media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Кросс-канальная оркестрация и атрибуция, сведение статистики из разных сетей в единую модель.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Madgicx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Управляющий слой + white-label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(ядро), Google, TikTok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Правила автоматизации (бюджеты, масштабирование, остановка) и готовые white-label-решения для перепродажи под своим брендом.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Revealbot / Birch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Управляющий слой, правила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Meta, Google, Snapchat, TikTok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Чистый пример работы строго через официальные API сетей; тариф привязан к рекламному обороту по подключённым кабинетам.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Epom, GoHighLevel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Агентская / реселлерская (white-label)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Зависит от платформы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Образцы реселлерской модели, близкой к нам: суб-аккаунты под клиента, собственный биллинг (кошелёк), интерфейс под брендом агентства.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Главный вывод из обзора: технологические лидеры (Smartly, Skai, Revealbot) дают эталон единого окна и работы через официальные интерфейсы сетей, но оставляют деньги и кабинет у клиента. Для нашей задачи к этому слою нужно добавить агентскую/реселлерскую обвязку (суб-аккаунты и единый кошелёк), как в white-label-платформах. Целевая для нас комбинация — управляющий слой уровня Smartly поверх агентской модели уровня Epom/GoHighLevel.</w:t>
      </w:r>
    </w:p>
    <w:p>
      <w:pPr>
        <w:pStyle w:val="Heading1"/>
      </w:pPr>
      <w:r>
        <w:t xml:space="preserve">4. Две базовые модели интеграции с сетью</w:t>
      </w:r>
    </w:p>
    <w:p>
      <w:pPr>
        <w:spacing w:after="120" w:line="276"/>
      </w:pPr>
      <w:r>
        <w:t xml:space="preserve">Любую внешнюю сеть можно подключить одним из двух способов. Выбор определяется тем, есть ли у сети открытый API и допускает ли она агентскую закупку.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 A. Посредник над кабинетом клиента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 B. Агентские кабинеты под нашей структурой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Кому принадлежит кабинет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Клиенту. Мы получаем доступ по токену (OAuth).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Нам (управляющий аккаунт), кабинеты заводятся под клиента.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Баланс и оплата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стороне сети, платит клиент напрямую сети.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Через нас: клиент пополняет наш кошелёк, мы фондируем кабинеты.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Передача сегментов оператора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Возможна, но клиент должен дать доступ к своему кабинету.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Полный контроль: грузим аудитории в свои кабинеты.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Сложность запуска для клиента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Высокая: нужен свой бизнес-аккаунт и кабинет в сети.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Низкая: клиент работает только в нашем кабинете.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Где применимо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Meta, Google (есть API).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(реселлер); Meta, Google (агентская модель).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Для продукта оператора целевой является модель B (единое окно, единый баланс, контроль над аудиториями). Модель A целесообразна как опция для крупных клиентов, у которых уже есть собственные кабинеты и которые не хотят переносить закупку к нам.</w:t>
      </w:r>
    </w:p>
    <w:p>
      <w:pPr>
        <w:pStyle w:val="Heading1"/>
      </w:pPr>
      <w:r>
        <w:t xml:space="preserve">5. Разбор по приоритетным сетям</w:t>
      </w:r>
    </w:p>
    <w:p>
      <w:pPr>
        <w:pStyle w:val="Heading2"/>
      </w:pPr>
      <w:r>
        <w:t xml:space="preserve">5.1. Telegram Ads</w:t>
      </w:r>
    </w:p>
    <w:p>
      <w:pPr>
        <w:spacing w:after="120" w:line="276"/>
      </w:pPr>
      <w:r>
        <w:t xml:space="preserve">Самая закрытая из рассматриваемых сетей. Публичного программного интерфейса для управления кампаниями нет. Прямой доступ к официальной платформе исторически требует крайне высокого порога (на уровне миллионов евро депозита), поэтому реальная модель для бизнеса — работа через официального реселлера. Реселлеры обычно принимают депозиты от нескольких тысяч евро и распределяют их по кабинетам клиентов.</w:t>
      </w:r>
    </w:p>
    <w:p>
      <w:pPr>
        <w:spacing w:after="120" w:line="276"/>
      </w:pPr>
      <w:r>
        <w:t xml:space="preserve">Именно по этой модели работает «МТС Маркетолог»: оператор имеет статус официального партнёра и продаёт доступ к Telegram Ads своим клиентам, накладывая поверх собственные сегменты. Для нас это означает: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Интеграция — не техническая по API, а партнёрско-операционная: получение реселлерского статуса (напрямую или через действующего партнёра) и работа через его интерфейс/выгрузки.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Баланс ведётся как депозит реселлера, который мы дробим на суб-балансы клиентов внутри нашего кабинета (учёт на нашей стороне).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Передача сегментов оператора ограничена возможностями таргетинга Telegram Ads (тематики каналов, язык, гео, конкретные каналы). Прямую загрузку списка телефонов Telegram Ads не поддерживает, поэтому сегмент оператора реализуется через подбор релевантных каналов/тематик, а не через сопоставление аудитории.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Модерация — на стороне Telegram, по их рекламной политике; сроки и требования к тексту/формату нужно закладывать в продукт.</w:t>
      </w:r>
    </w:p>
    <w:p>
      <w:pPr>
        <w:pStyle w:val="Heading2"/>
      </w:pPr>
      <w:r>
        <w:t xml:space="preserve">5.2. Meta (Facebook, Instagram) и WhatsApp</w:t>
      </w:r>
    </w:p>
    <w:p>
      <w:pPr>
        <w:spacing w:after="120" w:line="276"/>
      </w:pPr>
      <w:r>
        <w:t xml:space="preserve">Самая богатая по возможностям интеграции группа. Управление ведётся через Marketing API. Поддерживаются как пользовательские, так и системные токены доступа (системный токен живёт до 60 дней или бессрочно), что удобно для серверной агентской интеграции. Для управления чужими кабинетами приложению нужен расширенный доступ (advanced access) к правам ads_management/ads_read.</w:t>
      </w:r>
    </w:p>
    <w:p>
      <w:pPr>
        <w:spacing w:after="120" w:line="276"/>
      </w:pPr>
      <w:r>
        <w:t xml:space="preserve">Баланс. Кабинет работает по модели порога расходов: остаток вычисляется как разница между лимитом расходов (spend_cap) и потраченной суммой (amount_spent). Поддерживается предоплатная модель (funding source / available funds), что позволяет фондировать кабинет заранее — это совместимо с нашей моделью единого кошелька.</w:t>
      </w:r>
    </w:p>
    <w:p>
      <w:pPr>
        <w:spacing w:after="120" w:line="276"/>
      </w:pPr>
      <w:r>
        <w:t xml:space="preserve">Передача сегментов оператора. Реализуется через пользовательские аудитории (Custom Audiences): мы загружаем список идентификаторов (телефоны, e-mail) — Meta хеширует их по стандарту SHA-256 и сопоставляет со своими пользователями. Практические ограничения: для устойчивой работы нужно несколько сотен — около тысячи сопоставленных профилей; для похожих аудиторий (lookalike) источник должен содержать не менее 100 человек из одной страны; файлы свыше 10 000 строк загружаются партиями, обработка — до 24 часов. Это ключевой механизм «приземления» сегмента оператора во внешнюю сеть.</w:t>
      </w:r>
    </w:p>
    <w:p>
      <w:pPr>
        <w:spacing w:after="120" w:line="276"/>
      </w:pPr>
      <w:r>
        <w:t xml:space="preserve">WhatsApp. Отдельного рекламного кабинета у WhatsApp нет — реклама ведёт в переписку через формат «нажми, чтобы написать в WhatsApp» (Click to WhatsApp). Технически это обычное объявление Meta с кнопкой перехода в WhatsApp, создаётся через тот же Marketing API. Предпосылки: бизнес-страница, подключённый аккаунт WhatsApp Business. Для нас это означает, что WhatsApp как канал интегрируется внутри интеграции с Meta, а не отдельно.</w:t>
      </w:r>
    </w:p>
    <w:p>
      <w:pPr>
        <w:pStyle w:val="Heading2"/>
      </w:pPr>
      <w:r>
        <w:t xml:space="preserve">5.3. Google Ads</w:t>
      </w:r>
    </w:p>
    <w:p>
      <w:pPr>
        <w:spacing w:after="120" w:line="276"/>
      </w:pPr>
      <w:r>
        <w:t xml:space="preserve">Полноценный Google Ads API и агентская модель через управляющий аккаунт (MCC). Под управляющим аккаунтом можно программно создавать клиентские кабинеты (без отдельного e-mail и пароля) и управлять ими.</w:t>
      </w:r>
    </w:p>
    <w:p>
      <w:pPr>
        <w:spacing w:after="120" w:line="276"/>
      </w:pPr>
      <w:r>
        <w:t xml:space="preserve">Существенные нюансы для нашей архитектуры: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Сам управляющий аккаунт (MCC) через API создать нельзя — его заводят вручную один раз; дальше клиентские кабинеты создаются программно.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Чтобы созданный кабинет мог показывать рекламу, у управляющего аккаунта должен быть настроен консолидированный биллинг; бюджеты заводятся через бюджетные заказы (BudgetOrderService). Это даёт единый счёт и единую оплату — основа для нашего единого баланса.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Связывание инициируется со стороны управляющего аккаунта и подтверждается клиентским; на уровне MCC удобно вести мониторинг расхода и лимитов по всем кабинетам.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Передача сегментов оператора — через механизм Customer Match (аналог пользовательских аудиторий Meta): загрузка хешированных идентификаторов с сопоставлением на стороне Google.</w:t>
      </w:r>
    </w:p>
    <w:p>
      <w:pPr>
        <w:pStyle w:val="Heading2"/>
      </w:pPr>
      <w:r>
        <w:t xml:space="preserve">5.4. Сводная таблица по сетям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50"/>
        <w:gridCol w:w="1850"/>
        <w:gridCol w:w="2050"/>
        <w:gridCol w:w="2160"/>
      </w:tblGrid>
      <w:tr>
        <w:trPr>
          <w:tblHeader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Сеть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Кабинет под клиента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Баланс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Сегменты оператора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Ads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Реселлер (нет публичного API)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Суб-баланс внутри депозита реселлера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Депозит реселлера, дробим на нашей стороне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Только таргетинг (каналы, тематики, гео); загрузка списка не поддерживается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+ WhatsApp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Marketing API, системный токен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Агентские кабинеты (advanced access)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Предоплата (funding source), порог spend_cap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Audiences: хеш SHA-256 по телефонам/e-mail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Ads API + MCC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Программное создание под MCC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Консолидированный биллинг, бюджетные заказы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Match: хешированные идентификаторы</w:t>
            </w:r>
          </w:p>
        </w:tc>
      </w:tr>
    </w:tbl>
    <w:p>
      <w:pPr>
        <w:pStyle w:val="Heading1"/>
      </w:pPr>
      <w:r>
        <w:t xml:space="preserve">6. Тонкие моменты: баланс</w:t>
      </w:r>
    </w:p>
    <w:p>
      <w:pPr>
        <w:spacing w:after="120" w:line="276"/>
      </w:pPr>
      <w:r>
        <w:t xml:space="preserve">Баланс — самый сложный узел, потому что внутренняя модель нашего продукта (единый кошелёк клиента) не совпадает с моделями сетей (каждая сеть ведёт свой баланс по своим правилам и в своей валюте).</w:t>
      </w:r>
    </w:p>
    <w:p>
      <w:pPr>
        <w:pStyle w:val="Heading2"/>
      </w:pPr>
      <w:r>
        <w:t xml:space="preserve">6.1. Архитектура балансов</w:t>
      </w:r>
    </w:p>
    <w:p>
      <w:pPr>
        <w:spacing w:after="120" w:line="276"/>
      </w:pPr>
      <w:r>
        <w:t xml:space="preserve">Рекомендуется двухуровневая схема. Верхний уровень — единый кошелёк клиента в нашем кабинете (в рублях), который клиент пополняет и с которого мы списываем за каналы оператора и за рекламу во внешних сетях. Нижний уровень — фактические балансы в кабинетах сетей, которые мы фондируем из нашего операционного счёта.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Резервирование. </w:t>
      </w:r>
      <w:r>
        <w:t xml:space="preserve">При запуске кампании сумма резервируется на нашем кошельке клиента, чтобы исключить перерасход и кассовый разрыв между нами и сетью.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Реконсиляция. </w:t>
      </w:r>
      <w:r>
        <w:t xml:space="preserve">Фактический расход берём из API сети (для Meta — разница spend_cap и amount_spent; для Google — отчёты по бюджетам) и ежедневно сверяем с нашим внутренним учётом. Расхождения неизбежны из-за округлений, возвратов модерации и задержек статистики.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Валюта и курс. </w:t>
      </w:r>
      <w:r>
        <w:t xml:space="preserve">Кабинеты внешних сетей могут вести расчёты не в рублях. Нужно зафиксировать правило конвертации (курс на момент списания/пополнения) и закладывать курсовую разницу в комиссию.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Комиссия и наценка. </w:t>
      </w:r>
      <w:r>
        <w:t xml:space="preserve">Модель B позволяет брать наценку на рекламный оборот и/или на сегменты оператора. Её нужно прозрачно отражать в кошельке отдельной строкой.</w:t>
      </w:r>
    </w:p>
    <w:p>
      <w:pPr>
        <w:pStyle w:val="Heading2"/>
      </w:pPr>
      <w:r>
        <w:t xml:space="preserve">6.2. Различия моделей сетей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Telegram: предоплата депозитом реселлера; мы ведём суб-балансы клиентов сами, сеть не знает про конкретного клиента.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Meta: предоплатная модель (available funds) или порог расходов; фондирование кабинета на нашей стороне, списание — на стороне Meta.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Google: консолидированный биллинг под MCC и бюджетные заказы; единый счёт удобен для нашего сведения, но требует контроля лимитов по каждому кабинету.</w:t>
      </w:r>
    </w:p>
    <w:p>
      <w:pPr>
        <w:pStyle w:val="Heading1"/>
      </w:pPr>
      <w:r>
        <w:t xml:space="preserve">7. Тонкие моменты: передача сегментов оператора</w:t>
      </w:r>
    </w:p>
    <w:p>
      <w:pPr>
        <w:spacing w:after="120" w:line="276"/>
      </w:pPr>
      <w:r>
        <w:t xml:space="preserve">Ценность продукта — в том, что сегмент, построенный на данных оператора, можно использовать при закупке во внешней сети. Механика зависит от сети, но сводится к двум подходам.</w:t>
      </w:r>
    </w:p>
    <w:p>
      <w:pPr>
        <w:pStyle w:val="Heading2"/>
      </w:pPr>
      <w:r>
        <w:t xml:space="preserve">7.1. Сопоставление аудитории (Meta, Google)</w:t>
      </w:r>
    </w:p>
    <w:p>
      <w:pPr>
        <w:spacing w:after="120" w:line="276"/>
      </w:pPr>
      <w:r>
        <w:t xml:space="preserve">Сегмент оператора выгружается как список идентификаторов (в первую очередь номера телефонов), хешируется по SHA-256 и загружается в сеть как пользовательская аудитория (Custom Audience в Meta, Customer Match в Google). Сеть сопоставляет хеши со своими пользователями и формирует аудиторию для таргетинга. Практические ограничения и риски: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Часть аудитории «теряется» при сопоставлении (match rate). Чем меньше сегмент, тем заметнее потери; нужны минимальные пороги (ориентир — от нескольких сотен до ~1000 сопоставленных профилей).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Задержка обработки — до суток; это влияет на обещание «быстрого запуска».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Хеширование обязательно до отправки; сырые персональные данные во внешнюю сеть не передаются.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Возможны производные аудитории (lookalike/похожие) на базе загруженного сегмента — это усиливает ценность данных оператора.</w:t>
      </w:r>
    </w:p>
    <w:p>
      <w:pPr>
        <w:pStyle w:val="Heading2"/>
      </w:pPr>
      <w:r>
        <w:t xml:space="preserve">7.2. Таргетинг по параметрам сети (Telegram)</w:t>
      </w:r>
    </w:p>
    <w:p>
      <w:pPr>
        <w:spacing w:after="120" w:line="276"/>
      </w:pPr>
      <w:r>
        <w:t xml:space="preserve">Telegram Ads не принимает загруженные списки. Сегмент оператора здесь нельзя «приземлить» напрямую — он транслируется в доступные параметры таргетинга Telegram (подбор релевантных каналов и тематик, язык, география). То есть знание оператора об аудитории мы используем для интеллектуального подбора каналов, а не для прямого сопоставления.</w:t>
      </w:r>
    </w:p>
    <w:p>
      <w:pPr>
        <w:pStyle w:val="Heading2"/>
      </w:pPr>
      <w:r>
        <w:t xml:space="preserve">7.3. Подготовка данных перед передачей</w:t>
      </w:r>
    </w:p>
    <w:p>
      <w:pPr>
        <w:spacing w:after="120" w:line="276"/>
      </w:pPr>
      <w:r>
        <w:t xml:space="preserve">Идентификаторы из сегмента оператора всегда хешируются на нашей стороне до отправки — сырые данные во внешнюю сеть не уходят. Сети дополнительно предъявляют собственные требования к происхождению и составу загружаемых списков, которые нужно учитывать в сервисе выгрузки. Это технический этап слоя данных оператора, а не настройка на стороне клиента.</w:t>
      </w:r>
    </w:p>
    <w:p>
      <w:pPr>
        <w:pStyle w:val="Heading1"/>
      </w:pPr>
      <w:r>
        <w:t xml:space="preserve">8. Модерация кампаний</w:t>
      </w:r>
    </w:p>
    <w:p>
      <w:pPr>
        <w:spacing w:after="120" w:line="276"/>
      </w:pPr>
      <w:r>
        <w:t xml:space="preserve">Каждая сеть проводит собственную модерацию по своим правилам и в свои сроки. Для пользователя нашего кабинета это должно выглядеть как единый статус кампании, за которым скрыта логика конкретной сети.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Нужен слой нормализации статусов: «на модерации», «отклонено», «активна», «остановлено» — единые для всех сетей, с расшифровкой причины отклонения из API сети, где это доступно.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Отклонение влияет на баланс: зарезервированные средства нужно возвращать на кошелёк клиента.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Дополнительный уровень — наша собственная пре-модерация (особенно для российских требований к рекламе), чтобы снижать долю отклонений на стороне сети.</w:t>
      </w:r>
    </w:p>
    <w:p>
      <w:pPr>
        <w:pStyle w:val="Heading1"/>
      </w:pPr>
      <w:r>
        <w:t xml:space="preserve">9. Рекомендуемая архитектура для нашего продукта</w:t>
      </w:r>
    </w:p>
    <w:p>
      <w:pPr>
        <w:spacing w:after="120" w:line="276"/>
      </w:pPr>
      <w:r>
        <w:t xml:space="preserve">Базовой выбирается агентская модель: рекламные кабинеты во внешних сетях заводятся и обслуживаются нами под единой управляющей структурой, клиент работает только в нашем кабинете и платит через наш единый кошелёк. Это даёт оператору контроль над аудиториями, балансом и монетизацией и снимает с клиента необходимость самостоятельно создавать и вести кабинеты в каждой сети. Поддержка чужого кабинета клиента (модель A) остаётся опцией для крупных рекламодателей.</w:t>
      </w:r>
    </w:p>
    <w:p>
      <w:pPr>
        <w:pStyle w:val="Heading2"/>
      </w:pPr>
      <w:r>
        <w:t xml:space="preserve">9.1. Слои системы</w:t>
      </w:r>
    </w:p>
    <w:p>
      <w:pPr>
        <w:spacing w:after="120" w:line="276"/>
      </w:pPr>
      <w:r>
        <w:t xml:space="preserve">Предлагается архитектура из четырёх слоёв, скрывающая различия сетей за единым интерфейсом.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Единый интерфейс кабинета. Один сценарий: выбор или построение сегмента (включая загрузку базы клиента из его CRM и сегменты оператора), выбор каналов и сетей, креатив, бюджет, запуск. Единый баланс и единый статус кампании.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Слой оркестрации (агрегатор). Внутренний сервис, который принимает «кампанию» в нашем формате и транслирует её в адаптеры сетей; ведёт резервирование средств, нормализацию статусов, единый учёт расхода. Это аналог управляющего слоя в Smartly или Revealbot, но дополненный собственным биллингом.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Адаптеры сетей. По одному на сеть: Meta/WhatsApp (Marketing API, системный токен, агентские кабинеты, Custom Audiences); Google (Ads API, управляющий аккаунт MCC, Customer Match, консолидированный биллинг); Telegram (реселлерский доступ, суб-балансы, таргетинг по каналам). Адаптер инкапсулирует модель кабинета, баланса и передачи аудитории конкретной сети, чтобы верхние слои о них не знали.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Слой данных оператора. Конструктор аудиторий и сервис выгрузки и хеширования сегментов: для сопоставления (Meta, Google) и для подбора каналов (Telegram).</w:t>
      </w:r>
    </w:p>
    <w:p>
      <w:pPr>
        <w:pStyle w:val="Heading2"/>
      </w:pPr>
      <w:r>
        <w:t xml:space="preserve">9.2. Реализация агентской модели по сетям</w:t>
      </w:r>
    </w:p>
    <w:p>
      <w:pPr>
        <w:spacing w:after="120" w:line="276"/>
      </w:pPr>
      <w:r>
        <w:t xml:space="preserve">Агентская модель реализуется по-разному в зависимости от того, открыта ли сеть. Технически это три разных механизма под одним интерфейсом: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Meta/WhatsApp — Business Manager оператора. </w:t>
      </w:r>
      <w:r>
        <w:t xml:space="preserve">Под бизнес-аккаунтом оператора создаётся системный пользователь; кабинеты клиентов создаются и обслуживаются под нашей структурой через Marketing API. Фондирование — предоплатой (available funds). Сегменты грузятся как Custom Audiences в кабинет клиента.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Google — управляющий аккаунт (MCC). </w:t>
      </w:r>
      <w:r>
        <w:t xml:space="preserve">MCC заводится один раз вручную; клиентские кабинеты создаются программно под ним, с консолидированным биллингом и бюджетными заказами. Сегменты — через Customer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Telegram — реселлерский депозит. </w:t>
      </w:r>
      <w:r>
        <w:t xml:space="preserve">Кабинета «под клиента» в привычном смысле нет: мы дробим депозит реселлера на суб-балансы клиентов на своей стороне, а запуск ведём через интерфейс/выгрузки реселлера.</w:t>
      </w:r>
    </w:p>
    <w:p>
      <w:pPr>
        <w:pStyle w:val="Heading2"/>
      </w:pPr>
      <w:r>
        <w:t xml:space="preserve">9.3. Варианты реализации для клиента</w:t>
      </w:r>
    </w:p>
    <w:p>
      <w:pPr>
        <w:spacing w:after="120" w:line="276"/>
      </w:pPr>
      <w:r>
        <w:t xml:space="preserve">Под разные сегменты клиентов оператора целесообразно предложить три уровня доступа в рамках одной агентской архитектуры: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Для кого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устроено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Самообслуживание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Малый и средний бизнес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Клиент работает только в нашем кабинете, кабинеты сетей скрыты. Единый кошелёк, готовые сегменты оператора, упрощённый запуск и модерация на нашей стороне. Аналог логики «МТС Маркетолог».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Управляемый (managed)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Средний и крупный бизнес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 же агентские кабинеты, но с участием менеджера/трафик-команды оператора: сложный таргетинг, кастомные сегменты, ручная оптимизация. Клиент видит отчётность, запуск — на нашей стороне.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Подключение своего кабинета (модель A)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Крупные рекламодатели и агентства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Клиент подключает собственный кабинет сети по OAuth; мы выступаем управляющим слоем и даём доступ к сегментам оператора, не владея балансом. Деньги остаются у клиента в сети.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Первые два варианта работают на едином кошельке и агентских кабинетах (модель B) и являются основными; третий расширяет охват на тех, кто не готов переносить закупку к оператору.</w:t>
      </w:r>
    </w:p>
    <w:p>
      <w:pPr>
        <w:pStyle w:val="Heading2"/>
      </w:pPr>
      <w:r>
        <w:t xml:space="preserve">9.4. Принципы, которые делают интеграцию устойчивой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Единый внутренний формат кампании и аудитории; всё, что специфично для сети, живёт только в адаптере. Добавление новой сети не затрагивает интерфейс и баланс.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Баланс и расход — единый источник истины на нашей стороне, с ежедневной сверкой против данных API сетей (см. раздел 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Сегменты оператора — отдельный сервис с хешированием перед отправкой; одна и та же аудитория переиспользуется в разных сетях (Custom Audiences, Customer Match) и для похожих аудиторий.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Статусы и модерация нормализуются в единые состояния, понятные клиенту, независимо от сети.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6"/>
        <w:szCs w:val="16"/>
      </w:rPr>
      <w:t xml:space="preserve">Стр. </w:t>
    </w:r>
    <w:r>
      <w:rPr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Интеграция запуска рекламы во внешних рекламных сетях</dc:title>
  <dc:creator>Кабинет третьих лиц</dc:creator>
  <cp:lastModifiedBy>Un-named</cp:lastModifiedBy>
  <cp:revision>1</cp:revision>
  <dcterms:created xsi:type="dcterms:W3CDTF">2026-06-06T11:48:02.616Z</dcterms:created>
  <dcterms:modified xsi:type="dcterms:W3CDTF">2026-06-06T11:48:02.616Z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