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925F9" w14:textId="52D3EF96" w:rsidR="00407DD6" w:rsidRPr="00C75A41" w:rsidRDefault="0080642F" w:rsidP="00555BE3">
      <w:pPr>
        <w:spacing w:line="360" w:lineRule="auto"/>
        <w:jc w:val="center"/>
        <w:rPr>
          <w:b/>
          <w:bCs/>
          <w:sz w:val="32"/>
          <w:szCs w:val="32"/>
        </w:rPr>
      </w:pPr>
      <w:r w:rsidRPr="00C75A41">
        <w:rPr>
          <w:b/>
          <w:bCs/>
          <w:sz w:val="32"/>
          <w:szCs w:val="32"/>
        </w:rPr>
        <w:t xml:space="preserve">Men </w:t>
      </w:r>
      <w:r w:rsidR="00C75A41" w:rsidRPr="00C75A41">
        <w:rPr>
          <w:b/>
          <w:bCs/>
          <w:sz w:val="32"/>
          <w:szCs w:val="32"/>
        </w:rPr>
        <w:t>and</w:t>
      </w:r>
      <w:r w:rsidRPr="00C75A41">
        <w:rPr>
          <w:b/>
          <w:bCs/>
          <w:sz w:val="32"/>
          <w:szCs w:val="32"/>
        </w:rPr>
        <w:t xml:space="preserve"> Women </w:t>
      </w:r>
      <w:r w:rsidR="00407DD6" w:rsidRPr="00C75A41">
        <w:rPr>
          <w:b/>
          <w:bCs/>
          <w:sz w:val="32"/>
          <w:szCs w:val="32"/>
        </w:rPr>
        <w:t>Empowerment in Agriculture Index</w:t>
      </w:r>
    </w:p>
    <w:p w14:paraId="30FAEE1D" w14:textId="77777777" w:rsidR="00407DD6" w:rsidRPr="00C75A41" w:rsidRDefault="00407DD6" w:rsidP="00555BE3">
      <w:pPr>
        <w:spacing w:line="360" w:lineRule="auto"/>
        <w:jc w:val="center"/>
        <w:rPr>
          <w:b/>
          <w:bCs/>
          <w:sz w:val="28"/>
          <w:szCs w:val="28"/>
        </w:rPr>
      </w:pPr>
      <w:r w:rsidRPr="00C75A41">
        <w:rPr>
          <w:b/>
          <w:bCs/>
          <w:sz w:val="28"/>
          <w:szCs w:val="28"/>
        </w:rPr>
        <w:t>Focus: Five Domains of Empowerment in Agriculture</w:t>
      </w:r>
    </w:p>
    <w:p w14:paraId="258D9CB0" w14:textId="77777777" w:rsidR="00407DD6" w:rsidRPr="003D7EC1" w:rsidRDefault="00407DD6" w:rsidP="00555BE3">
      <w:pPr>
        <w:pStyle w:val="Heading2"/>
        <w:spacing w:before="0" w:line="360" w:lineRule="auto"/>
        <w:rPr>
          <w:rFonts w:ascii="Times New Roman" w:hAnsi="Times New Roman" w:cs="Times New Roman"/>
          <w:sz w:val="24"/>
          <w:szCs w:val="24"/>
        </w:rPr>
      </w:pPr>
      <w:bookmarkStart w:id="0" w:name="general-overview"/>
    </w:p>
    <w:p w14:paraId="44C0D0B9" w14:textId="77777777" w:rsidR="00407DD6" w:rsidRPr="00A571C5" w:rsidRDefault="00407DD6" w:rsidP="00555BE3">
      <w:pPr>
        <w:spacing w:line="360" w:lineRule="auto"/>
        <w:rPr>
          <w:b/>
          <w:bCs/>
          <w:sz w:val="28"/>
          <w:szCs w:val="28"/>
        </w:rPr>
      </w:pPr>
      <w:r w:rsidRPr="00A571C5">
        <w:rPr>
          <w:b/>
          <w:bCs/>
          <w:sz w:val="28"/>
          <w:szCs w:val="28"/>
        </w:rPr>
        <w:t>General Overview</w:t>
      </w:r>
      <w:bookmarkEnd w:id="0"/>
    </w:p>
    <w:p w14:paraId="3414194E" w14:textId="2C143909" w:rsidR="00407DD6" w:rsidRDefault="00407DD6" w:rsidP="00555BE3">
      <w:pPr>
        <w:spacing w:line="360" w:lineRule="auto"/>
      </w:pPr>
      <w:r w:rsidRPr="003D7EC1">
        <w:t>Constructing an index capable of measuring</w:t>
      </w:r>
      <w:r>
        <w:t xml:space="preserve"> unbiased</w:t>
      </w:r>
      <w:r w:rsidRPr="003D7EC1">
        <w:t xml:space="preserve"> empowerment in agriculture </w:t>
      </w:r>
      <w:r>
        <w:t>is a strategy that furnishes</w:t>
      </w:r>
      <w:r w:rsidRPr="003D7EC1">
        <w:t xml:space="preserve"> policymakers </w:t>
      </w:r>
      <w:r>
        <w:t xml:space="preserve">with means </w:t>
      </w:r>
      <w:r w:rsidR="00013F99">
        <w:t>to</w:t>
      </w:r>
      <w:r>
        <w:t xml:space="preserve"> prioritizing and making</w:t>
      </w:r>
      <w:r w:rsidRPr="003D7EC1">
        <w:t xml:space="preserve"> well-informed decisions. </w:t>
      </w:r>
      <w:r>
        <w:t>For nearly a decade, the</w:t>
      </w:r>
      <w:r w:rsidRPr="003D7EC1">
        <w:t xml:space="preserve"> Women's Empowerment in Agriculture Index </w:t>
      </w:r>
      <w:r>
        <w:t>(</w:t>
      </w:r>
      <w:r w:rsidRPr="003D7EC1">
        <w:t>WEAI</w:t>
      </w:r>
      <w:r>
        <w:t>)</w:t>
      </w:r>
      <w:r w:rsidRPr="003D7EC1">
        <w:t xml:space="preserve"> </w:t>
      </w:r>
      <w:r>
        <w:t>has been</w:t>
      </w:r>
      <w:r w:rsidRPr="003D7EC1">
        <w:t xml:space="preserve"> used as a </w:t>
      </w:r>
      <w:r>
        <w:t xml:space="preserve">quantitative measure of </w:t>
      </w:r>
      <w:r w:rsidRPr="003D7EC1">
        <w:t>women’s control over agricultural indicators</w:t>
      </w:r>
      <w:r w:rsidRPr="00B6654A">
        <w:rPr>
          <w:color w:val="000000"/>
        </w:rPr>
        <w:t xml:space="preserve"> </w:t>
      </w:r>
      <w:sdt>
        <w:sdtPr>
          <w:rPr>
            <w:color w:val="000000"/>
          </w:rPr>
          <w:tag w:val="MENDELEY_CITATION_4e5ac6ef-34c0-447c-8a7a-27c1f2c16ce3"/>
          <w:id w:val="-306401606"/>
          <w:placeholder>
            <w:docPart w:val="AE8009BC1115DE4AB38257C1EC6E0CC6"/>
          </w:placeholder>
        </w:sdtPr>
        <w:sdtEndPr/>
        <w:sdtContent>
          <w:r w:rsidRPr="00E46170">
            <w:rPr>
              <w:color w:val="000000"/>
            </w:rPr>
            <w:t>(Alkire et al., 2012, 2013)</w:t>
          </w:r>
        </w:sdtContent>
      </w:sdt>
      <w:r w:rsidRPr="003D7EC1">
        <w:t xml:space="preserve">. </w:t>
      </w:r>
      <w:r>
        <w:t>Different</w:t>
      </w:r>
      <w:r w:rsidRPr="003D7EC1">
        <w:t xml:space="preserve"> models </w:t>
      </w:r>
      <w:r>
        <w:t>construct numerous indicators nested within weighted dimensions</w:t>
      </w:r>
      <w:r w:rsidR="00920D7B">
        <w:t xml:space="preserve">. For instance, the original </w:t>
      </w:r>
      <w:r>
        <w:t xml:space="preserve">WEAI </w:t>
      </w:r>
      <w:r w:rsidR="00920D7B">
        <w:t xml:space="preserve">is constructed with </w:t>
      </w:r>
      <w:r w:rsidRPr="003D7EC1">
        <w:t>five domains of empowerment (5DE)</w:t>
      </w:r>
      <w:r w:rsidR="00920D7B">
        <w:t xml:space="preserve"> that are used to measure</w:t>
      </w:r>
      <w:r w:rsidRPr="003D7EC1">
        <w:t xml:space="preserve"> the degree over which</w:t>
      </w:r>
      <w:r>
        <w:t xml:space="preserve"> men and</w:t>
      </w:r>
      <w:r w:rsidRPr="003D7EC1">
        <w:t xml:space="preserve"> women are empowered in (i) decisions about agricultural </w:t>
      </w:r>
      <w:r w:rsidRPr="003D7EC1">
        <w:rPr>
          <w:b/>
        </w:rPr>
        <w:t>production</w:t>
      </w:r>
      <w:r w:rsidRPr="003D7EC1">
        <w:t xml:space="preserve">, (ii) access to and decision-making power about productive </w:t>
      </w:r>
      <w:r w:rsidRPr="003D7EC1">
        <w:rPr>
          <w:b/>
        </w:rPr>
        <w:t>resources</w:t>
      </w:r>
      <w:r w:rsidRPr="003D7EC1">
        <w:t xml:space="preserve">, (iii) control of the use of </w:t>
      </w:r>
      <w:r w:rsidRPr="003D7EC1">
        <w:rPr>
          <w:b/>
        </w:rPr>
        <w:t>income</w:t>
      </w:r>
      <w:r w:rsidRPr="003D7EC1">
        <w:t xml:space="preserve">, (iv) </w:t>
      </w:r>
      <w:r w:rsidRPr="003D7EC1">
        <w:rPr>
          <w:b/>
        </w:rPr>
        <w:t>leadership</w:t>
      </w:r>
      <w:r w:rsidRPr="003D7EC1">
        <w:t xml:space="preserve"> in the community and (v) </w:t>
      </w:r>
      <w:r w:rsidRPr="003D7EC1">
        <w:rPr>
          <w:b/>
        </w:rPr>
        <w:t>time</w:t>
      </w:r>
      <w:r w:rsidRPr="003D7EC1">
        <w:t xml:space="preserve"> allocation.</w:t>
      </w:r>
      <w:r>
        <w:t xml:space="preserve"> </w:t>
      </w:r>
    </w:p>
    <w:p w14:paraId="4A6F9C1B" w14:textId="77777777" w:rsidR="00407DD6" w:rsidRDefault="00407DD6" w:rsidP="00555BE3">
      <w:pPr>
        <w:spacing w:line="360" w:lineRule="auto"/>
        <w:rPr>
          <w:b/>
          <w:bCs/>
          <w:sz w:val="28"/>
          <w:szCs w:val="28"/>
        </w:rPr>
      </w:pPr>
    </w:p>
    <w:p w14:paraId="03AF1D7C" w14:textId="56F9DBBC" w:rsidR="00407DD6" w:rsidRPr="00407DD6" w:rsidRDefault="00407DD6" w:rsidP="00555BE3">
      <w:pPr>
        <w:spacing w:line="360" w:lineRule="auto"/>
        <w:rPr>
          <w:b/>
          <w:bCs/>
        </w:rPr>
      </w:pPr>
      <w:r w:rsidRPr="00407DD6">
        <w:rPr>
          <w:b/>
          <w:bCs/>
          <w:sz w:val="28"/>
          <w:szCs w:val="28"/>
        </w:rPr>
        <w:t>Computing Subindexes of 5DE</w:t>
      </w:r>
    </w:p>
    <w:p w14:paraId="1FDE8A36" w14:textId="77777777" w:rsidR="00407DD6" w:rsidRDefault="00407DD6" w:rsidP="00555BE3">
      <w:pPr>
        <w:spacing w:line="360" w:lineRule="auto"/>
      </w:pPr>
      <w:r w:rsidRPr="003D7EC1">
        <w:t xml:space="preserve">The two significant components considered in calculating the 5DE subindex </w:t>
      </w:r>
      <w:r>
        <w:t>are</w:t>
      </w:r>
      <w:r w:rsidRPr="003D7EC1">
        <w:t xml:space="preserve"> (i) the incidence of empowerment, which </w:t>
      </w:r>
      <w:r>
        <w:t>is</w:t>
      </w:r>
      <w:r w:rsidRPr="003D7EC1">
        <w:t xml:space="preserve"> calculated as the percentage of empowered respondents and (ii) the adequacy among the disempowered</w:t>
      </w:r>
      <w:r>
        <w:t>. The latter is</w:t>
      </w:r>
      <w:r w:rsidRPr="003D7EC1">
        <w:t xml:space="preserve"> calculated as the percentage of indicators in which the disempowered respondents </w:t>
      </w:r>
      <w:r>
        <w:t>experience</w:t>
      </w:r>
      <w:r w:rsidRPr="003D7EC1">
        <w:t xml:space="preserve"> adequate achievements. </w:t>
      </w:r>
    </w:p>
    <w:p w14:paraId="50D51273" w14:textId="77777777" w:rsidR="00407DD6" w:rsidRDefault="00407DD6" w:rsidP="00555BE3">
      <w:pPr>
        <w:spacing w:line="360" w:lineRule="auto"/>
      </w:pPr>
    </w:p>
    <w:p w14:paraId="5B6E1E1A" w14:textId="41E81062" w:rsidR="00407DD6" w:rsidRPr="00407DD6" w:rsidRDefault="00407DD6" w:rsidP="00555BE3">
      <w:pPr>
        <w:spacing w:line="360" w:lineRule="auto"/>
        <w:rPr>
          <w:b/>
          <w:bCs/>
          <w:sz w:val="28"/>
          <w:szCs w:val="28"/>
        </w:rPr>
      </w:pPr>
      <w:r w:rsidRPr="00407DD6">
        <w:rPr>
          <w:b/>
          <w:bCs/>
          <w:sz w:val="28"/>
          <w:szCs w:val="28"/>
        </w:rPr>
        <w:t>The sub</w:t>
      </w:r>
      <w:r w:rsidR="00920D7B">
        <w:rPr>
          <w:b/>
          <w:bCs/>
          <w:sz w:val="28"/>
          <w:szCs w:val="28"/>
        </w:rPr>
        <w:t>-</w:t>
      </w:r>
      <w:r w:rsidRPr="00407DD6">
        <w:rPr>
          <w:b/>
          <w:bCs/>
          <w:sz w:val="28"/>
          <w:szCs w:val="28"/>
        </w:rPr>
        <w:t xml:space="preserve">indexes of the 5DE </w:t>
      </w:r>
    </w:p>
    <w:p w14:paraId="67BC0E61" w14:textId="77777777" w:rsidR="00407DD6" w:rsidRDefault="00407DD6" w:rsidP="00555BE3">
      <w:pPr>
        <w:pStyle w:val="NormalWeb"/>
        <w:numPr>
          <w:ilvl w:val="0"/>
          <w:numId w:val="1"/>
        </w:numPr>
        <w:spacing w:before="0" w:beforeAutospacing="0" w:after="0" w:afterAutospacing="0" w:line="360" w:lineRule="auto"/>
        <w:ind w:left="634"/>
        <w:rPr>
          <w:rStyle w:val="math"/>
        </w:rPr>
      </w:pPr>
      <w:r>
        <w:rPr>
          <w:rStyle w:val="math"/>
        </w:rPr>
        <w:t>Inadequacy</w:t>
      </w:r>
      <w:r w:rsidRPr="003D7EC1">
        <w:rPr>
          <w:rStyle w:val="math"/>
        </w:rPr>
        <w:t xml:space="preserve"> scores</w:t>
      </w:r>
      <w:r>
        <w:rPr>
          <w:rStyle w:val="math"/>
        </w:rPr>
        <w:t xml:space="preserve"> (</w:t>
      </w:r>
      <w:r w:rsidRPr="0034073E">
        <w:rPr>
          <w:rStyle w:val="math"/>
          <w:i/>
          <w:iCs/>
        </w:rPr>
        <w:t>c</w:t>
      </w:r>
      <w:r w:rsidRPr="0034073E">
        <w:rPr>
          <w:rStyle w:val="math"/>
          <w:i/>
          <w:iCs/>
          <w:vertAlign w:val="subscript"/>
        </w:rPr>
        <w:t>i</w:t>
      </w:r>
      <w:r>
        <w:rPr>
          <w:rStyle w:val="math"/>
        </w:rPr>
        <w:t>)</w:t>
      </w:r>
    </w:p>
    <w:p w14:paraId="34808A03" w14:textId="77777777" w:rsidR="00407DD6" w:rsidRPr="0034073E" w:rsidRDefault="00415FBE" w:rsidP="00555BE3">
      <w:pPr>
        <w:spacing w:line="360" w:lineRule="auto"/>
        <w:ind w:left="1440"/>
      </w:pPr>
      <m:oMathPara>
        <m:oMathParaPr>
          <m:jc m:val="left"/>
        </m:oMathParaPr>
        <m:oMath>
          <m:sSub>
            <m:sSubPr>
              <m:ctrlPr>
                <w:rPr>
                  <w:rStyle w:val="math"/>
                  <w:rFonts w:ascii="Cambria Math" w:hAnsi="Cambria Math"/>
                  <w:i/>
                </w:rPr>
              </m:ctrlPr>
            </m:sSubPr>
            <m:e>
              <m:r>
                <w:rPr>
                  <w:rStyle w:val="math"/>
                  <w:rFonts w:ascii="Cambria Math" w:hAnsi="Cambria Math"/>
                </w:rPr>
                <m:t>c</m:t>
              </m:r>
            </m:e>
            <m:sub>
              <m:r>
                <w:rPr>
                  <w:rStyle w:val="math"/>
                  <w:rFonts w:ascii="Cambria Math" w:hAnsi="Cambria Math"/>
                </w:rPr>
                <m:t>i</m:t>
              </m:r>
            </m:sub>
          </m:sSub>
          <m:r>
            <w:rPr>
              <w:rStyle w:val="math"/>
              <w:rFonts w:ascii="Cambria Math" w:hAnsi="Cambria Math"/>
            </w:rPr>
            <m:t xml:space="preserve">= </m:t>
          </m:r>
          <m:nary>
            <m:naryPr>
              <m:chr m:val="∑"/>
              <m:limLoc m:val="subSup"/>
              <m:ctrlPr>
                <w:rPr>
                  <w:rStyle w:val="math"/>
                  <w:rFonts w:ascii="Cambria Math" w:hAnsi="Cambria Math"/>
                  <w:i/>
                </w:rPr>
              </m:ctrlPr>
            </m:naryPr>
            <m:sub>
              <m:r>
                <w:rPr>
                  <w:rStyle w:val="math"/>
                  <w:rFonts w:ascii="Cambria Math" w:hAnsi="Cambria Math"/>
                </w:rPr>
                <m:t>j=1</m:t>
              </m:r>
            </m:sub>
            <m:sup>
              <m:r>
                <w:rPr>
                  <w:rStyle w:val="math"/>
                  <w:rFonts w:ascii="Cambria Math" w:hAnsi="Cambria Math"/>
                </w:rPr>
                <m:t>10</m:t>
              </m:r>
            </m:sup>
            <m:e>
              <m:sSub>
                <m:sSubPr>
                  <m:ctrlPr>
                    <w:rPr>
                      <w:rStyle w:val="math"/>
                      <w:rFonts w:ascii="Cambria Math" w:hAnsi="Cambria Math"/>
                      <w:i/>
                    </w:rPr>
                  </m:ctrlPr>
                </m:sSubPr>
                <m:e>
                  <m:r>
                    <w:rPr>
                      <w:rStyle w:val="math"/>
                      <w:rFonts w:ascii="Cambria Math" w:hAnsi="Cambria Math"/>
                    </w:rPr>
                    <m:t>w</m:t>
                  </m:r>
                </m:e>
                <m:sub>
                  <m:r>
                    <w:rPr>
                      <w:rStyle w:val="math"/>
                      <w:rFonts w:ascii="Cambria Math" w:hAnsi="Cambria Math"/>
                    </w:rPr>
                    <m:t>j</m:t>
                  </m:r>
                </m:sub>
              </m:sSub>
              <m:r>
                <w:rPr>
                  <w:rStyle w:val="math"/>
                  <w:rFonts w:ascii="Cambria Math" w:hAnsi="Cambria Math"/>
                </w:rPr>
                <m:t xml:space="preserve"> × </m:t>
              </m:r>
              <m:sSub>
                <m:sSubPr>
                  <m:ctrlPr>
                    <w:rPr>
                      <w:rStyle w:val="math"/>
                      <w:rFonts w:ascii="Cambria Math" w:hAnsi="Cambria Math"/>
                      <w:i/>
                    </w:rPr>
                  </m:ctrlPr>
                </m:sSubPr>
                <m:e>
                  <m:r>
                    <w:rPr>
                      <w:rStyle w:val="math"/>
                      <w:rFonts w:ascii="Cambria Math" w:hAnsi="Cambria Math"/>
                    </w:rPr>
                    <m:t>g</m:t>
                  </m:r>
                </m:e>
                <m:sub>
                  <m:r>
                    <w:rPr>
                      <w:rStyle w:val="math"/>
                      <w:rFonts w:ascii="Cambria Math" w:hAnsi="Cambria Math"/>
                    </w:rPr>
                    <m:t>ij</m:t>
                  </m:r>
                </m:sub>
              </m:sSub>
            </m:e>
          </m:nary>
        </m:oMath>
      </m:oMathPara>
    </w:p>
    <w:p w14:paraId="423B68B6" w14:textId="77777777" w:rsidR="00407DD6" w:rsidRDefault="00407DD6" w:rsidP="00555BE3">
      <w:pPr>
        <w:spacing w:line="360" w:lineRule="auto"/>
        <w:ind w:left="720"/>
        <w:rPr>
          <w:rStyle w:val="math"/>
        </w:rPr>
      </w:pPr>
    </w:p>
    <w:p w14:paraId="7C2CDCDD" w14:textId="77777777" w:rsidR="00407DD6" w:rsidRDefault="00407DD6" w:rsidP="00555BE3">
      <w:pPr>
        <w:spacing w:line="360" w:lineRule="auto"/>
        <w:ind w:left="1440"/>
        <w:rPr>
          <w:rStyle w:val="math"/>
        </w:rPr>
      </w:pPr>
      <w:r>
        <w:rPr>
          <w:rStyle w:val="math"/>
        </w:rPr>
        <w:t>Where,</w:t>
      </w:r>
    </w:p>
    <w:p w14:paraId="602206D0" w14:textId="77777777" w:rsidR="00407DD6" w:rsidRDefault="00407DD6" w:rsidP="00555BE3">
      <w:pPr>
        <w:spacing w:line="360" w:lineRule="auto"/>
        <w:ind w:left="1440"/>
        <w:rPr>
          <w:rStyle w:val="math"/>
        </w:rPr>
      </w:pPr>
      <w:r>
        <w:rPr>
          <w:rStyle w:val="math"/>
        </w:rPr>
        <w:t>c</w:t>
      </w:r>
      <w:r w:rsidRPr="00F26AF0">
        <w:rPr>
          <w:rStyle w:val="math"/>
          <w:vertAlign w:val="subscript"/>
        </w:rPr>
        <w:t>i</w:t>
      </w:r>
      <w:r>
        <w:rPr>
          <w:rStyle w:val="math"/>
        </w:rPr>
        <w:t xml:space="preserve"> = Inadequacy</w:t>
      </w:r>
      <w:r w:rsidRPr="003D7EC1">
        <w:rPr>
          <w:rStyle w:val="math"/>
        </w:rPr>
        <w:t xml:space="preserve"> scores</w:t>
      </w:r>
      <w:r>
        <w:rPr>
          <w:rStyle w:val="math"/>
        </w:rPr>
        <w:t xml:space="preserve"> of a respondent.</w:t>
      </w:r>
    </w:p>
    <w:p w14:paraId="146C5592" w14:textId="77777777" w:rsidR="00407DD6" w:rsidRDefault="00407DD6" w:rsidP="00555BE3">
      <w:pPr>
        <w:spacing w:line="360" w:lineRule="auto"/>
        <w:ind w:left="1440"/>
        <w:rPr>
          <w:rStyle w:val="math"/>
        </w:rPr>
      </w:pPr>
      <w:r>
        <w:rPr>
          <w:rStyle w:val="math"/>
        </w:rPr>
        <w:t>w</w:t>
      </w:r>
      <w:r>
        <w:rPr>
          <w:rStyle w:val="math"/>
          <w:vertAlign w:val="subscript"/>
        </w:rPr>
        <w:t>j</w:t>
      </w:r>
      <w:r>
        <w:rPr>
          <w:rStyle w:val="math"/>
        </w:rPr>
        <w:t xml:space="preserve"> = Weight of an indicator.</w:t>
      </w:r>
    </w:p>
    <w:p w14:paraId="1B1B8D1F" w14:textId="77777777" w:rsidR="00407DD6" w:rsidRDefault="00407DD6" w:rsidP="00555BE3">
      <w:pPr>
        <w:spacing w:line="360" w:lineRule="auto"/>
        <w:ind w:left="1440"/>
      </w:pPr>
      <w:r>
        <w:rPr>
          <w:rStyle w:val="math"/>
        </w:rPr>
        <w:t>g</w:t>
      </w:r>
      <w:r w:rsidRPr="00F26AF0">
        <w:rPr>
          <w:rStyle w:val="math"/>
          <w:vertAlign w:val="subscript"/>
        </w:rPr>
        <w:t>ij</w:t>
      </w:r>
      <w:r>
        <w:rPr>
          <w:rStyle w:val="math"/>
          <w:vertAlign w:val="subscript"/>
        </w:rPr>
        <w:t xml:space="preserve"> </w:t>
      </w:r>
      <w:r w:rsidRPr="00F26AF0">
        <w:rPr>
          <w:rStyle w:val="math"/>
        </w:rPr>
        <w:t xml:space="preserve">= </w:t>
      </w:r>
      <w:r>
        <w:rPr>
          <w:rStyle w:val="math"/>
        </w:rPr>
        <w:t xml:space="preserve">Inadequacy binary status assigned based on </w:t>
      </w:r>
      <w:r w:rsidRPr="003D7EC1">
        <w:rPr>
          <w:rStyle w:val="math"/>
        </w:rPr>
        <w:t xml:space="preserve">empowerment </w:t>
      </w:r>
      <w:r>
        <w:rPr>
          <w:rStyle w:val="math"/>
        </w:rPr>
        <w:t>cutoff (k).</w:t>
      </w:r>
    </w:p>
    <w:p w14:paraId="0B0191E4" w14:textId="77777777" w:rsidR="00407DD6" w:rsidRPr="003D7EC1" w:rsidRDefault="00407DD6" w:rsidP="00555BE3">
      <w:pPr>
        <w:pStyle w:val="NormalWeb"/>
        <w:numPr>
          <w:ilvl w:val="0"/>
          <w:numId w:val="1"/>
        </w:numPr>
        <w:spacing w:before="0" w:beforeAutospacing="0" w:after="0" w:afterAutospacing="0" w:line="360" w:lineRule="auto"/>
        <w:ind w:left="720"/>
      </w:pPr>
      <w:r w:rsidRPr="003D7EC1">
        <w:t xml:space="preserve">Disempowered Headcount </w:t>
      </w:r>
      <w:r>
        <w:t xml:space="preserve">ratio </w:t>
      </w:r>
      <w:r w:rsidRPr="003D7EC1">
        <w:t>(</w:t>
      </w:r>
      <w:r w:rsidRPr="003D7EC1">
        <w:rPr>
          <w:i/>
          <w:iCs/>
        </w:rPr>
        <w:t>H</w:t>
      </w:r>
      <w:r w:rsidRPr="003D7EC1">
        <w:rPr>
          <w:i/>
          <w:iCs/>
          <w:vertAlign w:val="subscript"/>
        </w:rPr>
        <w:t>n</w:t>
      </w:r>
      <w:r w:rsidRPr="003D7EC1">
        <w:t xml:space="preserve">) </w:t>
      </w:r>
    </w:p>
    <w:p w14:paraId="56469113" w14:textId="77777777" w:rsidR="00407DD6" w:rsidRPr="00665E8F" w:rsidRDefault="00415FBE" w:rsidP="00555BE3">
      <w:pPr>
        <w:pStyle w:val="NormalWeb"/>
        <w:spacing w:before="0" w:beforeAutospacing="0" w:after="0" w:afterAutospacing="0" w:line="360" w:lineRule="auto"/>
        <w:ind w:left="1440" w:firstLine="36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N</m:t>
              </m:r>
            </m:den>
          </m:f>
        </m:oMath>
      </m:oMathPara>
    </w:p>
    <w:p w14:paraId="6C38570C" w14:textId="77777777" w:rsidR="00407DD6" w:rsidRDefault="00407DD6" w:rsidP="00555BE3">
      <w:pPr>
        <w:pStyle w:val="NormalWeb"/>
        <w:spacing w:before="0" w:beforeAutospacing="0" w:after="0" w:afterAutospacing="0" w:line="360" w:lineRule="auto"/>
        <w:ind w:left="1440"/>
        <w:rPr>
          <w:rFonts w:ascii="Calibri" w:eastAsia="Times New Roman" w:hAnsi="Calibri" w:cs="Calibri"/>
          <w:sz w:val="22"/>
          <w:szCs w:val="22"/>
          <w:lang w:val="en-US" w:eastAsia="en-US"/>
        </w:rPr>
      </w:pPr>
      <w:r w:rsidRPr="00665E8F">
        <w:rPr>
          <w:sz w:val="22"/>
          <w:szCs w:val="22"/>
        </w:rPr>
        <w:t xml:space="preserve">Where, </w:t>
      </w:r>
      <w:r w:rsidRPr="00665E8F">
        <w:rPr>
          <w:rFonts w:ascii="Cambria Math" w:eastAsia="Times New Roman" w:hAnsi="Cambria Math" w:cs="Cambria Math"/>
          <w:i/>
          <w:iCs/>
          <w:sz w:val="22"/>
          <w:szCs w:val="22"/>
          <w:lang w:val="en-US" w:eastAsia="en-US"/>
        </w:rPr>
        <w:t xml:space="preserve">𝑞 </w:t>
      </w:r>
      <w:r w:rsidRPr="00665E8F">
        <w:rPr>
          <w:rFonts w:ascii="CambriaMath" w:eastAsia="Times New Roman" w:hAnsi="CambriaMath"/>
          <w:i/>
          <w:iCs/>
          <w:sz w:val="22"/>
          <w:szCs w:val="22"/>
          <w:lang w:val="en-US" w:eastAsia="en-US"/>
        </w:rPr>
        <w:t xml:space="preserve"> </w:t>
      </w:r>
      <w:r w:rsidRPr="00665E8F">
        <w:rPr>
          <w:rFonts w:ascii="Calibri" w:eastAsia="Times New Roman" w:hAnsi="Calibri" w:cs="Calibri"/>
          <w:sz w:val="22"/>
          <w:szCs w:val="22"/>
          <w:lang w:val="en-US" w:eastAsia="en-US"/>
        </w:rPr>
        <w:t xml:space="preserve">is the number of respondents identified as disempowered and </w:t>
      </w:r>
    </w:p>
    <w:p w14:paraId="48705CB2" w14:textId="5E2AAB1F" w:rsidR="00407DD6" w:rsidRPr="0034073E" w:rsidRDefault="00407DD6" w:rsidP="00555BE3">
      <w:pPr>
        <w:pStyle w:val="NormalWeb"/>
        <w:spacing w:before="0" w:beforeAutospacing="0" w:after="0" w:afterAutospacing="0" w:line="360" w:lineRule="auto"/>
        <w:ind w:left="1440"/>
        <w:rPr>
          <w:rFonts w:eastAsia="Times New Roman"/>
          <w:sz w:val="22"/>
          <w:szCs w:val="22"/>
          <w:lang w:val="en-US" w:eastAsia="en-US"/>
        </w:rPr>
      </w:pPr>
      <w:r w:rsidRPr="00665E8F">
        <w:rPr>
          <w:rFonts w:ascii="Cambria Math" w:eastAsia="Times New Roman" w:hAnsi="Cambria Math" w:cs="Cambria Math"/>
          <w:i/>
          <w:iCs/>
          <w:sz w:val="22"/>
          <w:szCs w:val="22"/>
          <w:lang w:val="en-US" w:eastAsia="en-US"/>
        </w:rPr>
        <w:t>N</w:t>
      </w:r>
      <w:r w:rsidR="00555BE3">
        <w:rPr>
          <w:rFonts w:ascii="Cambria Math" w:eastAsia="Times New Roman" w:hAnsi="Cambria Math" w:cs="Cambria Math"/>
          <w:sz w:val="22"/>
          <w:szCs w:val="22"/>
          <w:lang w:val="en-US" w:eastAsia="en-US"/>
        </w:rPr>
        <w:t xml:space="preserve"> </w:t>
      </w:r>
      <w:r w:rsidRPr="00665E8F">
        <w:rPr>
          <w:rFonts w:ascii="Calibri" w:eastAsia="Times New Roman" w:hAnsi="Calibri" w:cs="Calibri"/>
          <w:sz w:val="22"/>
          <w:szCs w:val="22"/>
          <w:lang w:val="en-US" w:eastAsia="en-US"/>
        </w:rPr>
        <w:t xml:space="preserve">is the total number of respondents. </w:t>
      </w:r>
    </w:p>
    <w:p w14:paraId="19A103E4" w14:textId="77777777" w:rsidR="00407DD6" w:rsidRPr="003D7EC1" w:rsidRDefault="00407DD6" w:rsidP="00555BE3">
      <w:pPr>
        <w:pStyle w:val="NormalWeb"/>
        <w:numPr>
          <w:ilvl w:val="0"/>
          <w:numId w:val="1"/>
        </w:numPr>
        <w:spacing w:before="0" w:beforeAutospacing="0" w:after="0" w:afterAutospacing="0" w:line="360" w:lineRule="auto"/>
        <w:ind w:left="720"/>
      </w:pPr>
      <w:r w:rsidRPr="003D7EC1">
        <w:t xml:space="preserve">Empowered Headcount </w:t>
      </w:r>
      <w:r>
        <w:t xml:space="preserve">ratio </w:t>
      </w:r>
      <w:r w:rsidRPr="003D7EC1">
        <w:t>(</w:t>
      </w:r>
      <w:r w:rsidRPr="003D7EC1">
        <w:rPr>
          <w:i/>
          <w:iCs/>
        </w:rPr>
        <w:t>H</w:t>
      </w:r>
      <w:r w:rsidRPr="003D7EC1">
        <w:rPr>
          <w:i/>
          <w:iCs/>
          <w:vertAlign w:val="subscript"/>
        </w:rPr>
        <w:t>e</w:t>
      </w:r>
      <w:r w:rsidRPr="003D7EC1">
        <w:t>)</w:t>
      </w:r>
    </w:p>
    <w:p w14:paraId="511EF288" w14:textId="77777777" w:rsidR="00407DD6" w:rsidRPr="009561EA" w:rsidRDefault="00415FBE" w:rsidP="00555BE3">
      <w:pPr>
        <w:spacing w:line="360" w:lineRule="auto"/>
        <w:ind w:left="1440"/>
      </w:pPr>
      <m:oMathPara>
        <m:oMathParaPr>
          <m:jc m:val="left"/>
        </m:oMathParaPr>
        <m:oMath>
          <m:sSub>
            <m:sSubPr>
              <m:ctrlPr>
                <w:rPr>
                  <w:rFonts w:ascii="Cambria Math" w:hAnsi="Cambria Math"/>
                  <w:vertAlign w:val="subscript"/>
                </w:rPr>
              </m:ctrlPr>
            </m:sSubPr>
            <m:e>
              <m:r>
                <w:rPr>
                  <w:rFonts w:ascii="Cambria Math" w:hAnsi="Cambria Math"/>
                </w:rPr>
                <m:t>H</m:t>
              </m:r>
              <m:ctrlPr>
                <w:rPr>
                  <w:rFonts w:ascii="Cambria Math" w:hAnsi="Cambria Math"/>
                </w:rPr>
              </m:ctrlPr>
            </m:e>
            <m:sub>
              <m:r>
                <w:rPr>
                  <w:rFonts w:ascii="Cambria Math" w:hAnsi="Cambria Math"/>
                  <w:vertAlign w:val="subscript"/>
                </w:rPr>
                <m:t>e</m:t>
              </m:r>
            </m:sub>
          </m:sSub>
          <m:r>
            <m:rPr>
              <m:sty m:val="p"/>
            </m:rPr>
            <w:rPr>
              <w:rFonts w:ascii="Cambria Math" w:hAnsi="Cambria Math"/>
            </w:rPr>
            <m:t xml:space="preserve"> = 1-</m:t>
          </m:r>
          <m:sSub>
            <m:sSubPr>
              <m:ctrlPr>
                <w:rPr>
                  <w:rFonts w:ascii="Cambria Math" w:hAnsi="Cambria Math"/>
                  <w:vertAlign w:val="subscript"/>
                </w:rPr>
              </m:ctrlPr>
            </m:sSubPr>
            <m:e>
              <m:r>
                <w:rPr>
                  <w:rFonts w:ascii="Cambria Math" w:hAnsi="Cambria Math"/>
                </w:rPr>
                <m:t>H</m:t>
              </m:r>
              <m:ctrlPr>
                <w:rPr>
                  <w:rFonts w:ascii="Cambria Math" w:hAnsi="Cambria Math"/>
                </w:rPr>
              </m:ctrlPr>
            </m:e>
            <m:sub>
              <m:r>
                <w:rPr>
                  <w:rFonts w:ascii="Cambria Math" w:hAnsi="Cambria Math"/>
                  <w:vertAlign w:val="subscript"/>
                </w:rPr>
                <m:t>n</m:t>
              </m:r>
            </m:sub>
          </m:sSub>
          <m:r>
            <m:rPr>
              <m:sty m:val="p"/>
            </m:rPr>
            <w:rPr>
              <w:rFonts w:ascii="Cambria Math" w:hAnsi="Cambria Math"/>
              <w:vertAlign w:val="subscript"/>
            </w:rPr>
            <m:t xml:space="preserve"> </m:t>
          </m:r>
        </m:oMath>
      </m:oMathPara>
    </w:p>
    <w:p w14:paraId="2B4B27CB" w14:textId="6D991BE1" w:rsidR="00407DD6" w:rsidRDefault="00407DD6" w:rsidP="00555BE3">
      <w:pPr>
        <w:pStyle w:val="NormalWeb"/>
        <w:numPr>
          <w:ilvl w:val="0"/>
          <w:numId w:val="1"/>
        </w:numPr>
        <w:spacing w:before="0" w:beforeAutospacing="0" w:after="0" w:afterAutospacing="0" w:line="360" w:lineRule="auto"/>
        <w:ind w:left="720"/>
      </w:pPr>
      <w:r w:rsidRPr="003D7EC1">
        <w:t>Average Inadequacy Score (</w:t>
      </w:r>
      <w:r w:rsidRPr="003D7EC1">
        <w:rPr>
          <w:i/>
          <w:iCs/>
        </w:rPr>
        <w:t>A</w:t>
      </w:r>
      <w:r w:rsidRPr="003D7EC1">
        <w:rPr>
          <w:i/>
          <w:iCs/>
          <w:vertAlign w:val="subscript"/>
        </w:rPr>
        <w:t>n</w:t>
      </w:r>
      <w:r w:rsidRPr="003D7EC1">
        <w:t>)</w:t>
      </w:r>
      <w:r w:rsidR="00C75A41">
        <w:t xml:space="preserve"> measures </w:t>
      </w:r>
      <w:r>
        <w:t>the intensity of disempowerment</w:t>
      </w:r>
      <w:r w:rsidR="00C75A41">
        <w:t>.</w:t>
      </w:r>
    </w:p>
    <w:p w14:paraId="7D426F28" w14:textId="77777777" w:rsidR="00407DD6" w:rsidRPr="00D258FA" w:rsidRDefault="00415FBE" w:rsidP="00555BE3">
      <w:pPr>
        <w:pStyle w:val="NormalWeb"/>
        <w:spacing w:before="0" w:beforeAutospacing="0" w:after="0" w:afterAutospacing="0" w:line="360" w:lineRule="auto"/>
        <w:ind w:left="144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e>
              </m:nary>
            </m:num>
            <m:den>
              <m:r>
                <w:rPr>
                  <w:rFonts w:ascii="Cambria Math" w:hAnsi="Cambria Math"/>
                </w:rPr>
                <m:t>q</m:t>
              </m:r>
            </m:den>
          </m:f>
        </m:oMath>
      </m:oMathPara>
    </w:p>
    <w:p w14:paraId="78AF5E9E" w14:textId="77777777" w:rsidR="00407DD6" w:rsidRDefault="00407DD6" w:rsidP="00555BE3">
      <w:pPr>
        <w:pStyle w:val="NormalWeb"/>
        <w:spacing w:before="0" w:beforeAutospacing="0" w:after="0" w:afterAutospacing="0" w:line="360" w:lineRule="auto"/>
        <w:ind w:left="1440"/>
      </w:pPr>
      <w:r>
        <w:t xml:space="preserve">Where </w:t>
      </w:r>
      <w:r w:rsidRPr="00211F81">
        <w:rPr>
          <w:i/>
          <w:iCs/>
        </w:rPr>
        <w:t>c</w:t>
      </w:r>
      <w:r w:rsidRPr="00211F81">
        <w:rPr>
          <w:i/>
          <w:iCs/>
          <w:vertAlign w:val="subscript"/>
        </w:rPr>
        <w:t>i</w:t>
      </w:r>
      <w:r w:rsidRPr="00211F81">
        <w:rPr>
          <w:i/>
          <w:iCs/>
        </w:rPr>
        <w:t>(k)</w:t>
      </w:r>
      <w:r>
        <w:t xml:space="preserve"> is the censored inadequacy score </w:t>
      </w:r>
    </w:p>
    <w:p w14:paraId="7ACDD4CC" w14:textId="77777777" w:rsidR="00407DD6" w:rsidRDefault="00407DD6" w:rsidP="00555BE3">
      <w:pPr>
        <w:pStyle w:val="NormalWeb"/>
        <w:spacing w:before="0" w:beforeAutospacing="0" w:after="0" w:afterAutospacing="0" w:line="360" w:lineRule="auto"/>
        <w:ind w:left="1440"/>
      </w:pPr>
      <w:r w:rsidRPr="001460FC">
        <w:rPr>
          <w:i/>
          <w:iCs/>
        </w:rPr>
        <w:t>q</w:t>
      </w:r>
      <w:r>
        <w:t xml:space="preserve"> is the number identified as disempowered.</w:t>
      </w:r>
    </w:p>
    <w:p w14:paraId="45698A9F" w14:textId="44F48115" w:rsidR="00407DD6" w:rsidRPr="00D258FA" w:rsidRDefault="00407DD6" w:rsidP="00555BE3">
      <w:pPr>
        <w:pStyle w:val="NormalWeb"/>
        <w:numPr>
          <w:ilvl w:val="0"/>
          <w:numId w:val="1"/>
        </w:numPr>
        <w:spacing w:before="0" w:beforeAutospacing="0" w:after="0" w:afterAutospacing="0" w:line="360" w:lineRule="auto"/>
        <w:ind w:left="720"/>
      </w:pPr>
      <w:r w:rsidRPr="003D7EC1">
        <w:t>Average Adequacy Score (A</w:t>
      </w:r>
      <w:r w:rsidRPr="003D7EC1">
        <w:rPr>
          <w:vertAlign w:val="subscript"/>
        </w:rPr>
        <w:t>a</w:t>
      </w:r>
      <w:r w:rsidRPr="003D7EC1">
        <w:t>)</w:t>
      </w:r>
      <w:r w:rsidR="00C75A41">
        <w:t xml:space="preserve"> of the disempowered.</w:t>
      </w:r>
    </w:p>
    <w:p w14:paraId="7CF7E0FB" w14:textId="77777777" w:rsidR="00407DD6" w:rsidRPr="00FB0A51" w:rsidRDefault="00415FBE" w:rsidP="00555BE3">
      <w:pPr>
        <w:spacing w:line="360" w:lineRule="auto"/>
        <w:ind w:left="144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a</m:t>
              </m:r>
            </m:sub>
          </m:sSub>
          <m:r>
            <m:rPr>
              <m:sty m:val="p"/>
            </m:rPr>
            <w:rPr>
              <w:rFonts w:ascii="Cambria Math" w:hAnsi="Cambria Math"/>
            </w:rPr>
            <m:t xml:space="preserve"> = 1-</m:t>
          </m:r>
          <m:sSub>
            <m:sSubPr>
              <m:ctrlPr>
                <w:rPr>
                  <w:rFonts w:ascii="Cambria Math" w:hAnsi="Cambria Math"/>
                  <w:vertAlign w:val="subscript"/>
                </w:rPr>
              </m:ctrlPr>
            </m:sSubPr>
            <m:e>
              <m:r>
                <w:rPr>
                  <w:rFonts w:ascii="Cambria Math" w:hAnsi="Cambria Math"/>
                </w:rPr>
                <m:t>A</m:t>
              </m:r>
              <m:ctrlPr>
                <w:rPr>
                  <w:rFonts w:ascii="Cambria Math" w:hAnsi="Cambria Math"/>
                </w:rPr>
              </m:ctrlPr>
            </m:e>
            <m:sub>
              <m:r>
                <w:rPr>
                  <w:rFonts w:ascii="Cambria Math" w:hAnsi="Cambria Math"/>
                  <w:vertAlign w:val="subscript"/>
                </w:rPr>
                <m:t>n</m:t>
              </m:r>
            </m:sub>
          </m:sSub>
          <m:r>
            <m:rPr>
              <m:sty m:val="p"/>
            </m:rPr>
            <w:rPr>
              <w:rFonts w:ascii="Cambria Math" w:hAnsi="Cambria Math"/>
              <w:vertAlign w:val="subscript"/>
            </w:rPr>
            <m:t xml:space="preserve"> </m:t>
          </m:r>
        </m:oMath>
      </m:oMathPara>
    </w:p>
    <w:p w14:paraId="4C7EFA9D" w14:textId="02EF80E8" w:rsidR="00407DD6" w:rsidRDefault="00407DD6" w:rsidP="00555BE3">
      <w:pPr>
        <w:pStyle w:val="NormalWeb"/>
        <w:numPr>
          <w:ilvl w:val="0"/>
          <w:numId w:val="1"/>
        </w:numPr>
        <w:spacing w:before="0" w:beforeAutospacing="0" w:after="0" w:afterAutospacing="0" w:line="360" w:lineRule="auto"/>
        <w:ind w:left="720"/>
      </w:pPr>
      <w:r w:rsidRPr="009561EA">
        <w:t>Disempowerment Index (M</w:t>
      </w:r>
      <w:r w:rsidRPr="009561EA">
        <w:rPr>
          <w:vertAlign w:val="subscript"/>
        </w:rPr>
        <w:t>0</w:t>
      </w:r>
      <w:r w:rsidRPr="009561EA">
        <w:t>)</w:t>
      </w:r>
      <w:r w:rsidR="00C75A41">
        <w:t>.</w:t>
      </w:r>
    </w:p>
    <w:p w14:paraId="3E613592" w14:textId="77777777" w:rsidR="00407DD6" w:rsidRPr="009561EA" w:rsidRDefault="00415FBE" w:rsidP="00555BE3">
      <w:pPr>
        <w:spacing w:line="360" w:lineRule="auto"/>
        <w:ind w:left="1440"/>
        <w:rPr>
          <w:vertAlign w:val="subscript"/>
        </w:rPr>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vertAlign w:val="subscript"/>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n</m:t>
              </m:r>
            </m:sub>
          </m:sSub>
          <m:r>
            <m:rPr>
              <m:sty m:val="p"/>
            </m:rPr>
            <w:rPr>
              <w:rFonts w:ascii="Cambria Math" w:hAnsi="Cambria Math"/>
              <w:vertAlign w:val="subscript"/>
            </w:rPr>
            <m:t xml:space="preserve"> </m:t>
          </m:r>
        </m:oMath>
      </m:oMathPara>
    </w:p>
    <w:p w14:paraId="32510864" w14:textId="3930EA7F" w:rsidR="00407DD6" w:rsidRDefault="00407DD6" w:rsidP="00555BE3">
      <w:pPr>
        <w:spacing w:line="360" w:lineRule="auto"/>
        <w:ind w:left="1440"/>
        <w:rPr>
          <w:vertAlign w:val="subscript"/>
        </w:rPr>
      </w:pPr>
    </w:p>
    <w:p w14:paraId="24A0D60B" w14:textId="13B5B28D" w:rsidR="00555BE3" w:rsidRPr="00555BE3" w:rsidRDefault="00555BE3" w:rsidP="00555BE3">
      <w:pPr>
        <w:spacing w:line="360" w:lineRule="auto"/>
        <w:ind w:left="1440"/>
      </w:pPr>
      <w:r>
        <w:t>Also, can be expressed as:</w:t>
      </w:r>
    </w:p>
    <w:p w14:paraId="69BBC2CF" w14:textId="77777777" w:rsidR="00407DD6" w:rsidRDefault="00407DD6" w:rsidP="00555BE3">
      <w:pPr>
        <w:spacing w:line="360" w:lineRule="auto"/>
      </w:pPr>
    </w:p>
    <w:p w14:paraId="632D8146" w14:textId="77777777" w:rsidR="00407DD6" w:rsidRPr="009561EA" w:rsidRDefault="00415FBE" w:rsidP="00555BE3">
      <w:pPr>
        <w:spacing w:line="360" w:lineRule="auto"/>
        <w:ind w:left="1440"/>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vertAlign w:val="subscript"/>
            </w:rPr>
            <m:t xml:space="preserve">= </m:t>
          </m:r>
          <m:f>
            <m:fPr>
              <m:ctrlPr>
                <w:rPr>
                  <w:rFonts w:ascii="Cambria Math" w:hAnsi="Cambria Math"/>
                  <w:vertAlign w:val="subscript"/>
                </w:rPr>
              </m:ctrlPr>
            </m:fPr>
            <m:num>
              <m:r>
                <w:rPr>
                  <w:rFonts w:ascii="Cambria Math" w:hAnsi="Cambria Math"/>
                  <w:vertAlign w:val="subscript"/>
                </w:rPr>
                <m:t>1</m:t>
              </m:r>
            </m:num>
            <m:den>
              <m:r>
                <w:rPr>
                  <w:rFonts w:ascii="Cambria Math" w:hAnsi="Cambria Math"/>
                  <w:vertAlign w:val="subscript"/>
                </w:rPr>
                <m:t>N</m:t>
              </m:r>
            </m:den>
          </m:f>
          <m:r>
            <m:rPr>
              <m:sty m:val="p"/>
            </m:rPr>
            <w:rPr>
              <w:rFonts w:ascii="Cambria Math" w:hAnsi="Cambria Math"/>
              <w:vertAlign w:val="subscript"/>
            </w:rPr>
            <m:t xml:space="preserve"> </m:t>
          </m:r>
          <m:nary>
            <m:naryPr>
              <m:chr m:val="∑"/>
              <m:limLoc m:val="undOvr"/>
              <m:ctrlPr>
                <w:rPr>
                  <w:rFonts w:ascii="Cambria Math" w:hAnsi="Cambria Math"/>
                  <w:vertAlign w:val="subscript"/>
                </w:rPr>
              </m:ctrlPr>
            </m:naryPr>
            <m:sub>
              <m:r>
                <w:rPr>
                  <w:rFonts w:ascii="Cambria Math" w:hAnsi="Cambria Math"/>
                  <w:vertAlign w:val="subscript"/>
                </w:rPr>
                <m:t>i=1</m:t>
              </m:r>
            </m:sub>
            <m:sup>
              <m:r>
                <w:rPr>
                  <w:rFonts w:ascii="Cambria Math" w:hAnsi="Cambria Math"/>
                  <w:vertAlign w:val="subscript"/>
                </w:rPr>
                <m:t>N</m:t>
              </m:r>
            </m:sup>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(k)</m:t>
              </m:r>
            </m:e>
          </m:nary>
        </m:oMath>
      </m:oMathPara>
    </w:p>
    <w:p w14:paraId="63C540DB" w14:textId="13E5C40C" w:rsidR="00407DD6" w:rsidRDefault="00407DD6" w:rsidP="00555BE3">
      <w:pPr>
        <w:pStyle w:val="NormalWeb"/>
        <w:numPr>
          <w:ilvl w:val="0"/>
          <w:numId w:val="1"/>
        </w:numPr>
        <w:spacing w:before="0" w:beforeAutospacing="0" w:after="0" w:afterAutospacing="0" w:line="360" w:lineRule="auto"/>
        <w:ind w:left="720"/>
      </w:pPr>
      <w:r w:rsidRPr="009561EA">
        <w:t>5DE Index (1-M</w:t>
      </w:r>
      <w:r w:rsidRPr="007937AE">
        <w:t>0</w:t>
      </w:r>
      <w:r w:rsidRPr="009561EA">
        <w:t>)</w:t>
      </w:r>
      <w:r w:rsidR="00C75A41">
        <w:t xml:space="preserve">,  </w:t>
      </w:r>
      <w:r w:rsidR="007937AE" w:rsidRPr="007937AE">
        <w:t xml:space="preserve">assesses the degree to which women are empowered in </w:t>
      </w:r>
      <w:r w:rsidR="00555BE3">
        <w:t xml:space="preserve">the </w:t>
      </w:r>
      <w:r w:rsidR="007937AE" w:rsidRPr="007937AE">
        <w:t>five domains of empowerment in agriculture.</w:t>
      </w:r>
    </w:p>
    <w:p w14:paraId="2155F704" w14:textId="77777777" w:rsidR="00407DD6" w:rsidRPr="00C84E8F" w:rsidRDefault="00407DD6" w:rsidP="00555BE3">
      <w:pPr>
        <w:spacing w:line="360" w:lineRule="auto"/>
        <w:ind w:left="1440"/>
        <w:rPr>
          <w:rFonts w:eastAsiaTheme="minorEastAsia"/>
          <w:vertAlign w:val="subscript"/>
        </w:rPr>
      </w:pPr>
      <m:oMathPara>
        <m:oMathParaPr>
          <m:jc m:val="left"/>
        </m:oMathParaPr>
        <m:oMath>
          <m:r>
            <w:rPr>
              <w:rFonts w:ascii="Cambria Math" w:hAnsi="Cambria Math"/>
            </w:rPr>
            <m:t>5DE</m:t>
          </m:r>
          <m:r>
            <m:rPr>
              <m:sty m:val="p"/>
            </m:rPr>
            <w:rPr>
              <w:rFonts w:ascii="Cambria Math" w:hAnsi="Cambria Math"/>
            </w:rPr>
            <m:t xml:space="preserve"> = 1-</m:t>
          </m:r>
          <m:sSub>
            <m:sSubPr>
              <m:ctrlPr>
                <w:rPr>
                  <w:rFonts w:ascii="Cambria Math" w:hAnsi="Cambria Math"/>
                  <w:i/>
                  <w:vertAlign w:val="subscript"/>
                </w:rPr>
              </m:ctrlPr>
            </m:sSubPr>
            <m:e>
              <m:r>
                <w:rPr>
                  <w:rFonts w:ascii="Cambria Math" w:hAnsi="Cambria Math"/>
                  <w:vertAlign w:val="subscript"/>
                </w:rPr>
                <m:t>M</m:t>
              </m:r>
              <m:ctrlPr>
                <w:rPr>
                  <w:rFonts w:ascii="Cambria Math" w:hAnsi="Cambria Math"/>
                </w:rPr>
              </m:ctrlPr>
            </m:e>
            <m:sub>
              <m:r>
                <w:rPr>
                  <w:rFonts w:ascii="Cambria Math" w:hAnsi="Cambria Math"/>
                  <w:vertAlign w:val="subscript"/>
                </w:rPr>
                <m:t>0</m:t>
              </m:r>
            </m:sub>
          </m:sSub>
          <m:r>
            <m:rPr>
              <m:sty m:val="p"/>
            </m:rPr>
            <w:rPr>
              <w:rFonts w:ascii="Cambria Math" w:hAnsi="Cambria Math"/>
              <w:vertAlign w:val="subscript"/>
            </w:rPr>
            <m:t xml:space="preserve"> </m:t>
          </m:r>
        </m:oMath>
      </m:oMathPara>
    </w:p>
    <w:p w14:paraId="79F205AE" w14:textId="77777777" w:rsidR="00407DD6" w:rsidRPr="00C84E8F" w:rsidRDefault="00407DD6" w:rsidP="00555BE3">
      <w:pPr>
        <w:spacing w:line="360" w:lineRule="auto"/>
        <w:ind w:left="1440"/>
        <w:rPr>
          <w:rFonts w:eastAsiaTheme="minorEastAsia"/>
          <w:vertAlign w:val="subscript"/>
        </w:rPr>
      </w:pPr>
    </w:p>
    <w:p w14:paraId="54D0CB03" w14:textId="77777777" w:rsidR="00407DD6" w:rsidRDefault="00407DD6" w:rsidP="00555BE3">
      <w:pPr>
        <w:spacing w:line="360" w:lineRule="auto"/>
        <w:ind w:left="1440"/>
      </w:pPr>
      <w:r>
        <w:t>Same as:</w:t>
      </w:r>
    </w:p>
    <w:p w14:paraId="69091405" w14:textId="77777777" w:rsidR="00407DD6" w:rsidRPr="009561EA" w:rsidRDefault="00407DD6" w:rsidP="00555BE3">
      <w:pPr>
        <w:spacing w:line="360" w:lineRule="auto"/>
        <w:ind w:left="1440"/>
      </w:pPr>
    </w:p>
    <w:p w14:paraId="1C51ED2B" w14:textId="77777777" w:rsidR="00407DD6" w:rsidRPr="009561EA" w:rsidRDefault="00407DD6" w:rsidP="00555BE3">
      <w:pPr>
        <w:spacing w:line="360" w:lineRule="auto"/>
        <w:ind w:left="1440"/>
      </w:pPr>
      <m:oMathPara>
        <m:oMathParaPr>
          <m:jc m:val="left"/>
        </m:oMathParaPr>
        <m:oMath>
          <m:r>
            <m:rPr>
              <m:sty m:val="p"/>
            </m:rPr>
            <w:rPr>
              <w:rFonts w:ascii="Cambria Math" w:hAnsi="Cambria Math"/>
            </w:rPr>
            <m:t xml:space="preserve">5DE =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rPr>
            <m:t xml:space="preserve"> x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a</m:t>
              </m:r>
            </m:sub>
          </m:sSub>
          <m:r>
            <m:rPr>
              <m:sty m:val="p"/>
            </m:rPr>
            <w:rPr>
              <w:rFonts w:ascii="Cambria Math" w:hAnsi="Cambria Math"/>
            </w:rPr>
            <m:t>)</m:t>
          </m:r>
          <m:r>
            <m:rPr>
              <m:sty m:val="p"/>
            </m:rPr>
            <w:rPr>
              <w:rFonts w:ascii="Cambria Math" w:hAnsi="Cambria Math"/>
              <w:vertAlign w:val="subscript"/>
            </w:rPr>
            <m:t xml:space="preserve"> </m:t>
          </m:r>
        </m:oMath>
      </m:oMathPara>
    </w:p>
    <w:p w14:paraId="0E044CF0" w14:textId="77777777" w:rsidR="00407DD6" w:rsidRDefault="00407DD6" w:rsidP="00555BE3">
      <w:pPr>
        <w:spacing w:line="360" w:lineRule="auto"/>
      </w:pPr>
    </w:p>
    <w:p w14:paraId="56083D25" w14:textId="77777777" w:rsidR="00407DD6" w:rsidRDefault="00407DD6" w:rsidP="00555BE3">
      <w:pPr>
        <w:spacing w:line="360" w:lineRule="auto"/>
        <w:ind w:left="1440"/>
      </w:pPr>
      <w:r>
        <w:t xml:space="preserve">Where, </w:t>
      </w:r>
    </w:p>
    <w:p w14:paraId="151EA9DB" w14:textId="77777777" w:rsidR="00407DD6" w:rsidRDefault="00407DD6" w:rsidP="00555BE3">
      <w:pPr>
        <w:spacing w:line="360" w:lineRule="auto"/>
        <w:ind w:left="1440"/>
      </w:pPr>
      <w:r>
        <w:t>He = Empowered headcount ratio (</w:t>
      </w:r>
      <w:r w:rsidRPr="0094153B">
        <w:rPr>
          <w:i/>
          <w:iCs/>
        </w:rPr>
        <w:t>1 – Hn</w:t>
      </w:r>
      <w:r>
        <w:t>)</w:t>
      </w:r>
    </w:p>
    <w:p w14:paraId="5467023C" w14:textId="68C70D5F" w:rsidR="00407DD6" w:rsidRDefault="00407DD6" w:rsidP="00555BE3">
      <w:pPr>
        <w:spacing w:line="360" w:lineRule="auto"/>
        <w:ind w:left="1440"/>
      </w:pPr>
      <w:r>
        <w:t>Hn = Disempowered headcount ratio (</w:t>
      </w:r>
      <w:r w:rsidRPr="00C97123">
        <w:rPr>
          <w:i/>
          <w:iCs/>
        </w:rPr>
        <w:t>q</w:t>
      </w:r>
      <w:r w:rsidR="00B33ED7">
        <w:rPr>
          <w:i/>
          <w:iCs/>
        </w:rPr>
        <w:t xml:space="preserve"> ÷ </w:t>
      </w:r>
      <w:r w:rsidRPr="00C97123">
        <w:rPr>
          <w:i/>
          <w:iCs/>
        </w:rPr>
        <w:t>N</w:t>
      </w:r>
      <w:r>
        <w:t>)</w:t>
      </w:r>
    </w:p>
    <w:p w14:paraId="0ECDA32C" w14:textId="77777777" w:rsidR="00407DD6" w:rsidRDefault="00407DD6" w:rsidP="00555BE3">
      <w:pPr>
        <w:spacing w:line="360" w:lineRule="auto"/>
        <w:ind w:left="1440"/>
      </w:pPr>
      <w:r>
        <w:lastRenderedPageBreak/>
        <w:t>Aa = The average adequacy score of disempowered (</w:t>
      </w:r>
      <w:r w:rsidRPr="00C97123">
        <w:rPr>
          <w:i/>
          <w:iCs/>
        </w:rPr>
        <w:t>1 – An</w:t>
      </w:r>
      <w:r>
        <w:t>)</w:t>
      </w:r>
    </w:p>
    <w:p w14:paraId="01F98DA1" w14:textId="77777777" w:rsidR="00407DD6" w:rsidRDefault="00407DD6" w:rsidP="00555BE3">
      <w:pPr>
        <w:spacing w:line="360" w:lineRule="auto"/>
        <w:ind w:left="1440"/>
      </w:pPr>
    </w:p>
    <w:p w14:paraId="5DBB0745" w14:textId="77777777" w:rsidR="00407DD6" w:rsidRPr="00E47954" w:rsidRDefault="00407DD6" w:rsidP="00555BE3">
      <w:pPr>
        <w:pStyle w:val="Heading3"/>
        <w:spacing w:before="0" w:line="360" w:lineRule="auto"/>
        <w:rPr>
          <w:rFonts w:ascii="Times New Roman" w:hAnsi="Times New Roman" w:cs="Times New Roman"/>
          <w:b/>
          <w:bCs/>
          <w:color w:val="333333"/>
        </w:rPr>
      </w:pPr>
      <w:r w:rsidRPr="00E47954">
        <w:rPr>
          <w:rFonts w:ascii="Times New Roman" w:hAnsi="Times New Roman" w:cs="Times New Roman"/>
          <w:b/>
          <w:bCs/>
          <w:color w:val="333333"/>
        </w:rPr>
        <w:t>Contribution of each indicator to disempowerment</w:t>
      </w:r>
    </w:p>
    <w:p w14:paraId="6B12BB3B" w14:textId="205A58E8" w:rsidR="00407DD6" w:rsidRPr="00D6325E" w:rsidRDefault="00407DD6" w:rsidP="00555BE3">
      <w:pPr>
        <w:pStyle w:val="NormalWeb"/>
        <w:spacing w:before="0" w:beforeAutospacing="0" w:after="0" w:afterAutospacing="0" w:line="360" w:lineRule="auto"/>
        <w:rPr>
          <w:rFonts w:ascii="TimesNewRomanPSMT" w:eastAsia="Times New Roman" w:hAnsi="TimesNewRomanPSMT"/>
          <w:sz w:val="22"/>
          <w:szCs w:val="22"/>
          <w:lang w:val="en-US" w:eastAsia="en-US"/>
        </w:rPr>
      </w:pPr>
      <w:r>
        <w:t xml:space="preserve">The contribution of each indicator to the disempowerment </w:t>
      </w:r>
      <w:r w:rsidR="00920D7B">
        <w:t>i</w:t>
      </w:r>
      <w:r>
        <w:t xml:space="preserve">s determined by decomposing the </w:t>
      </w:r>
      <w:r w:rsidRPr="00920A43">
        <w:rPr>
          <w:i/>
          <w:iCs/>
        </w:rPr>
        <w:t>M</w:t>
      </w:r>
      <w:r w:rsidRPr="00920A43">
        <w:rPr>
          <w:i/>
          <w:iCs/>
          <w:vertAlign w:val="subscript"/>
        </w:rPr>
        <w:t>0</w:t>
      </w:r>
      <w:r>
        <w:t xml:space="preserve"> into its censored components. The </w:t>
      </w:r>
      <w:r w:rsidRPr="00DC1F44">
        <w:t xml:space="preserve">headcount ratio </w:t>
      </w:r>
      <w:proofErr w:type="spellStart"/>
      <w:r w:rsidRPr="001C6E61">
        <w:rPr>
          <w:i/>
          <w:iCs/>
        </w:rPr>
        <w:t>h</w:t>
      </w:r>
      <w:r>
        <w:rPr>
          <w:i/>
          <w:iCs/>
          <w:vertAlign w:val="subscript"/>
        </w:rPr>
        <w:t>j</w:t>
      </w:r>
      <w:proofErr w:type="spellEnd"/>
      <w:r w:rsidRPr="001C6E61">
        <w:t>(</w:t>
      </w:r>
      <w:r w:rsidRPr="001C6E61">
        <w:rPr>
          <w:i/>
          <w:iCs/>
        </w:rPr>
        <w:t>k</w:t>
      </w:r>
      <w:r w:rsidRPr="001C6E61">
        <w:t>)</w:t>
      </w:r>
      <w:r>
        <w:t xml:space="preserve"> </w:t>
      </w:r>
      <w:r w:rsidR="00920D7B">
        <w:t>i</w:t>
      </w:r>
      <w:r>
        <w:t xml:space="preserve">s computed to represented a proportion of the respondents who </w:t>
      </w:r>
      <w:r w:rsidR="00920D7B">
        <w:t>are</w:t>
      </w:r>
      <w:r>
        <w:t xml:space="preserve"> disempowered and </w:t>
      </w:r>
      <w:r w:rsidR="00920D7B">
        <w:t>have</w:t>
      </w:r>
      <w:r>
        <w:t xml:space="preserve"> inadequacy status (</w:t>
      </w:r>
      <w:r>
        <w:rPr>
          <w:rFonts w:ascii="TimesNewRomanPSMT" w:eastAsia="Times New Roman" w:hAnsi="TimesNewRomanPSMT"/>
          <w:i/>
          <w:iCs/>
          <w:sz w:val="22"/>
          <w:szCs w:val="22"/>
          <w:lang w:val="en-US" w:eastAsia="en-US"/>
        </w:rPr>
        <w:t>g</w:t>
      </w:r>
      <w:r w:rsidRPr="00C31D07">
        <w:rPr>
          <w:rFonts w:ascii="TimesNewRomanPSMT" w:eastAsia="Times New Roman" w:hAnsi="TimesNewRomanPSMT"/>
          <w:i/>
          <w:iCs/>
          <w:sz w:val="22"/>
          <w:szCs w:val="22"/>
          <w:vertAlign w:val="subscript"/>
          <w:lang w:val="en-US" w:eastAsia="en-US"/>
        </w:rPr>
        <w:t>i</w:t>
      </w:r>
      <w:r w:rsidRPr="00ED6849">
        <w:rPr>
          <w:rFonts w:ascii="TimesNewRomanPSMT" w:eastAsia="Times New Roman" w:hAnsi="TimesNewRomanPSMT"/>
          <w:i/>
          <w:iCs/>
          <w:sz w:val="22"/>
          <w:szCs w:val="22"/>
          <w:vertAlign w:val="subscript"/>
          <w:lang w:val="en-US" w:eastAsia="en-US"/>
        </w:rPr>
        <w:t>j</w:t>
      </w:r>
      <w:r w:rsidRPr="002D09DD">
        <w:rPr>
          <w:rFonts w:ascii="TimesNewRomanPSMT" w:eastAsia="Times New Roman" w:hAnsi="TimesNewRomanPSMT"/>
          <w:i/>
          <w:iCs/>
          <w:sz w:val="22"/>
          <w:szCs w:val="22"/>
          <w:lang w:val="en-US" w:eastAsia="en-US"/>
        </w:rPr>
        <w:t>(k</w:t>
      </w:r>
      <w:r w:rsidRPr="002D09DD">
        <w:rPr>
          <w:rFonts w:ascii="TimesNewRomanPSMT" w:eastAsia="Times New Roman" w:hAnsi="TimesNewRomanPSMT"/>
          <w:sz w:val="22"/>
          <w:szCs w:val="22"/>
          <w:lang w:val="en-US" w:eastAsia="en-US"/>
        </w:rPr>
        <w:t>)</w:t>
      </w:r>
      <w:r>
        <w:rPr>
          <w:rFonts w:ascii="TimesNewRomanPSMT" w:eastAsia="Times New Roman" w:hAnsi="TimesNewRomanPSMT"/>
          <w:sz w:val="22"/>
          <w:szCs w:val="22"/>
          <w:lang w:val="en-US" w:eastAsia="en-US"/>
        </w:rPr>
        <w:t xml:space="preserve"> </w:t>
      </w:r>
      <w:r>
        <w:t xml:space="preserve">in the specified indicator. </w:t>
      </w:r>
      <w:r>
        <w:rPr>
          <w:rFonts w:ascii="TimesNewRomanPSMT" w:eastAsia="Times New Roman" w:hAnsi="TimesNewRomanPSMT"/>
          <w:sz w:val="22"/>
          <w:szCs w:val="22"/>
          <w:lang w:val="en-US" w:eastAsia="en-US"/>
        </w:rPr>
        <w:t xml:space="preserve">Algebraically, we can express </w:t>
      </w:r>
      <w:proofErr w:type="spellStart"/>
      <w:r w:rsidRPr="001C6E61">
        <w:rPr>
          <w:i/>
          <w:iCs/>
        </w:rPr>
        <w:t>h</w:t>
      </w:r>
      <w:r>
        <w:rPr>
          <w:i/>
          <w:iCs/>
          <w:vertAlign w:val="subscript"/>
        </w:rPr>
        <w:t>j</w:t>
      </w:r>
      <w:proofErr w:type="spellEnd"/>
      <w:r w:rsidRPr="001C6E61">
        <w:t>(</w:t>
      </w:r>
      <w:r w:rsidRPr="001C6E61">
        <w:rPr>
          <w:i/>
          <w:iCs/>
        </w:rPr>
        <w:t>k</w:t>
      </w:r>
      <w:r w:rsidRPr="001C6E61">
        <w:t>)</w:t>
      </w:r>
      <w:r>
        <w:t xml:space="preserve"> </w:t>
      </w:r>
      <w:r>
        <w:rPr>
          <w:rFonts w:ascii="TimesNewRomanPSMT" w:eastAsia="Times New Roman" w:hAnsi="TimesNewRomanPSMT"/>
          <w:sz w:val="22"/>
          <w:szCs w:val="22"/>
          <w:lang w:val="en-US" w:eastAsia="en-US"/>
        </w:rPr>
        <w:t>as follows:</w:t>
      </w:r>
    </w:p>
    <w:p w14:paraId="48A5BD1F" w14:textId="77777777" w:rsidR="00407DD6" w:rsidRPr="00505ADD" w:rsidRDefault="00415FBE" w:rsidP="00555BE3">
      <w:pPr>
        <w:spacing w:line="360" w:lineRule="auto"/>
        <w:ind w:left="72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 xml:space="preserve"> g</m:t>
                  </m:r>
                </m:e>
                <m:sub>
                  <m:r>
                    <w:rPr>
                      <w:rFonts w:ascii="Cambria Math" w:hAnsi="Cambria Math"/>
                    </w:rPr>
                    <m:t>ij</m:t>
                  </m:r>
                </m:sub>
              </m:sSub>
              <m:r>
                <w:rPr>
                  <w:rFonts w:ascii="Cambria Math" w:hAnsi="Cambria Math"/>
                </w:rPr>
                <m:t>(k)</m:t>
              </m:r>
            </m:e>
          </m:nary>
        </m:oMath>
      </m:oMathPara>
    </w:p>
    <w:p w14:paraId="19551D50" w14:textId="460D1D02" w:rsidR="00407DD6" w:rsidRDefault="00407DD6" w:rsidP="00555BE3">
      <w:pPr>
        <w:spacing w:line="360" w:lineRule="auto"/>
      </w:pPr>
      <w:r>
        <w:t xml:space="preserve">We </w:t>
      </w:r>
      <w:r w:rsidR="00920D7B">
        <w:t xml:space="preserve">can </w:t>
      </w:r>
      <w:r>
        <w:t>appl</w:t>
      </w:r>
      <w:r w:rsidR="00920D7B">
        <w:t>y</w:t>
      </w:r>
      <w:r>
        <w:t xml:space="preserve"> </w:t>
      </w:r>
      <w:r w:rsidR="00920D7B">
        <w:t xml:space="preserve">pre-determined indicator </w:t>
      </w:r>
      <w:r>
        <w:t>weights (</w:t>
      </w:r>
      <w:r w:rsidRPr="003F2041">
        <w:rPr>
          <w:i/>
          <w:iCs/>
        </w:rPr>
        <w:t>w</w:t>
      </w:r>
      <w:r w:rsidRPr="003F2041">
        <w:rPr>
          <w:i/>
          <w:iCs/>
          <w:vertAlign w:val="subscript"/>
        </w:rPr>
        <w:t>j</w:t>
      </w:r>
      <w:r w:rsidRPr="009747CF">
        <w:t>)</w:t>
      </w:r>
      <w:r>
        <w:t xml:space="preserve"> and compute the absolute contribution of an indicator as:</w:t>
      </w:r>
    </w:p>
    <w:p w14:paraId="715251BD" w14:textId="77777777" w:rsidR="00407DD6" w:rsidRPr="005330C1" w:rsidRDefault="00415FBE" w:rsidP="00555BE3">
      <w:pPr>
        <w:spacing w:line="360" w:lineRule="auto"/>
        <w:ind w:left="72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(k)</m:t>
          </m:r>
        </m:oMath>
      </m:oMathPara>
    </w:p>
    <w:p w14:paraId="5C5BE3C9" w14:textId="577C4A88" w:rsidR="00621F2E" w:rsidRDefault="00621F2E" w:rsidP="00555BE3">
      <w:pPr>
        <w:spacing w:line="360" w:lineRule="auto"/>
      </w:pPr>
    </w:p>
    <w:p w14:paraId="56442B08" w14:textId="1033B3C4" w:rsidR="00033880" w:rsidRDefault="00033880" w:rsidP="00555BE3">
      <w:pPr>
        <w:spacing w:line="360" w:lineRule="auto"/>
      </w:pPr>
    </w:p>
    <w:p w14:paraId="2A842239" w14:textId="7E53E70B" w:rsidR="00033880" w:rsidRDefault="00033880" w:rsidP="00555BE3">
      <w:pPr>
        <w:spacing w:line="360" w:lineRule="auto"/>
      </w:pPr>
      <w:r>
        <w:t>Reference Model</w:t>
      </w:r>
    </w:p>
    <w:p w14:paraId="4C321C9A" w14:textId="2BA06382" w:rsidR="00033880" w:rsidRDefault="00033880" w:rsidP="00033880">
      <w:pPr>
        <w:rPr>
          <w:rFonts w:ascii="Helvetica Neue" w:hAnsi="Helvetica Neue"/>
          <w:color w:val="525252"/>
          <w:sz w:val="21"/>
          <w:szCs w:val="21"/>
          <w:shd w:val="clear" w:color="auto" w:fill="FFFFFF"/>
        </w:rPr>
      </w:pPr>
      <w:r w:rsidRPr="00033880">
        <w:rPr>
          <w:rFonts w:ascii="Helvetica Neue" w:hAnsi="Helvetica Neue"/>
          <w:color w:val="525252"/>
          <w:sz w:val="21"/>
          <w:szCs w:val="21"/>
          <w:shd w:val="clear" w:color="auto" w:fill="FFFFFF"/>
        </w:rPr>
        <w:t>A rise in the index indicates an expansion of economic activity and a decline in the index indicates a contraction in economic activity</w:t>
      </w:r>
    </w:p>
    <w:p w14:paraId="43164F23" w14:textId="4461DE7C" w:rsidR="00740DE0" w:rsidRDefault="00740DE0" w:rsidP="00033880"/>
    <w:p w14:paraId="79A1102A" w14:textId="450A535A" w:rsidR="00740DE0" w:rsidRDefault="00740DE0">
      <w:r>
        <w:br w:type="page"/>
      </w:r>
    </w:p>
    <w:p w14:paraId="22C27B12" w14:textId="72467B1E" w:rsidR="00740DE0" w:rsidRDefault="00740DE0" w:rsidP="00740DE0">
      <w:pPr>
        <w:spacing w:line="360" w:lineRule="auto"/>
        <w:rPr>
          <w:b/>
          <w:bCs/>
          <w:sz w:val="28"/>
          <w:szCs w:val="28"/>
        </w:rPr>
      </w:pPr>
      <w:r w:rsidRPr="00740DE0">
        <w:rPr>
          <w:b/>
          <w:bCs/>
          <w:sz w:val="28"/>
          <w:szCs w:val="28"/>
        </w:rPr>
        <w:lastRenderedPageBreak/>
        <w:t xml:space="preserve">Tables </w:t>
      </w:r>
    </w:p>
    <w:p w14:paraId="14EE3021" w14:textId="10B9152B" w:rsidR="00A700F2" w:rsidRDefault="00A700F2" w:rsidP="00740DE0">
      <w:pPr>
        <w:spacing w:line="360" w:lineRule="auto"/>
        <w:rPr>
          <w:b/>
          <w:bCs/>
          <w:sz w:val="28"/>
          <w:szCs w:val="28"/>
        </w:rPr>
      </w:pPr>
    </w:p>
    <w:p w14:paraId="276DC86C" w14:textId="7543DBFF" w:rsidR="00A700F2" w:rsidRPr="00A700F2" w:rsidRDefault="00A700F2" w:rsidP="00740DE0">
      <w:pPr>
        <w:spacing w:line="360" w:lineRule="auto"/>
        <w:rPr>
          <w:b/>
          <w:bCs/>
          <w:sz w:val="22"/>
          <w:szCs w:val="22"/>
        </w:rPr>
      </w:pPr>
      <w:r w:rsidRPr="00A700F2">
        <w:rPr>
          <w:b/>
          <w:bCs/>
          <w:sz w:val="22"/>
          <w:szCs w:val="22"/>
        </w:rPr>
        <w:t>Phase 1: 2018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4"/>
        <w:gridCol w:w="1670"/>
        <w:gridCol w:w="1403"/>
      </w:tblGrid>
      <w:tr w:rsidR="00740DE0" w:rsidRPr="00740DE0" w14:paraId="0DE50AF6" w14:textId="77777777" w:rsidTr="00740DE0">
        <w:trPr>
          <w:tblHeader/>
          <w:tblCellSpacing w:w="15" w:type="dxa"/>
        </w:trPr>
        <w:tc>
          <w:tcPr>
            <w:tcW w:w="0" w:type="auto"/>
            <w:tcBorders>
              <w:top w:val="single" w:sz="4" w:space="0" w:color="auto"/>
              <w:bottom w:val="single" w:sz="4" w:space="0" w:color="auto"/>
            </w:tcBorders>
            <w:vAlign w:val="center"/>
            <w:hideMark/>
          </w:tcPr>
          <w:p w14:paraId="25FA6AD7" w14:textId="77777777" w:rsidR="00740DE0" w:rsidRPr="00740DE0" w:rsidRDefault="00740DE0" w:rsidP="00740DE0">
            <w:pPr>
              <w:rPr>
                <w:rFonts w:ascii="-webkit-standard" w:hAnsi="-webkit-standard"/>
                <w:b/>
                <w:bCs/>
              </w:rPr>
            </w:pPr>
            <w:r w:rsidRPr="00740DE0">
              <w:rPr>
                <w:rFonts w:ascii="-webkit-standard" w:hAnsi="-webkit-standard"/>
                <w:b/>
                <w:bCs/>
              </w:rPr>
              <w:t>Indicator</w:t>
            </w:r>
          </w:p>
        </w:tc>
        <w:tc>
          <w:tcPr>
            <w:tcW w:w="0" w:type="auto"/>
            <w:tcBorders>
              <w:top w:val="single" w:sz="4" w:space="0" w:color="auto"/>
              <w:bottom w:val="single" w:sz="4" w:space="0" w:color="auto"/>
            </w:tcBorders>
            <w:vAlign w:val="center"/>
            <w:hideMark/>
          </w:tcPr>
          <w:p w14:paraId="12E18DBB" w14:textId="77777777" w:rsidR="00740DE0" w:rsidRPr="00740DE0" w:rsidRDefault="00740DE0" w:rsidP="00740DE0">
            <w:pPr>
              <w:jc w:val="right"/>
              <w:rPr>
                <w:rFonts w:ascii="-webkit-standard" w:hAnsi="-webkit-standard"/>
                <w:b/>
                <w:bCs/>
              </w:rPr>
            </w:pPr>
            <w:r w:rsidRPr="00740DE0">
              <w:rPr>
                <w:rFonts w:ascii="-webkit-standard" w:hAnsi="-webkit-standard"/>
                <w:b/>
                <w:bCs/>
              </w:rPr>
              <w:t>UncensoredP1</w:t>
            </w:r>
          </w:p>
        </w:tc>
        <w:tc>
          <w:tcPr>
            <w:tcW w:w="0" w:type="auto"/>
            <w:tcBorders>
              <w:top w:val="single" w:sz="4" w:space="0" w:color="auto"/>
              <w:bottom w:val="single" w:sz="4" w:space="0" w:color="auto"/>
            </w:tcBorders>
            <w:vAlign w:val="center"/>
            <w:hideMark/>
          </w:tcPr>
          <w:p w14:paraId="7206E751" w14:textId="77777777" w:rsidR="00740DE0" w:rsidRPr="00740DE0" w:rsidRDefault="00740DE0" w:rsidP="00740DE0">
            <w:pPr>
              <w:jc w:val="right"/>
              <w:rPr>
                <w:rFonts w:ascii="-webkit-standard" w:hAnsi="-webkit-standard"/>
                <w:b/>
                <w:bCs/>
              </w:rPr>
            </w:pPr>
            <w:r w:rsidRPr="00740DE0">
              <w:rPr>
                <w:rFonts w:ascii="-webkit-standard" w:hAnsi="-webkit-standard"/>
                <w:b/>
                <w:bCs/>
              </w:rPr>
              <w:t>CensoredP1</w:t>
            </w:r>
          </w:p>
        </w:tc>
      </w:tr>
      <w:tr w:rsidR="00740DE0" w:rsidRPr="00740DE0" w14:paraId="1FA76E77" w14:textId="77777777" w:rsidTr="00740DE0">
        <w:trPr>
          <w:tblCellSpacing w:w="15" w:type="dxa"/>
        </w:trPr>
        <w:tc>
          <w:tcPr>
            <w:tcW w:w="0" w:type="auto"/>
            <w:vAlign w:val="center"/>
            <w:hideMark/>
          </w:tcPr>
          <w:p w14:paraId="26E22EA6" w14:textId="570E8091" w:rsidR="00740DE0" w:rsidRPr="00740DE0" w:rsidRDefault="00740DE0" w:rsidP="00740DE0">
            <w:pPr>
              <w:rPr>
                <w:rFonts w:ascii="-webkit-standard" w:hAnsi="-webkit-standard"/>
              </w:rPr>
            </w:pPr>
            <w:r w:rsidRPr="00740DE0">
              <w:rPr>
                <w:rFonts w:ascii="-webkit-standard" w:hAnsi="-webkit-standard"/>
              </w:rPr>
              <w:t>Poultry Production</w:t>
            </w:r>
          </w:p>
        </w:tc>
        <w:tc>
          <w:tcPr>
            <w:tcW w:w="0" w:type="auto"/>
            <w:vAlign w:val="center"/>
            <w:hideMark/>
          </w:tcPr>
          <w:p w14:paraId="4E246162" w14:textId="77777777" w:rsidR="00740DE0" w:rsidRPr="00740DE0" w:rsidRDefault="00740DE0" w:rsidP="00740DE0">
            <w:pPr>
              <w:jc w:val="right"/>
              <w:rPr>
                <w:rFonts w:ascii="-webkit-standard" w:hAnsi="-webkit-standard"/>
              </w:rPr>
            </w:pPr>
            <w:r w:rsidRPr="00740DE0">
              <w:rPr>
                <w:rFonts w:ascii="-webkit-standard" w:hAnsi="-webkit-standard"/>
              </w:rPr>
              <w:t>0.068</w:t>
            </w:r>
          </w:p>
        </w:tc>
        <w:tc>
          <w:tcPr>
            <w:tcW w:w="0" w:type="auto"/>
            <w:vAlign w:val="center"/>
            <w:hideMark/>
          </w:tcPr>
          <w:p w14:paraId="64B8C697" w14:textId="77777777" w:rsidR="00740DE0" w:rsidRPr="00740DE0" w:rsidRDefault="00740DE0" w:rsidP="00740DE0">
            <w:pPr>
              <w:jc w:val="right"/>
              <w:rPr>
                <w:rFonts w:ascii="-webkit-standard" w:hAnsi="-webkit-standard"/>
              </w:rPr>
            </w:pPr>
            <w:r w:rsidRPr="00740DE0">
              <w:rPr>
                <w:rFonts w:ascii="-webkit-standard" w:hAnsi="-webkit-standard"/>
              </w:rPr>
              <w:t>0.041</w:t>
            </w:r>
          </w:p>
        </w:tc>
      </w:tr>
      <w:tr w:rsidR="00740DE0" w:rsidRPr="00740DE0" w14:paraId="70C6ED2B" w14:textId="77777777" w:rsidTr="00740DE0">
        <w:trPr>
          <w:tblCellSpacing w:w="15" w:type="dxa"/>
        </w:trPr>
        <w:tc>
          <w:tcPr>
            <w:tcW w:w="0" w:type="auto"/>
            <w:vAlign w:val="center"/>
            <w:hideMark/>
          </w:tcPr>
          <w:p w14:paraId="75459C60" w14:textId="77777777" w:rsidR="00740DE0" w:rsidRPr="00740DE0" w:rsidRDefault="00740DE0" w:rsidP="00740DE0">
            <w:pPr>
              <w:rPr>
                <w:rFonts w:ascii="-webkit-standard" w:hAnsi="-webkit-standard"/>
              </w:rPr>
            </w:pPr>
            <w:r w:rsidRPr="00740DE0">
              <w:rPr>
                <w:rFonts w:ascii="-webkit-standard" w:hAnsi="-webkit-standard"/>
              </w:rPr>
              <w:t>Livestock Production</w:t>
            </w:r>
          </w:p>
        </w:tc>
        <w:tc>
          <w:tcPr>
            <w:tcW w:w="0" w:type="auto"/>
            <w:vAlign w:val="center"/>
            <w:hideMark/>
          </w:tcPr>
          <w:p w14:paraId="0A8D0437" w14:textId="77777777" w:rsidR="00740DE0" w:rsidRPr="00740DE0" w:rsidRDefault="00740DE0" w:rsidP="00740DE0">
            <w:pPr>
              <w:jc w:val="right"/>
              <w:rPr>
                <w:rFonts w:ascii="-webkit-standard" w:hAnsi="-webkit-standard"/>
              </w:rPr>
            </w:pPr>
            <w:r w:rsidRPr="00740DE0">
              <w:rPr>
                <w:rFonts w:ascii="-webkit-standard" w:hAnsi="-webkit-standard"/>
              </w:rPr>
              <w:t>0.042</w:t>
            </w:r>
          </w:p>
        </w:tc>
        <w:tc>
          <w:tcPr>
            <w:tcW w:w="0" w:type="auto"/>
            <w:vAlign w:val="center"/>
            <w:hideMark/>
          </w:tcPr>
          <w:p w14:paraId="5EE776D7" w14:textId="77777777" w:rsidR="00740DE0" w:rsidRPr="00740DE0" w:rsidRDefault="00740DE0" w:rsidP="00740DE0">
            <w:pPr>
              <w:jc w:val="right"/>
              <w:rPr>
                <w:rFonts w:ascii="-webkit-standard" w:hAnsi="-webkit-standard"/>
              </w:rPr>
            </w:pPr>
            <w:r w:rsidRPr="00740DE0">
              <w:rPr>
                <w:rFonts w:ascii="-webkit-standard" w:hAnsi="-webkit-standard"/>
              </w:rPr>
              <w:t>0.030</w:t>
            </w:r>
          </w:p>
        </w:tc>
      </w:tr>
      <w:tr w:rsidR="00740DE0" w:rsidRPr="00740DE0" w14:paraId="5D8FDA81" w14:textId="77777777" w:rsidTr="00740DE0">
        <w:trPr>
          <w:tblCellSpacing w:w="15" w:type="dxa"/>
        </w:trPr>
        <w:tc>
          <w:tcPr>
            <w:tcW w:w="0" w:type="auto"/>
            <w:vAlign w:val="center"/>
            <w:hideMark/>
          </w:tcPr>
          <w:p w14:paraId="1A858D60" w14:textId="77777777" w:rsidR="00740DE0" w:rsidRPr="00740DE0" w:rsidRDefault="00740DE0" w:rsidP="00740DE0">
            <w:pPr>
              <w:rPr>
                <w:rFonts w:ascii="-webkit-standard" w:hAnsi="-webkit-standard"/>
              </w:rPr>
            </w:pPr>
            <w:r w:rsidRPr="00740DE0">
              <w:rPr>
                <w:rFonts w:ascii="-webkit-standard" w:hAnsi="-webkit-standard"/>
              </w:rPr>
              <w:t>Land Ownership</w:t>
            </w:r>
          </w:p>
        </w:tc>
        <w:tc>
          <w:tcPr>
            <w:tcW w:w="0" w:type="auto"/>
            <w:vAlign w:val="center"/>
            <w:hideMark/>
          </w:tcPr>
          <w:p w14:paraId="108D4E01" w14:textId="77777777" w:rsidR="00740DE0" w:rsidRPr="00740DE0" w:rsidRDefault="00740DE0" w:rsidP="00740DE0">
            <w:pPr>
              <w:jc w:val="right"/>
              <w:rPr>
                <w:rFonts w:ascii="-webkit-standard" w:hAnsi="-webkit-standard"/>
              </w:rPr>
            </w:pPr>
            <w:r w:rsidRPr="00740DE0">
              <w:rPr>
                <w:rFonts w:ascii="-webkit-standard" w:hAnsi="-webkit-standard"/>
              </w:rPr>
              <w:t>0.023</w:t>
            </w:r>
          </w:p>
        </w:tc>
        <w:tc>
          <w:tcPr>
            <w:tcW w:w="0" w:type="auto"/>
            <w:vAlign w:val="center"/>
            <w:hideMark/>
          </w:tcPr>
          <w:p w14:paraId="17F643B3" w14:textId="77777777" w:rsidR="00740DE0" w:rsidRPr="00740DE0" w:rsidRDefault="00740DE0" w:rsidP="00740DE0">
            <w:pPr>
              <w:jc w:val="right"/>
              <w:rPr>
                <w:rFonts w:ascii="-webkit-standard" w:hAnsi="-webkit-standard"/>
              </w:rPr>
            </w:pPr>
            <w:r w:rsidRPr="00740DE0">
              <w:rPr>
                <w:rFonts w:ascii="-webkit-standard" w:hAnsi="-webkit-standard"/>
              </w:rPr>
              <w:t>0.021</w:t>
            </w:r>
          </w:p>
        </w:tc>
      </w:tr>
      <w:tr w:rsidR="00740DE0" w:rsidRPr="00740DE0" w14:paraId="64684520" w14:textId="77777777" w:rsidTr="00740DE0">
        <w:trPr>
          <w:tblCellSpacing w:w="15" w:type="dxa"/>
        </w:trPr>
        <w:tc>
          <w:tcPr>
            <w:tcW w:w="0" w:type="auto"/>
            <w:vAlign w:val="center"/>
            <w:hideMark/>
          </w:tcPr>
          <w:p w14:paraId="72BE74B5" w14:textId="77777777" w:rsidR="00740DE0" w:rsidRPr="00740DE0" w:rsidRDefault="00740DE0" w:rsidP="00740DE0">
            <w:pPr>
              <w:rPr>
                <w:rFonts w:ascii="-webkit-standard" w:hAnsi="-webkit-standard"/>
              </w:rPr>
            </w:pPr>
            <w:r w:rsidRPr="00740DE0">
              <w:rPr>
                <w:rFonts w:ascii="-webkit-standard" w:hAnsi="-webkit-standard"/>
              </w:rPr>
              <w:t>Assets on Land</w:t>
            </w:r>
          </w:p>
        </w:tc>
        <w:tc>
          <w:tcPr>
            <w:tcW w:w="0" w:type="auto"/>
            <w:vAlign w:val="center"/>
            <w:hideMark/>
          </w:tcPr>
          <w:p w14:paraId="0F902889" w14:textId="77777777" w:rsidR="00740DE0" w:rsidRPr="00740DE0" w:rsidRDefault="00740DE0" w:rsidP="00740DE0">
            <w:pPr>
              <w:jc w:val="right"/>
              <w:rPr>
                <w:rFonts w:ascii="-webkit-standard" w:hAnsi="-webkit-standard"/>
              </w:rPr>
            </w:pPr>
            <w:r w:rsidRPr="00740DE0">
              <w:rPr>
                <w:rFonts w:ascii="-webkit-standard" w:hAnsi="-webkit-standard"/>
              </w:rPr>
              <w:t>0.007</w:t>
            </w:r>
          </w:p>
        </w:tc>
        <w:tc>
          <w:tcPr>
            <w:tcW w:w="0" w:type="auto"/>
            <w:vAlign w:val="center"/>
            <w:hideMark/>
          </w:tcPr>
          <w:p w14:paraId="286FCF16" w14:textId="77777777" w:rsidR="00740DE0" w:rsidRPr="00740DE0" w:rsidRDefault="00740DE0" w:rsidP="00740DE0">
            <w:pPr>
              <w:jc w:val="right"/>
              <w:rPr>
                <w:rFonts w:ascii="-webkit-standard" w:hAnsi="-webkit-standard"/>
              </w:rPr>
            </w:pPr>
            <w:r w:rsidRPr="00740DE0">
              <w:rPr>
                <w:rFonts w:ascii="-webkit-standard" w:hAnsi="-webkit-standard"/>
              </w:rPr>
              <w:t>0.006</w:t>
            </w:r>
          </w:p>
        </w:tc>
      </w:tr>
      <w:tr w:rsidR="00740DE0" w:rsidRPr="00740DE0" w14:paraId="4325458C" w14:textId="77777777" w:rsidTr="00740DE0">
        <w:trPr>
          <w:tblCellSpacing w:w="15" w:type="dxa"/>
        </w:trPr>
        <w:tc>
          <w:tcPr>
            <w:tcW w:w="0" w:type="auto"/>
            <w:vAlign w:val="center"/>
            <w:hideMark/>
          </w:tcPr>
          <w:p w14:paraId="0F30B711" w14:textId="77777777" w:rsidR="00740DE0" w:rsidRPr="00740DE0" w:rsidRDefault="00740DE0" w:rsidP="00740DE0">
            <w:pPr>
              <w:rPr>
                <w:rFonts w:ascii="-webkit-standard" w:hAnsi="-webkit-standard"/>
              </w:rPr>
            </w:pPr>
            <w:r w:rsidRPr="00740DE0">
              <w:rPr>
                <w:rFonts w:ascii="-webkit-standard" w:hAnsi="-webkit-standard"/>
              </w:rPr>
              <w:t>Earn Income</w:t>
            </w:r>
          </w:p>
        </w:tc>
        <w:tc>
          <w:tcPr>
            <w:tcW w:w="0" w:type="auto"/>
            <w:vAlign w:val="center"/>
            <w:hideMark/>
          </w:tcPr>
          <w:p w14:paraId="5AEBC3DE" w14:textId="77777777" w:rsidR="00740DE0" w:rsidRPr="00740DE0" w:rsidRDefault="00740DE0" w:rsidP="00740DE0">
            <w:pPr>
              <w:jc w:val="right"/>
              <w:rPr>
                <w:rFonts w:ascii="-webkit-standard" w:hAnsi="-webkit-standard"/>
              </w:rPr>
            </w:pPr>
            <w:r w:rsidRPr="00740DE0">
              <w:rPr>
                <w:rFonts w:ascii="-webkit-standard" w:hAnsi="-webkit-standard"/>
              </w:rPr>
              <w:t>0.014</w:t>
            </w:r>
          </w:p>
        </w:tc>
        <w:tc>
          <w:tcPr>
            <w:tcW w:w="0" w:type="auto"/>
            <w:vAlign w:val="center"/>
            <w:hideMark/>
          </w:tcPr>
          <w:p w14:paraId="21C5FA6F" w14:textId="77777777" w:rsidR="00740DE0" w:rsidRPr="00740DE0" w:rsidRDefault="00740DE0" w:rsidP="00740DE0">
            <w:pPr>
              <w:jc w:val="right"/>
              <w:rPr>
                <w:rFonts w:ascii="-webkit-standard" w:hAnsi="-webkit-standard"/>
              </w:rPr>
            </w:pPr>
            <w:r w:rsidRPr="00740DE0">
              <w:rPr>
                <w:rFonts w:ascii="-webkit-standard" w:hAnsi="-webkit-standard"/>
              </w:rPr>
              <w:t>0.014</w:t>
            </w:r>
          </w:p>
        </w:tc>
      </w:tr>
      <w:tr w:rsidR="00740DE0" w:rsidRPr="00740DE0" w14:paraId="443B458D" w14:textId="77777777" w:rsidTr="00740DE0">
        <w:trPr>
          <w:tblCellSpacing w:w="15" w:type="dxa"/>
        </w:trPr>
        <w:tc>
          <w:tcPr>
            <w:tcW w:w="0" w:type="auto"/>
            <w:vAlign w:val="center"/>
            <w:hideMark/>
          </w:tcPr>
          <w:p w14:paraId="07E9E1CE" w14:textId="77777777" w:rsidR="00740DE0" w:rsidRPr="00740DE0" w:rsidRDefault="00740DE0" w:rsidP="00740DE0">
            <w:pPr>
              <w:rPr>
                <w:rFonts w:ascii="-webkit-standard" w:hAnsi="-webkit-standard"/>
              </w:rPr>
            </w:pPr>
            <w:r w:rsidRPr="00740DE0">
              <w:rPr>
                <w:rFonts w:ascii="-webkit-standard" w:hAnsi="-webkit-standard"/>
              </w:rPr>
              <w:t>Allowed to Sell or Buy Items</w:t>
            </w:r>
          </w:p>
        </w:tc>
        <w:tc>
          <w:tcPr>
            <w:tcW w:w="0" w:type="auto"/>
            <w:vAlign w:val="center"/>
            <w:hideMark/>
          </w:tcPr>
          <w:p w14:paraId="32885C6D" w14:textId="77777777" w:rsidR="00740DE0" w:rsidRPr="00740DE0" w:rsidRDefault="00740DE0" w:rsidP="00740DE0">
            <w:pPr>
              <w:jc w:val="right"/>
              <w:rPr>
                <w:rFonts w:ascii="-webkit-standard" w:hAnsi="-webkit-standard"/>
              </w:rPr>
            </w:pPr>
            <w:r w:rsidRPr="00740DE0">
              <w:rPr>
                <w:rFonts w:ascii="-webkit-standard" w:hAnsi="-webkit-standard"/>
              </w:rPr>
              <w:t>0.027</w:t>
            </w:r>
          </w:p>
        </w:tc>
        <w:tc>
          <w:tcPr>
            <w:tcW w:w="0" w:type="auto"/>
            <w:vAlign w:val="center"/>
            <w:hideMark/>
          </w:tcPr>
          <w:p w14:paraId="344E8B1A" w14:textId="77777777" w:rsidR="00740DE0" w:rsidRPr="00740DE0" w:rsidRDefault="00740DE0" w:rsidP="00740DE0">
            <w:pPr>
              <w:jc w:val="right"/>
              <w:rPr>
                <w:rFonts w:ascii="-webkit-standard" w:hAnsi="-webkit-standard"/>
              </w:rPr>
            </w:pPr>
            <w:r w:rsidRPr="00740DE0">
              <w:rPr>
                <w:rFonts w:ascii="-webkit-standard" w:hAnsi="-webkit-standard"/>
              </w:rPr>
              <w:t>0.018</w:t>
            </w:r>
          </w:p>
        </w:tc>
      </w:tr>
      <w:tr w:rsidR="00740DE0" w:rsidRPr="00740DE0" w14:paraId="73532216" w14:textId="77777777" w:rsidTr="00740DE0">
        <w:trPr>
          <w:tblCellSpacing w:w="15" w:type="dxa"/>
        </w:trPr>
        <w:tc>
          <w:tcPr>
            <w:tcW w:w="0" w:type="auto"/>
            <w:vAlign w:val="center"/>
            <w:hideMark/>
          </w:tcPr>
          <w:p w14:paraId="30E81BA6" w14:textId="77777777" w:rsidR="00740DE0" w:rsidRPr="00740DE0" w:rsidRDefault="00740DE0" w:rsidP="00740DE0">
            <w:pPr>
              <w:rPr>
                <w:rFonts w:ascii="-webkit-standard" w:hAnsi="-webkit-standard"/>
              </w:rPr>
            </w:pPr>
            <w:r w:rsidRPr="00740DE0">
              <w:rPr>
                <w:rFonts w:ascii="-webkit-standard" w:hAnsi="-webkit-standard"/>
              </w:rPr>
              <w:t>Belong to Social Group</w:t>
            </w:r>
          </w:p>
        </w:tc>
        <w:tc>
          <w:tcPr>
            <w:tcW w:w="0" w:type="auto"/>
            <w:vAlign w:val="center"/>
            <w:hideMark/>
          </w:tcPr>
          <w:p w14:paraId="53797895" w14:textId="77777777" w:rsidR="00740DE0" w:rsidRPr="00740DE0" w:rsidRDefault="00740DE0" w:rsidP="00740DE0">
            <w:pPr>
              <w:jc w:val="right"/>
              <w:rPr>
                <w:rFonts w:ascii="-webkit-standard" w:hAnsi="-webkit-standard"/>
              </w:rPr>
            </w:pPr>
            <w:r w:rsidRPr="00740DE0">
              <w:rPr>
                <w:rFonts w:ascii="-webkit-standard" w:hAnsi="-webkit-standard"/>
              </w:rPr>
              <w:t>0.030</w:t>
            </w:r>
          </w:p>
        </w:tc>
        <w:tc>
          <w:tcPr>
            <w:tcW w:w="0" w:type="auto"/>
            <w:vAlign w:val="center"/>
            <w:hideMark/>
          </w:tcPr>
          <w:p w14:paraId="7613DEB1" w14:textId="77777777" w:rsidR="00740DE0" w:rsidRPr="00740DE0" w:rsidRDefault="00740DE0" w:rsidP="00740DE0">
            <w:pPr>
              <w:jc w:val="right"/>
              <w:rPr>
                <w:rFonts w:ascii="-webkit-standard" w:hAnsi="-webkit-standard"/>
              </w:rPr>
            </w:pPr>
            <w:r w:rsidRPr="00740DE0">
              <w:rPr>
                <w:rFonts w:ascii="-webkit-standard" w:hAnsi="-webkit-standard"/>
              </w:rPr>
              <w:t>0.028</w:t>
            </w:r>
          </w:p>
        </w:tc>
      </w:tr>
      <w:tr w:rsidR="00740DE0" w:rsidRPr="00740DE0" w14:paraId="7BB5049C" w14:textId="77777777" w:rsidTr="00740DE0">
        <w:trPr>
          <w:tblCellSpacing w:w="15" w:type="dxa"/>
        </w:trPr>
        <w:tc>
          <w:tcPr>
            <w:tcW w:w="0" w:type="auto"/>
            <w:vAlign w:val="center"/>
            <w:hideMark/>
          </w:tcPr>
          <w:p w14:paraId="574F9483" w14:textId="77777777" w:rsidR="00740DE0" w:rsidRPr="00740DE0" w:rsidRDefault="00740DE0" w:rsidP="00740DE0">
            <w:pPr>
              <w:rPr>
                <w:rFonts w:ascii="-webkit-standard" w:hAnsi="-webkit-standard"/>
              </w:rPr>
            </w:pPr>
            <w:r w:rsidRPr="00740DE0">
              <w:rPr>
                <w:rFonts w:ascii="-webkit-standard" w:hAnsi="-webkit-standard"/>
              </w:rPr>
              <w:t>Held Leadership Position</w:t>
            </w:r>
          </w:p>
        </w:tc>
        <w:tc>
          <w:tcPr>
            <w:tcW w:w="0" w:type="auto"/>
            <w:vAlign w:val="center"/>
            <w:hideMark/>
          </w:tcPr>
          <w:p w14:paraId="23013C6F" w14:textId="77777777" w:rsidR="00740DE0" w:rsidRPr="00740DE0" w:rsidRDefault="00740DE0" w:rsidP="00740DE0">
            <w:pPr>
              <w:jc w:val="right"/>
              <w:rPr>
                <w:rFonts w:ascii="-webkit-standard" w:hAnsi="-webkit-standard"/>
              </w:rPr>
            </w:pPr>
            <w:r w:rsidRPr="00740DE0">
              <w:rPr>
                <w:rFonts w:ascii="-webkit-standard" w:hAnsi="-webkit-standard"/>
              </w:rPr>
              <w:t>0.018</w:t>
            </w:r>
          </w:p>
        </w:tc>
        <w:tc>
          <w:tcPr>
            <w:tcW w:w="0" w:type="auto"/>
            <w:vAlign w:val="center"/>
            <w:hideMark/>
          </w:tcPr>
          <w:p w14:paraId="017835CF" w14:textId="77777777" w:rsidR="00740DE0" w:rsidRPr="00740DE0" w:rsidRDefault="00740DE0" w:rsidP="00740DE0">
            <w:pPr>
              <w:jc w:val="right"/>
              <w:rPr>
                <w:rFonts w:ascii="-webkit-standard" w:hAnsi="-webkit-standard"/>
              </w:rPr>
            </w:pPr>
            <w:r w:rsidRPr="00740DE0">
              <w:rPr>
                <w:rFonts w:ascii="-webkit-standard" w:hAnsi="-webkit-standard"/>
              </w:rPr>
              <w:t>0.015</w:t>
            </w:r>
          </w:p>
        </w:tc>
      </w:tr>
      <w:tr w:rsidR="00740DE0" w:rsidRPr="00740DE0" w14:paraId="51BF46F9" w14:textId="77777777" w:rsidTr="00740DE0">
        <w:trPr>
          <w:tblCellSpacing w:w="15" w:type="dxa"/>
        </w:trPr>
        <w:tc>
          <w:tcPr>
            <w:tcW w:w="0" w:type="auto"/>
            <w:vAlign w:val="center"/>
            <w:hideMark/>
          </w:tcPr>
          <w:p w14:paraId="6A7EE0A3" w14:textId="77777777" w:rsidR="00740DE0" w:rsidRPr="00740DE0" w:rsidRDefault="00740DE0" w:rsidP="00740DE0">
            <w:pPr>
              <w:rPr>
                <w:rFonts w:ascii="-webkit-standard" w:hAnsi="-webkit-standard"/>
              </w:rPr>
            </w:pPr>
            <w:r w:rsidRPr="00740DE0">
              <w:rPr>
                <w:rFonts w:ascii="-webkit-standard" w:hAnsi="-webkit-standard"/>
              </w:rPr>
              <w:t>Working Time</w:t>
            </w:r>
          </w:p>
        </w:tc>
        <w:tc>
          <w:tcPr>
            <w:tcW w:w="0" w:type="auto"/>
            <w:vAlign w:val="center"/>
            <w:hideMark/>
          </w:tcPr>
          <w:p w14:paraId="207CBE49" w14:textId="77777777" w:rsidR="00740DE0" w:rsidRPr="00740DE0" w:rsidRDefault="00740DE0" w:rsidP="00740DE0">
            <w:pPr>
              <w:jc w:val="right"/>
              <w:rPr>
                <w:rFonts w:ascii="-webkit-standard" w:hAnsi="-webkit-standard"/>
              </w:rPr>
            </w:pPr>
            <w:r w:rsidRPr="00740DE0">
              <w:rPr>
                <w:rFonts w:ascii="-webkit-standard" w:hAnsi="-webkit-standard"/>
              </w:rPr>
              <w:t>0.010</w:t>
            </w:r>
          </w:p>
        </w:tc>
        <w:tc>
          <w:tcPr>
            <w:tcW w:w="0" w:type="auto"/>
            <w:vAlign w:val="center"/>
            <w:hideMark/>
          </w:tcPr>
          <w:p w14:paraId="6C9CADAA" w14:textId="77777777" w:rsidR="00740DE0" w:rsidRPr="00740DE0" w:rsidRDefault="00740DE0" w:rsidP="00740DE0">
            <w:pPr>
              <w:jc w:val="right"/>
              <w:rPr>
                <w:rFonts w:ascii="-webkit-standard" w:hAnsi="-webkit-standard"/>
              </w:rPr>
            </w:pPr>
            <w:r w:rsidRPr="00740DE0">
              <w:rPr>
                <w:rFonts w:ascii="-webkit-standard" w:hAnsi="-webkit-standard"/>
              </w:rPr>
              <w:t>0.010</w:t>
            </w:r>
          </w:p>
        </w:tc>
      </w:tr>
      <w:tr w:rsidR="00740DE0" w:rsidRPr="00740DE0" w14:paraId="206DB8B3" w14:textId="77777777" w:rsidTr="00740DE0">
        <w:trPr>
          <w:tblCellSpacing w:w="15" w:type="dxa"/>
        </w:trPr>
        <w:tc>
          <w:tcPr>
            <w:tcW w:w="0" w:type="auto"/>
            <w:vAlign w:val="center"/>
            <w:hideMark/>
          </w:tcPr>
          <w:p w14:paraId="32128DCF" w14:textId="77777777" w:rsidR="00740DE0" w:rsidRPr="00740DE0" w:rsidRDefault="00740DE0" w:rsidP="00740DE0">
            <w:pPr>
              <w:rPr>
                <w:rFonts w:ascii="-webkit-standard" w:hAnsi="-webkit-standard"/>
              </w:rPr>
            </w:pPr>
            <w:r w:rsidRPr="00740DE0">
              <w:rPr>
                <w:rFonts w:ascii="-webkit-standard" w:hAnsi="-webkit-standard"/>
              </w:rPr>
              <w:t>Leisure Time</w:t>
            </w:r>
          </w:p>
        </w:tc>
        <w:tc>
          <w:tcPr>
            <w:tcW w:w="0" w:type="auto"/>
            <w:vAlign w:val="center"/>
            <w:hideMark/>
          </w:tcPr>
          <w:p w14:paraId="0CD6FF64" w14:textId="77777777" w:rsidR="00740DE0" w:rsidRPr="00740DE0" w:rsidRDefault="00740DE0" w:rsidP="00740DE0">
            <w:pPr>
              <w:jc w:val="right"/>
              <w:rPr>
                <w:rFonts w:ascii="-webkit-standard" w:hAnsi="-webkit-standard"/>
              </w:rPr>
            </w:pPr>
            <w:r w:rsidRPr="00740DE0">
              <w:rPr>
                <w:rFonts w:ascii="-webkit-standard" w:hAnsi="-webkit-standard"/>
              </w:rPr>
              <w:t>0.044</w:t>
            </w:r>
          </w:p>
        </w:tc>
        <w:tc>
          <w:tcPr>
            <w:tcW w:w="0" w:type="auto"/>
            <w:vAlign w:val="center"/>
            <w:hideMark/>
          </w:tcPr>
          <w:p w14:paraId="2F1053DB" w14:textId="77777777" w:rsidR="00740DE0" w:rsidRPr="00740DE0" w:rsidRDefault="00740DE0" w:rsidP="00740DE0">
            <w:pPr>
              <w:jc w:val="right"/>
              <w:rPr>
                <w:rFonts w:ascii="-webkit-standard" w:hAnsi="-webkit-standard"/>
              </w:rPr>
            </w:pPr>
            <w:r w:rsidRPr="00740DE0">
              <w:rPr>
                <w:rFonts w:ascii="-webkit-standard" w:hAnsi="-webkit-standard"/>
              </w:rPr>
              <w:t>0.025</w:t>
            </w:r>
          </w:p>
        </w:tc>
      </w:tr>
      <w:tr w:rsidR="00740DE0" w:rsidRPr="00740DE0" w14:paraId="77E38E67" w14:textId="77777777" w:rsidTr="00740DE0">
        <w:trPr>
          <w:tblCellSpacing w:w="15" w:type="dxa"/>
        </w:trPr>
        <w:tc>
          <w:tcPr>
            <w:tcW w:w="0" w:type="auto"/>
            <w:vAlign w:val="center"/>
            <w:hideMark/>
          </w:tcPr>
          <w:p w14:paraId="2C537116" w14:textId="77777777" w:rsidR="00740DE0" w:rsidRPr="00740DE0" w:rsidRDefault="00740DE0" w:rsidP="00740DE0">
            <w:pPr>
              <w:rPr>
                <w:rFonts w:ascii="-webkit-standard" w:hAnsi="-webkit-standard"/>
              </w:rPr>
            </w:pPr>
            <w:r w:rsidRPr="00740DE0">
              <w:rPr>
                <w:rFonts w:ascii="-webkit-standard" w:hAnsi="-webkit-standard"/>
              </w:rPr>
              <w:t>Disempowered (M0)</w:t>
            </w:r>
          </w:p>
        </w:tc>
        <w:tc>
          <w:tcPr>
            <w:tcW w:w="0" w:type="auto"/>
            <w:vAlign w:val="center"/>
            <w:hideMark/>
          </w:tcPr>
          <w:p w14:paraId="18262C77" w14:textId="77777777" w:rsidR="00740DE0" w:rsidRPr="00740DE0" w:rsidRDefault="00740DE0" w:rsidP="00740DE0">
            <w:pPr>
              <w:jc w:val="right"/>
              <w:rPr>
                <w:rFonts w:ascii="-webkit-standard" w:hAnsi="-webkit-standard"/>
              </w:rPr>
            </w:pPr>
            <w:r w:rsidRPr="00740DE0">
              <w:rPr>
                <w:rFonts w:ascii="-webkit-standard" w:hAnsi="-webkit-standard"/>
              </w:rPr>
              <w:t>0.283</w:t>
            </w:r>
          </w:p>
        </w:tc>
        <w:tc>
          <w:tcPr>
            <w:tcW w:w="0" w:type="auto"/>
            <w:vAlign w:val="center"/>
            <w:hideMark/>
          </w:tcPr>
          <w:p w14:paraId="0B84920C" w14:textId="77777777" w:rsidR="00740DE0" w:rsidRPr="00740DE0" w:rsidRDefault="00740DE0" w:rsidP="00740DE0">
            <w:pPr>
              <w:jc w:val="right"/>
              <w:rPr>
                <w:rFonts w:ascii="-webkit-standard" w:hAnsi="-webkit-standard"/>
              </w:rPr>
            </w:pPr>
            <w:r w:rsidRPr="00740DE0">
              <w:rPr>
                <w:rFonts w:ascii="-webkit-standard" w:hAnsi="-webkit-standard"/>
              </w:rPr>
              <w:t>0.208</w:t>
            </w:r>
          </w:p>
        </w:tc>
      </w:tr>
      <w:tr w:rsidR="00740DE0" w:rsidRPr="00740DE0" w14:paraId="45E98BAE" w14:textId="77777777" w:rsidTr="00740DE0">
        <w:trPr>
          <w:tblCellSpacing w:w="15" w:type="dxa"/>
        </w:trPr>
        <w:tc>
          <w:tcPr>
            <w:tcW w:w="0" w:type="auto"/>
            <w:tcBorders>
              <w:bottom w:val="single" w:sz="4" w:space="0" w:color="auto"/>
            </w:tcBorders>
            <w:vAlign w:val="center"/>
            <w:hideMark/>
          </w:tcPr>
          <w:p w14:paraId="6FDB0086" w14:textId="75CB93E7" w:rsidR="00740DE0" w:rsidRPr="00740DE0" w:rsidRDefault="00740DE0" w:rsidP="00740DE0">
            <w:pPr>
              <w:rPr>
                <w:rFonts w:ascii="-webkit-standard" w:hAnsi="-webkit-standard"/>
              </w:rPr>
            </w:pPr>
            <w:r w:rsidRPr="00740DE0">
              <w:rPr>
                <w:rFonts w:ascii="-webkit-standard" w:hAnsi="-webkit-standard"/>
              </w:rPr>
              <w:t>Empowered (</w:t>
            </w:r>
            <w:r>
              <w:rPr>
                <w:rFonts w:ascii="-webkit-standard" w:hAnsi="-webkit-standard"/>
              </w:rPr>
              <w:t>5</w:t>
            </w:r>
            <w:r w:rsidRPr="00740DE0">
              <w:rPr>
                <w:rFonts w:ascii="-webkit-standard" w:hAnsi="-webkit-standard"/>
              </w:rPr>
              <w:t>DE)</w:t>
            </w:r>
          </w:p>
        </w:tc>
        <w:tc>
          <w:tcPr>
            <w:tcW w:w="0" w:type="auto"/>
            <w:tcBorders>
              <w:bottom w:val="single" w:sz="4" w:space="0" w:color="auto"/>
            </w:tcBorders>
            <w:vAlign w:val="center"/>
            <w:hideMark/>
          </w:tcPr>
          <w:p w14:paraId="3FAFFF4E" w14:textId="77777777" w:rsidR="00740DE0" w:rsidRPr="00740DE0" w:rsidRDefault="00740DE0" w:rsidP="00740DE0">
            <w:pPr>
              <w:jc w:val="right"/>
              <w:rPr>
                <w:rFonts w:ascii="-webkit-standard" w:hAnsi="-webkit-standard"/>
              </w:rPr>
            </w:pPr>
            <w:r w:rsidRPr="00740DE0">
              <w:rPr>
                <w:rFonts w:ascii="-webkit-standard" w:hAnsi="-webkit-standard"/>
              </w:rPr>
              <w:t>0.717</w:t>
            </w:r>
          </w:p>
        </w:tc>
        <w:tc>
          <w:tcPr>
            <w:tcW w:w="0" w:type="auto"/>
            <w:tcBorders>
              <w:bottom w:val="single" w:sz="4" w:space="0" w:color="auto"/>
            </w:tcBorders>
            <w:vAlign w:val="center"/>
            <w:hideMark/>
          </w:tcPr>
          <w:p w14:paraId="5DE21918" w14:textId="77777777" w:rsidR="00740DE0" w:rsidRPr="00740DE0" w:rsidRDefault="00740DE0" w:rsidP="00740DE0">
            <w:pPr>
              <w:jc w:val="right"/>
              <w:rPr>
                <w:rFonts w:ascii="-webkit-standard" w:hAnsi="-webkit-standard"/>
              </w:rPr>
            </w:pPr>
            <w:r w:rsidRPr="00740DE0">
              <w:rPr>
                <w:rFonts w:ascii="-webkit-standard" w:hAnsi="-webkit-standard"/>
              </w:rPr>
              <w:t>0.792</w:t>
            </w:r>
          </w:p>
        </w:tc>
      </w:tr>
    </w:tbl>
    <w:p w14:paraId="73D38E80" w14:textId="1B66EFF7" w:rsidR="00033880" w:rsidRDefault="00740DE0" w:rsidP="00740DE0">
      <w:pPr>
        <w:tabs>
          <w:tab w:val="left" w:pos="1628"/>
        </w:tabs>
        <w:spacing w:line="360" w:lineRule="auto"/>
      </w:pPr>
      <w:r>
        <w:tab/>
      </w:r>
    </w:p>
    <w:p w14:paraId="37023A10" w14:textId="6240CB50" w:rsidR="004F4A24" w:rsidRPr="004F4A24" w:rsidRDefault="004F4A24" w:rsidP="004F4A24"/>
    <w:p w14:paraId="5EA705B0" w14:textId="489224B4" w:rsidR="003338BB" w:rsidRDefault="003338BB" w:rsidP="00555BE3">
      <w:pPr>
        <w:spacing w:line="360" w:lineRule="auto"/>
      </w:pPr>
    </w:p>
    <w:p w14:paraId="08762372" w14:textId="47C16B5E" w:rsidR="008F3091" w:rsidRPr="008F3091" w:rsidRDefault="008F3091" w:rsidP="008F3091">
      <w:r w:rsidRPr="008F3091">
        <w:lastRenderedPageBreak/>
        <w:fldChar w:fldCharType="begin"/>
      </w:r>
      <w:r w:rsidRPr="008F3091">
        <w:instrText xml:space="preserve"> INCLUDEPICTURE "/var/folders/_6/mt8ts63j5c35k8kdk17yzq7h0000gn/T/com.microsoft.Word/WebArchiveCopyPasteTempFiles/EA-USDA-unnamed-chunk-12-1.png" \* MERGEFORMATINET </w:instrText>
      </w:r>
      <w:r w:rsidRPr="008F3091">
        <w:fldChar w:fldCharType="separate"/>
      </w:r>
      <w:r w:rsidRPr="008F3091">
        <w:rPr>
          <w:noProof/>
        </w:rPr>
        <w:drawing>
          <wp:inline distT="0" distB="0" distL="0" distR="0" wp14:anchorId="77EE350D" wp14:editId="14EC4936">
            <wp:extent cx="5943600" cy="445770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8F3091">
        <w:fldChar w:fldCharType="end"/>
      </w:r>
    </w:p>
    <w:p w14:paraId="28D40983" w14:textId="601222E6" w:rsidR="00CB4AEE" w:rsidRPr="00CB4AEE" w:rsidRDefault="00CB4AEE" w:rsidP="00CB4AEE"/>
    <w:p w14:paraId="569F6D72" w14:textId="20804CEF" w:rsidR="008F3091" w:rsidRPr="008F3091" w:rsidRDefault="008F3091" w:rsidP="008F3091"/>
    <w:p w14:paraId="2996D938" w14:textId="77777777" w:rsidR="003338BB" w:rsidRDefault="003338BB" w:rsidP="00555BE3">
      <w:pPr>
        <w:spacing w:line="360" w:lineRule="auto"/>
      </w:pPr>
    </w:p>
    <w:p w14:paraId="6E8C4D47" w14:textId="62CEB2B4" w:rsidR="00033880" w:rsidRDefault="003338BB" w:rsidP="00033880">
      <w:pPr>
        <w:shd w:val="clear" w:color="auto" w:fill="FFFFFF"/>
        <w:textAlignment w:val="baseline"/>
        <w:rPr>
          <w:rFonts w:ascii="Helvetica Neue" w:hAnsi="Helvetica Neue"/>
          <w:color w:val="282828"/>
          <w:sz w:val="21"/>
          <w:szCs w:val="21"/>
        </w:rPr>
      </w:pPr>
      <w:r>
        <w:rPr>
          <w:rStyle w:val="comp"/>
          <w:rFonts w:ascii="Helvetica Neue" w:hAnsi="Helvetica Neue"/>
          <w:color w:val="282828"/>
          <w:sz w:val="21"/>
          <w:szCs w:val="21"/>
          <w:bdr w:val="none" w:sz="0" w:space="0" w:color="auto" w:frame="1"/>
        </w:rPr>
        <w:t xml:space="preserve">Reference </w:t>
      </w:r>
      <w:r w:rsidR="00033880">
        <w:rPr>
          <w:rStyle w:val="comp"/>
          <w:rFonts w:ascii="Helvetica Neue" w:hAnsi="Helvetica Neue"/>
          <w:color w:val="282828"/>
          <w:sz w:val="21"/>
          <w:szCs w:val="21"/>
          <w:bdr w:val="none" w:sz="0" w:space="0" w:color="auto" w:frame="1"/>
        </w:rPr>
        <w:t>By</w:t>
      </w:r>
      <w:r w:rsidR="00033880">
        <w:rPr>
          <w:rFonts w:ascii="Helvetica Neue" w:hAnsi="Helvetica Neue"/>
          <w:color w:val="282828"/>
          <w:sz w:val="21"/>
          <w:szCs w:val="21"/>
        </w:rPr>
        <w:t> </w:t>
      </w:r>
    </w:p>
    <w:p w14:paraId="177D99C7" w14:textId="77777777" w:rsidR="00033880" w:rsidRDefault="00033880" w:rsidP="00033880">
      <w:pPr>
        <w:shd w:val="clear" w:color="auto" w:fill="FFFFFF"/>
        <w:textAlignment w:val="baseline"/>
        <w:rPr>
          <w:rFonts w:ascii="Helvetica Neue" w:hAnsi="Helvetica Neue"/>
          <w:color w:val="282828"/>
          <w:sz w:val="21"/>
          <w:szCs w:val="21"/>
        </w:rPr>
      </w:pPr>
      <w:r>
        <w:rPr>
          <w:rStyle w:val="comp"/>
          <w:rFonts w:ascii="Helvetica Neue" w:hAnsi="Helvetica Neue"/>
          <w:color w:val="282828"/>
          <w:sz w:val="21"/>
          <w:szCs w:val="21"/>
          <w:bdr w:val="none" w:sz="0" w:space="0" w:color="auto" w:frame="1"/>
        </w:rPr>
        <w:t>Ashley Crossman</w:t>
      </w:r>
    </w:p>
    <w:p w14:paraId="488119DF" w14:textId="77777777" w:rsidR="00033880" w:rsidRDefault="00033880" w:rsidP="00033880">
      <w:pPr>
        <w:shd w:val="clear" w:color="auto" w:fill="FFFFFF"/>
        <w:textAlignment w:val="baseline"/>
        <w:rPr>
          <w:rFonts w:ascii="Helvetica Neue" w:hAnsi="Helvetica Neue"/>
          <w:color w:val="737373"/>
          <w:sz w:val="21"/>
          <w:szCs w:val="21"/>
        </w:rPr>
      </w:pPr>
      <w:r>
        <w:rPr>
          <w:rFonts w:ascii="Helvetica Neue" w:hAnsi="Helvetica Neue"/>
          <w:color w:val="737373"/>
          <w:sz w:val="21"/>
          <w:szCs w:val="21"/>
        </w:rPr>
        <w:t>Updated June 21, 2019</w:t>
      </w:r>
    </w:p>
    <w:p w14:paraId="1BCA4ACB" w14:textId="77777777" w:rsidR="00033880" w:rsidRDefault="00033880" w:rsidP="00033880">
      <w:pPr>
        <w:pStyle w:val="comp1"/>
        <w:shd w:val="clear" w:color="auto" w:fill="FFFFFF"/>
        <w:spacing w:before="0" w:after="0"/>
        <w:textAlignment w:val="baseline"/>
        <w:rPr>
          <w:rFonts w:ascii="Georgia" w:hAnsi="Georgia"/>
          <w:color w:val="282828"/>
          <w:sz w:val="26"/>
          <w:szCs w:val="26"/>
        </w:rPr>
      </w:pPr>
      <w:r>
        <w:rPr>
          <w:rFonts w:ascii="Georgia" w:hAnsi="Georgia"/>
          <w:color w:val="282828"/>
          <w:sz w:val="26"/>
          <w:szCs w:val="26"/>
        </w:rPr>
        <w:t>An </w:t>
      </w:r>
      <w:hyperlink r:id="rId7" w:history="1">
        <w:r>
          <w:rPr>
            <w:rStyle w:val="Hyperlink"/>
            <w:rFonts w:ascii="Georgia" w:eastAsiaTheme="majorEastAsia" w:hAnsi="Georgia"/>
            <w:color w:val="282828"/>
          </w:rPr>
          <w:t>index</w:t>
        </w:r>
      </w:hyperlink>
      <w:r>
        <w:rPr>
          <w:rFonts w:ascii="Georgia" w:hAnsi="Georgia"/>
          <w:color w:val="282828"/>
          <w:sz w:val="26"/>
          <w:szCs w:val="26"/>
        </w:rPr>
        <w:t> is a composite measure of variables, or a way of measuring a construct--like </w:t>
      </w:r>
      <w:hyperlink r:id="rId8" w:history="1">
        <w:r>
          <w:rPr>
            <w:rStyle w:val="Hyperlink"/>
            <w:rFonts w:ascii="Georgia" w:eastAsiaTheme="majorEastAsia" w:hAnsi="Georgia"/>
            <w:color w:val="282828"/>
          </w:rPr>
          <w:t>religiosity</w:t>
        </w:r>
      </w:hyperlink>
      <w:r>
        <w:rPr>
          <w:rFonts w:ascii="Georgia" w:hAnsi="Georgia"/>
          <w:color w:val="282828"/>
          <w:sz w:val="26"/>
          <w:szCs w:val="26"/>
        </w:rPr>
        <w:t> or racism--using more than one data item. An index is an accumulation of scores from a variety of individual items. To create one, you must select possible items, examine their empirical relationships, score the index, and validate it.</w:t>
      </w:r>
    </w:p>
    <w:p w14:paraId="3AA40BDD" w14:textId="77777777" w:rsidR="00033880" w:rsidRDefault="00033880" w:rsidP="00033880">
      <w:pPr>
        <w:pStyle w:val="Heading2"/>
        <w:shd w:val="clear" w:color="auto" w:fill="FFFFFF"/>
        <w:spacing w:before="0"/>
        <w:textAlignment w:val="baseline"/>
        <w:rPr>
          <w:rFonts w:ascii="Helvetica Neue" w:hAnsi="Helvetica Neue"/>
          <w:color w:val="282828"/>
          <w:sz w:val="36"/>
          <w:szCs w:val="36"/>
        </w:rPr>
      </w:pPr>
      <w:r>
        <w:rPr>
          <w:rStyle w:val="mntl-sc-block-headingtext"/>
          <w:rFonts w:ascii="Helvetica Neue" w:hAnsi="Helvetica Neue"/>
          <w:b/>
          <w:bCs/>
          <w:color w:val="282828"/>
          <w:sz w:val="33"/>
          <w:szCs w:val="33"/>
          <w:bdr w:val="none" w:sz="0" w:space="0" w:color="auto" w:frame="1"/>
        </w:rPr>
        <w:t>Item Selection</w:t>
      </w:r>
    </w:p>
    <w:p w14:paraId="4267E704" w14:textId="77777777" w:rsidR="00033880" w:rsidRDefault="00033880" w:rsidP="00033880">
      <w:pPr>
        <w:pStyle w:val="comp1"/>
        <w:shd w:val="clear" w:color="auto" w:fill="FFFFFF"/>
        <w:textAlignment w:val="baseline"/>
        <w:rPr>
          <w:rFonts w:ascii="Georgia" w:hAnsi="Georgia"/>
          <w:color w:val="282828"/>
          <w:sz w:val="26"/>
          <w:szCs w:val="26"/>
        </w:rPr>
      </w:pPr>
      <w:r>
        <w:rPr>
          <w:rFonts w:ascii="Georgia" w:hAnsi="Georgia"/>
          <w:color w:val="282828"/>
          <w:sz w:val="26"/>
          <w:szCs w:val="26"/>
        </w:rPr>
        <w:t xml:space="preserve">The first step in creating an index is selecting the items you wish to include in the index to measure the variable of interest. There are several things to consider when selecting the items. First, you should select items that have face validity. That is, the item should measure what it is intended to measure. If you are constructing an index of religiosity, items such as church attendance and </w:t>
      </w:r>
      <w:r>
        <w:rPr>
          <w:rFonts w:ascii="Georgia" w:hAnsi="Georgia"/>
          <w:color w:val="282828"/>
          <w:sz w:val="26"/>
          <w:szCs w:val="26"/>
        </w:rPr>
        <w:lastRenderedPageBreak/>
        <w:t>frequency of prayer would have face validity because they appear to offer some indication of religiosity.</w:t>
      </w:r>
    </w:p>
    <w:p w14:paraId="2716541B" w14:textId="77777777" w:rsidR="00033880" w:rsidRDefault="00033880" w:rsidP="00033880">
      <w:pPr>
        <w:pStyle w:val="comp1"/>
        <w:shd w:val="clear" w:color="auto" w:fill="FFFFFF"/>
        <w:textAlignment w:val="baseline"/>
        <w:rPr>
          <w:rFonts w:ascii="Georgia" w:hAnsi="Georgia"/>
          <w:color w:val="282828"/>
          <w:sz w:val="26"/>
          <w:szCs w:val="26"/>
        </w:rPr>
      </w:pPr>
      <w:r>
        <w:rPr>
          <w:rFonts w:ascii="Georgia" w:hAnsi="Georgia"/>
          <w:color w:val="282828"/>
          <w:sz w:val="26"/>
          <w:szCs w:val="26"/>
        </w:rPr>
        <w:t xml:space="preserve">A second criterion for choosing which items to include in your index is </w:t>
      </w:r>
      <w:proofErr w:type="spellStart"/>
      <w:r>
        <w:rPr>
          <w:rFonts w:ascii="Georgia" w:hAnsi="Georgia"/>
          <w:color w:val="282828"/>
          <w:sz w:val="26"/>
          <w:szCs w:val="26"/>
        </w:rPr>
        <w:t>unidimensionality</w:t>
      </w:r>
      <w:proofErr w:type="spellEnd"/>
      <w:r>
        <w:rPr>
          <w:rFonts w:ascii="Georgia" w:hAnsi="Georgia"/>
          <w:color w:val="282828"/>
          <w:sz w:val="26"/>
          <w:szCs w:val="26"/>
        </w:rPr>
        <w:t>. That is, each item should represent only one dimension of the concept you are measuring. For example, items reflecting depression should not be included in items measuring anxiety, even though the two might be related to one another.</w:t>
      </w:r>
    </w:p>
    <w:p w14:paraId="1EA54682" w14:textId="77777777" w:rsidR="00033880" w:rsidRDefault="00033880" w:rsidP="00033880">
      <w:pPr>
        <w:pStyle w:val="comp1"/>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Third, you need to decide how general or specific your </w:t>
      </w:r>
      <w:hyperlink r:id="rId9" w:history="1">
        <w:r>
          <w:rPr>
            <w:rStyle w:val="Hyperlink"/>
            <w:rFonts w:ascii="Georgia" w:eastAsiaTheme="majorEastAsia" w:hAnsi="Georgia"/>
            <w:color w:val="282828"/>
          </w:rPr>
          <w:t>variable</w:t>
        </w:r>
      </w:hyperlink>
      <w:r>
        <w:rPr>
          <w:rFonts w:ascii="Georgia" w:hAnsi="Georgia"/>
          <w:color w:val="282828"/>
          <w:sz w:val="26"/>
          <w:szCs w:val="26"/>
        </w:rPr>
        <w:t> will be. For example, if you only wish to measure a specific aspect of religiosity, such as ritual participation, then you would only want to include items that measure ritual participation, such as church attendance, confession, communion, etc. If you are measuring religiosity in a more general way, however, you would want to also include a more balanced set of items that touch on other areas of religion (such as beliefs, knowledge, etc.).</w:t>
      </w:r>
    </w:p>
    <w:p w14:paraId="458EB3A1" w14:textId="77777777" w:rsidR="00033880" w:rsidRDefault="00033880" w:rsidP="00033880">
      <w:pPr>
        <w:pStyle w:val="comp1"/>
        <w:shd w:val="clear" w:color="auto" w:fill="FFFFFF"/>
        <w:spacing w:before="0" w:after="0"/>
        <w:textAlignment w:val="baseline"/>
        <w:rPr>
          <w:rFonts w:ascii="Georgia" w:hAnsi="Georgia"/>
          <w:color w:val="282828"/>
          <w:sz w:val="26"/>
          <w:szCs w:val="26"/>
        </w:rPr>
      </w:pPr>
      <w:r>
        <w:rPr>
          <w:rFonts w:ascii="Georgia" w:hAnsi="Georgia"/>
          <w:color w:val="282828"/>
          <w:sz w:val="26"/>
          <w:szCs w:val="26"/>
        </w:rPr>
        <w:t>Lastly, when choosing which items to include in your index, you should pay attention to the amount of </w:t>
      </w:r>
      <w:hyperlink r:id="rId10" w:history="1">
        <w:r>
          <w:rPr>
            <w:rStyle w:val="Hyperlink"/>
            <w:rFonts w:ascii="Georgia" w:eastAsiaTheme="majorEastAsia" w:hAnsi="Georgia"/>
            <w:color w:val="282828"/>
          </w:rPr>
          <w:t>variance</w:t>
        </w:r>
      </w:hyperlink>
      <w:r>
        <w:rPr>
          <w:rFonts w:ascii="Georgia" w:hAnsi="Georgia"/>
          <w:color w:val="282828"/>
          <w:sz w:val="26"/>
          <w:szCs w:val="26"/>
        </w:rPr>
        <w:t> that each item provides. For example, if an item is intended to measure religious conservatism, you need to pay attention to what proportion of respondents would be identified as religiously conservative by that measure. If the item identifies nobody as religiously conservative or everyone as a religiously conservative, then the item has no variance and it is not a useful item for your index.</w:t>
      </w:r>
    </w:p>
    <w:p w14:paraId="0E8E0F7E" w14:textId="77777777" w:rsidR="00033880" w:rsidRDefault="00033880" w:rsidP="00033880">
      <w:pPr>
        <w:pStyle w:val="Heading2"/>
        <w:shd w:val="clear" w:color="auto" w:fill="FFFFFF"/>
        <w:spacing w:before="0"/>
        <w:textAlignment w:val="baseline"/>
        <w:rPr>
          <w:rFonts w:ascii="Helvetica Neue" w:hAnsi="Helvetica Neue"/>
          <w:color w:val="282828"/>
          <w:sz w:val="36"/>
          <w:szCs w:val="36"/>
        </w:rPr>
      </w:pPr>
      <w:r>
        <w:rPr>
          <w:rStyle w:val="mntl-sc-block-headingtext"/>
          <w:rFonts w:ascii="Helvetica Neue" w:hAnsi="Helvetica Neue"/>
          <w:b/>
          <w:bCs/>
          <w:color w:val="282828"/>
          <w:sz w:val="33"/>
          <w:szCs w:val="33"/>
          <w:bdr w:val="none" w:sz="0" w:space="0" w:color="auto" w:frame="1"/>
        </w:rPr>
        <w:t>Examining Empirical Relationships</w:t>
      </w:r>
    </w:p>
    <w:p w14:paraId="7AF50CBE" w14:textId="77777777" w:rsidR="00033880" w:rsidRDefault="00033880" w:rsidP="00033880">
      <w:pPr>
        <w:pStyle w:val="comp1"/>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 second step in index construction is to examine the empirical relationships among the items you wish to include in the index. An empirical relationship is when respondents’ answers to one question help us predict how they will answer other questions. If two items are empirically related to each other, we can argue that both items reflect the same concept and we can, therefore, include them in the same index. To determine if your items are empirically related, crosstabulations, </w:t>
      </w:r>
      <w:hyperlink r:id="rId11" w:history="1">
        <w:r>
          <w:rPr>
            <w:rStyle w:val="Hyperlink"/>
            <w:rFonts w:ascii="Georgia" w:eastAsiaTheme="majorEastAsia" w:hAnsi="Georgia"/>
            <w:color w:val="282828"/>
          </w:rPr>
          <w:t>correlation coefficients</w:t>
        </w:r>
      </w:hyperlink>
      <w:r>
        <w:rPr>
          <w:rFonts w:ascii="Georgia" w:hAnsi="Georgia"/>
          <w:color w:val="282828"/>
          <w:sz w:val="26"/>
          <w:szCs w:val="26"/>
        </w:rPr>
        <w:t>, or both may be used.</w:t>
      </w:r>
    </w:p>
    <w:p w14:paraId="25F6C92A" w14:textId="77777777" w:rsidR="00033880" w:rsidRDefault="00033880" w:rsidP="00033880">
      <w:pPr>
        <w:pStyle w:val="Heading2"/>
        <w:shd w:val="clear" w:color="auto" w:fill="FFFFFF"/>
        <w:spacing w:before="0"/>
        <w:textAlignment w:val="baseline"/>
        <w:rPr>
          <w:rFonts w:ascii="Helvetica Neue" w:hAnsi="Helvetica Neue"/>
          <w:color w:val="282828"/>
          <w:sz w:val="36"/>
          <w:szCs w:val="36"/>
        </w:rPr>
      </w:pPr>
      <w:r>
        <w:rPr>
          <w:rStyle w:val="mntl-sc-block-headingtext"/>
          <w:rFonts w:ascii="Helvetica Neue" w:hAnsi="Helvetica Neue"/>
          <w:b/>
          <w:bCs/>
          <w:color w:val="282828"/>
          <w:sz w:val="33"/>
          <w:szCs w:val="33"/>
          <w:bdr w:val="none" w:sz="0" w:space="0" w:color="auto" w:frame="1"/>
        </w:rPr>
        <w:t>Index Scoring</w:t>
      </w:r>
    </w:p>
    <w:p w14:paraId="079018B8" w14:textId="77777777" w:rsidR="00033880" w:rsidRDefault="00033880" w:rsidP="00033880">
      <w:pPr>
        <w:pStyle w:val="comp1"/>
        <w:shd w:val="clear" w:color="auto" w:fill="FFFFFF"/>
        <w:textAlignment w:val="baseline"/>
        <w:rPr>
          <w:rFonts w:ascii="Georgia" w:hAnsi="Georgia"/>
          <w:color w:val="282828"/>
          <w:sz w:val="26"/>
          <w:szCs w:val="26"/>
        </w:rPr>
      </w:pPr>
      <w:r>
        <w:rPr>
          <w:rFonts w:ascii="Georgia" w:hAnsi="Georgia"/>
          <w:color w:val="282828"/>
          <w:sz w:val="26"/>
          <w:szCs w:val="26"/>
        </w:rPr>
        <w:t xml:space="preserve">The third step in index construction is scoring the index. After you have finalized the items you are including in your index, you then assign scores for particular responses, thereby making a composite variable out of your several items. For example, let’s say you are measuring religious ritual participation among Catholics and the items included in your index are church attendance, confession, communion, and daily prayer, each with a response choice of "yes, I regularly </w:t>
      </w:r>
      <w:r>
        <w:rPr>
          <w:rFonts w:ascii="Georgia" w:hAnsi="Georgia"/>
          <w:color w:val="282828"/>
          <w:sz w:val="26"/>
          <w:szCs w:val="26"/>
        </w:rPr>
        <w:lastRenderedPageBreak/>
        <w:t>participate" or "no, I do not regularly participate." You might assign a 0 for "does not participate" and a 1 for "participates." Therefore, a respondent could receive a final composite score of 0, 1, 2, 3, or 4 with 0 being the least engaged in Catholic rituals and 4 being the most engaged.</w:t>
      </w:r>
    </w:p>
    <w:p w14:paraId="3E10F0C2" w14:textId="77777777" w:rsidR="00033880" w:rsidRDefault="00033880" w:rsidP="00033880">
      <w:pPr>
        <w:pStyle w:val="Heading2"/>
        <w:shd w:val="clear" w:color="auto" w:fill="FFFFFF"/>
        <w:spacing w:before="0"/>
        <w:textAlignment w:val="baseline"/>
        <w:rPr>
          <w:rFonts w:ascii="Helvetica Neue" w:hAnsi="Helvetica Neue"/>
          <w:color w:val="282828"/>
          <w:sz w:val="36"/>
          <w:szCs w:val="36"/>
        </w:rPr>
      </w:pPr>
      <w:r>
        <w:rPr>
          <w:rStyle w:val="mntl-sc-block-headingtext"/>
          <w:rFonts w:ascii="Helvetica Neue" w:hAnsi="Helvetica Neue"/>
          <w:b/>
          <w:bCs/>
          <w:color w:val="282828"/>
          <w:sz w:val="33"/>
          <w:szCs w:val="33"/>
          <w:bdr w:val="none" w:sz="0" w:space="0" w:color="auto" w:frame="1"/>
        </w:rPr>
        <w:t>Index Validation</w:t>
      </w:r>
    </w:p>
    <w:p w14:paraId="2AF118DF" w14:textId="77777777" w:rsidR="00033880" w:rsidRDefault="00033880" w:rsidP="00033880">
      <w:pPr>
        <w:pStyle w:val="comp1"/>
        <w:shd w:val="clear" w:color="auto" w:fill="FFFFFF"/>
        <w:spacing w:before="0" w:after="0"/>
        <w:textAlignment w:val="baseline"/>
        <w:rPr>
          <w:rFonts w:ascii="Georgia" w:hAnsi="Georgia"/>
          <w:color w:val="282828"/>
          <w:sz w:val="26"/>
          <w:szCs w:val="26"/>
        </w:rPr>
      </w:pPr>
      <w:r>
        <w:rPr>
          <w:rFonts w:ascii="Georgia" w:hAnsi="Georgia"/>
          <w:color w:val="282828"/>
          <w:sz w:val="26"/>
          <w:szCs w:val="26"/>
        </w:rPr>
        <w:t>The final step in constructing an index is validating it. Just like you need to validate each item that goes into the index, you also need to validate the index itself to make sure that it measures what it is intended to measure. There are several methods for doing this. One is called </w:t>
      </w:r>
      <w:r>
        <w:rPr>
          <w:rStyle w:val="Emphasis"/>
          <w:rFonts w:ascii="Georgia" w:hAnsi="Georgia"/>
          <w:color w:val="282828"/>
          <w:sz w:val="26"/>
          <w:szCs w:val="26"/>
          <w:bdr w:val="none" w:sz="0" w:space="0" w:color="auto" w:frame="1"/>
        </w:rPr>
        <w:t>item analysis</w:t>
      </w:r>
      <w:r>
        <w:rPr>
          <w:rFonts w:ascii="Georgia" w:hAnsi="Georgia"/>
          <w:color w:val="282828"/>
          <w:sz w:val="26"/>
          <w:szCs w:val="26"/>
        </w:rPr>
        <w:t> in which you examine the extent to which the index is related to the individual items that are included in it. Another important indicator of an index’s validity is how well it accurately predicts related measures. For example, if you are measuring political conservatism, those who score the most conservative in your index should also score conservative in other questions included in the survey.</w:t>
      </w:r>
    </w:p>
    <w:p w14:paraId="178656C1" w14:textId="77777777" w:rsidR="00033880" w:rsidRDefault="00033880" w:rsidP="00555BE3">
      <w:pPr>
        <w:spacing w:line="360" w:lineRule="auto"/>
      </w:pPr>
    </w:p>
    <w:sectPr w:rsidR="00033880" w:rsidSect="0093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860A7"/>
    <w:multiLevelType w:val="hybridMultilevel"/>
    <w:tmpl w:val="1C50A73A"/>
    <w:lvl w:ilvl="0" w:tplc="17E8A05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D6"/>
    <w:rsid w:val="000129B9"/>
    <w:rsid w:val="00013F99"/>
    <w:rsid w:val="00033880"/>
    <w:rsid w:val="00045FE1"/>
    <w:rsid w:val="000873AE"/>
    <w:rsid w:val="001062EB"/>
    <w:rsid w:val="00121EAD"/>
    <w:rsid w:val="00190699"/>
    <w:rsid w:val="001A4E39"/>
    <w:rsid w:val="001F19E9"/>
    <w:rsid w:val="001F6210"/>
    <w:rsid w:val="0020023E"/>
    <w:rsid w:val="00211D22"/>
    <w:rsid w:val="0021761D"/>
    <w:rsid w:val="00235564"/>
    <w:rsid w:val="00243FD3"/>
    <w:rsid w:val="002A0E8B"/>
    <w:rsid w:val="002A0ECE"/>
    <w:rsid w:val="002D73F5"/>
    <w:rsid w:val="003338BB"/>
    <w:rsid w:val="00374389"/>
    <w:rsid w:val="00394C77"/>
    <w:rsid w:val="003D43FC"/>
    <w:rsid w:val="00407DD6"/>
    <w:rsid w:val="004151BB"/>
    <w:rsid w:val="00415FBE"/>
    <w:rsid w:val="00420B11"/>
    <w:rsid w:val="004A1742"/>
    <w:rsid w:val="004E18A7"/>
    <w:rsid w:val="004F4A24"/>
    <w:rsid w:val="00555BE3"/>
    <w:rsid w:val="005F4685"/>
    <w:rsid w:val="005F7DFD"/>
    <w:rsid w:val="00621F2E"/>
    <w:rsid w:val="006247EA"/>
    <w:rsid w:val="0063214A"/>
    <w:rsid w:val="0068733F"/>
    <w:rsid w:val="00692D92"/>
    <w:rsid w:val="006C5C8C"/>
    <w:rsid w:val="006E1812"/>
    <w:rsid w:val="006E1B3A"/>
    <w:rsid w:val="00740DE0"/>
    <w:rsid w:val="00741D7B"/>
    <w:rsid w:val="0076430D"/>
    <w:rsid w:val="00777211"/>
    <w:rsid w:val="007932C1"/>
    <w:rsid w:val="007937AE"/>
    <w:rsid w:val="007C0023"/>
    <w:rsid w:val="007F61EA"/>
    <w:rsid w:val="0080642F"/>
    <w:rsid w:val="00864DD0"/>
    <w:rsid w:val="008E5FE6"/>
    <w:rsid w:val="008F3091"/>
    <w:rsid w:val="00920D7B"/>
    <w:rsid w:val="00930E6B"/>
    <w:rsid w:val="009E1522"/>
    <w:rsid w:val="009F0CBB"/>
    <w:rsid w:val="00A01791"/>
    <w:rsid w:val="00A700F2"/>
    <w:rsid w:val="00A7210B"/>
    <w:rsid w:val="00B33ED7"/>
    <w:rsid w:val="00B50F42"/>
    <w:rsid w:val="00B9328C"/>
    <w:rsid w:val="00BA7DD2"/>
    <w:rsid w:val="00C57C52"/>
    <w:rsid w:val="00C6373B"/>
    <w:rsid w:val="00C75A41"/>
    <w:rsid w:val="00C75AF6"/>
    <w:rsid w:val="00CB4AEE"/>
    <w:rsid w:val="00CB4E5D"/>
    <w:rsid w:val="00CF1C82"/>
    <w:rsid w:val="00D07766"/>
    <w:rsid w:val="00D1747C"/>
    <w:rsid w:val="00D53B8F"/>
    <w:rsid w:val="00DE3309"/>
    <w:rsid w:val="00E20EC4"/>
    <w:rsid w:val="00E50E32"/>
    <w:rsid w:val="00E54C21"/>
    <w:rsid w:val="00ED42A4"/>
    <w:rsid w:val="00F26773"/>
    <w:rsid w:val="00F3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357AF"/>
  <w15:chartTrackingRefBased/>
  <w15:docId w15:val="{604AFAA9-0709-044B-9A3B-BF22A572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D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407D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D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DD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07DD6"/>
    <w:pPr>
      <w:spacing w:before="100" w:beforeAutospacing="1" w:after="100" w:afterAutospacing="1"/>
    </w:pPr>
    <w:rPr>
      <w:rFonts w:eastAsiaTheme="minorEastAsia"/>
      <w:lang w:val="en-IE" w:eastAsia="en-IE"/>
    </w:rPr>
  </w:style>
  <w:style w:type="character" w:customStyle="1" w:styleId="math">
    <w:name w:val="math"/>
    <w:basedOn w:val="DefaultParagraphFont"/>
    <w:rsid w:val="00407DD6"/>
  </w:style>
  <w:style w:type="character" w:customStyle="1" w:styleId="Heading2Char">
    <w:name w:val="Heading 2 Char"/>
    <w:basedOn w:val="DefaultParagraphFont"/>
    <w:link w:val="Heading2"/>
    <w:uiPriority w:val="9"/>
    <w:semiHidden/>
    <w:rsid w:val="00407DD6"/>
    <w:rPr>
      <w:rFonts w:asciiTheme="majorHAnsi" w:eastAsiaTheme="majorEastAsia" w:hAnsiTheme="majorHAnsi" w:cstheme="majorBidi"/>
      <w:color w:val="2F5496" w:themeColor="accent1" w:themeShade="BF"/>
      <w:sz w:val="26"/>
      <w:szCs w:val="26"/>
    </w:rPr>
  </w:style>
  <w:style w:type="character" w:customStyle="1" w:styleId="comp">
    <w:name w:val="comp"/>
    <w:basedOn w:val="DefaultParagraphFont"/>
    <w:rsid w:val="00033880"/>
  </w:style>
  <w:style w:type="paragraph" w:customStyle="1" w:styleId="comp1">
    <w:name w:val="comp1"/>
    <w:basedOn w:val="Normal"/>
    <w:rsid w:val="00033880"/>
    <w:pPr>
      <w:spacing w:before="100" w:beforeAutospacing="1" w:after="100" w:afterAutospacing="1"/>
    </w:pPr>
  </w:style>
  <w:style w:type="character" w:styleId="Hyperlink">
    <w:name w:val="Hyperlink"/>
    <w:basedOn w:val="DefaultParagraphFont"/>
    <w:uiPriority w:val="99"/>
    <w:semiHidden/>
    <w:unhideWhenUsed/>
    <w:rsid w:val="00033880"/>
    <w:rPr>
      <w:color w:val="0000FF"/>
      <w:u w:val="single"/>
    </w:rPr>
  </w:style>
  <w:style w:type="character" w:customStyle="1" w:styleId="mntl-sc-block-headingtext">
    <w:name w:val="mntl-sc-block-heading__text"/>
    <w:basedOn w:val="DefaultParagraphFont"/>
    <w:rsid w:val="00033880"/>
  </w:style>
  <w:style w:type="character" w:styleId="Emphasis">
    <w:name w:val="Emphasis"/>
    <w:basedOn w:val="DefaultParagraphFont"/>
    <w:uiPriority w:val="20"/>
    <w:qFormat/>
    <w:rsid w:val="00033880"/>
    <w:rPr>
      <w:i/>
      <w:iCs/>
    </w:rPr>
  </w:style>
  <w:style w:type="paragraph" w:customStyle="1" w:styleId="cl-17075124">
    <w:name w:val="cl-17075124"/>
    <w:basedOn w:val="Normal"/>
    <w:rsid w:val="001A4E39"/>
    <w:pPr>
      <w:spacing w:before="100" w:beforeAutospacing="1" w:after="100" w:afterAutospacing="1"/>
    </w:pPr>
  </w:style>
  <w:style w:type="character" w:customStyle="1" w:styleId="cl-17073ef0">
    <w:name w:val="cl-17073ef0"/>
    <w:basedOn w:val="DefaultParagraphFont"/>
    <w:rsid w:val="001A4E39"/>
  </w:style>
  <w:style w:type="paragraph" w:customStyle="1" w:styleId="cl-17075138">
    <w:name w:val="cl-17075138"/>
    <w:basedOn w:val="Normal"/>
    <w:rsid w:val="001A4E39"/>
    <w:pPr>
      <w:spacing w:before="100" w:beforeAutospacing="1" w:after="100" w:afterAutospacing="1"/>
    </w:pPr>
  </w:style>
  <w:style w:type="paragraph" w:customStyle="1" w:styleId="cl-e10970d6">
    <w:name w:val="cl-e10970d6"/>
    <w:basedOn w:val="Normal"/>
    <w:rsid w:val="00045FE1"/>
    <w:pPr>
      <w:spacing w:before="100" w:beforeAutospacing="1" w:after="100" w:afterAutospacing="1"/>
    </w:pPr>
  </w:style>
  <w:style w:type="character" w:customStyle="1" w:styleId="cl-e1095ce0">
    <w:name w:val="cl-e1095ce0"/>
    <w:basedOn w:val="DefaultParagraphFont"/>
    <w:rsid w:val="00045FE1"/>
  </w:style>
  <w:style w:type="paragraph" w:customStyle="1" w:styleId="cl-e10970f4">
    <w:name w:val="cl-e10970f4"/>
    <w:basedOn w:val="Normal"/>
    <w:rsid w:val="00045F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8656">
      <w:bodyDiv w:val="1"/>
      <w:marLeft w:val="0"/>
      <w:marRight w:val="0"/>
      <w:marTop w:val="0"/>
      <w:marBottom w:val="0"/>
      <w:divBdr>
        <w:top w:val="none" w:sz="0" w:space="0" w:color="auto"/>
        <w:left w:val="none" w:sz="0" w:space="0" w:color="auto"/>
        <w:bottom w:val="none" w:sz="0" w:space="0" w:color="auto"/>
        <w:right w:val="none" w:sz="0" w:space="0" w:color="auto"/>
      </w:divBdr>
    </w:div>
    <w:div w:id="63266138">
      <w:bodyDiv w:val="1"/>
      <w:marLeft w:val="0"/>
      <w:marRight w:val="0"/>
      <w:marTop w:val="0"/>
      <w:marBottom w:val="0"/>
      <w:divBdr>
        <w:top w:val="none" w:sz="0" w:space="0" w:color="auto"/>
        <w:left w:val="none" w:sz="0" w:space="0" w:color="auto"/>
        <w:bottom w:val="none" w:sz="0" w:space="0" w:color="auto"/>
        <w:right w:val="none" w:sz="0" w:space="0" w:color="auto"/>
      </w:divBdr>
    </w:div>
    <w:div w:id="92438299">
      <w:bodyDiv w:val="1"/>
      <w:marLeft w:val="0"/>
      <w:marRight w:val="0"/>
      <w:marTop w:val="0"/>
      <w:marBottom w:val="0"/>
      <w:divBdr>
        <w:top w:val="none" w:sz="0" w:space="0" w:color="auto"/>
        <w:left w:val="none" w:sz="0" w:space="0" w:color="auto"/>
        <w:bottom w:val="none" w:sz="0" w:space="0" w:color="auto"/>
        <w:right w:val="none" w:sz="0" w:space="0" w:color="auto"/>
      </w:divBdr>
    </w:div>
    <w:div w:id="203836599">
      <w:bodyDiv w:val="1"/>
      <w:marLeft w:val="0"/>
      <w:marRight w:val="0"/>
      <w:marTop w:val="0"/>
      <w:marBottom w:val="0"/>
      <w:divBdr>
        <w:top w:val="none" w:sz="0" w:space="0" w:color="auto"/>
        <w:left w:val="none" w:sz="0" w:space="0" w:color="auto"/>
        <w:bottom w:val="none" w:sz="0" w:space="0" w:color="auto"/>
        <w:right w:val="none" w:sz="0" w:space="0" w:color="auto"/>
      </w:divBdr>
    </w:div>
    <w:div w:id="219754429">
      <w:bodyDiv w:val="1"/>
      <w:marLeft w:val="0"/>
      <w:marRight w:val="0"/>
      <w:marTop w:val="0"/>
      <w:marBottom w:val="0"/>
      <w:divBdr>
        <w:top w:val="none" w:sz="0" w:space="0" w:color="auto"/>
        <w:left w:val="none" w:sz="0" w:space="0" w:color="auto"/>
        <w:bottom w:val="none" w:sz="0" w:space="0" w:color="auto"/>
        <w:right w:val="none" w:sz="0" w:space="0" w:color="auto"/>
      </w:divBdr>
    </w:div>
    <w:div w:id="268856891">
      <w:bodyDiv w:val="1"/>
      <w:marLeft w:val="0"/>
      <w:marRight w:val="0"/>
      <w:marTop w:val="0"/>
      <w:marBottom w:val="0"/>
      <w:divBdr>
        <w:top w:val="none" w:sz="0" w:space="0" w:color="auto"/>
        <w:left w:val="none" w:sz="0" w:space="0" w:color="auto"/>
        <w:bottom w:val="none" w:sz="0" w:space="0" w:color="auto"/>
        <w:right w:val="none" w:sz="0" w:space="0" w:color="auto"/>
      </w:divBdr>
    </w:div>
    <w:div w:id="329335728">
      <w:bodyDiv w:val="1"/>
      <w:marLeft w:val="0"/>
      <w:marRight w:val="0"/>
      <w:marTop w:val="0"/>
      <w:marBottom w:val="0"/>
      <w:divBdr>
        <w:top w:val="none" w:sz="0" w:space="0" w:color="auto"/>
        <w:left w:val="none" w:sz="0" w:space="0" w:color="auto"/>
        <w:bottom w:val="none" w:sz="0" w:space="0" w:color="auto"/>
        <w:right w:val="none" w:sz="0" w:space="0" w:color="auto"/>
      </w:divBdr>
    </w:div>
    <w:div w:id="347097297">
      <w:bodyDiv w:val="1"/>
      <w:marLeft w:val="0"/>
      <w:marRight w:val="0"/>
      <w:marTop w:val="0"/>
      <w:marBottom w:val="0"/>
      <w:divBdr>
        <w:top w:val="none" w:sz="0" w:space="0" w:color="auto"/>
        <w:left w:val="none" w:sz="0" w:space="0" w:color="auto"/>
        <w:bottom w:val="none" w:sz="0" w:space="0" w:color="auto"/>
        <w:right w:val="none" w:sz="0" w:space="0" w:color="auto"/>
      </w:divBdr>
    </w:div>
    <w:div w:id="367266038">
      <w:bodyDiv w:val="1"/>
      <w:marLeft w:val="0"/>
      <w:marRight w:val="0"/>
      <w:marTop w:val="0"/>
      <w:marBottom w:val="0"/>
      <w:divBdr>
        <w:top w:val="none" w:sz="0" w:space="0" w:color="auto"/>
        <w:left w:val="none" w:sz="0" w:space="0" w:color="auto"/>
        <w:bottom w:val="none" w:sz="0" w:space="0" w:color="auto"/>
        <w:right w:val="none" w:sz="0" w:space="0" w:color="auto"/>
      </w:divBdr>
      <w:divsChild>
        <w:div w:id="49304466">
          <w:marLeft w:val="0"/>
          <w:marRight w:val="0"/>
          <w:marTop w:val="0"/>
          <w:marBottom w:val="0"/>
          <w:divBdr>
            <w:top w:val="none" w:sz="0" w:space="0" w:color="auto"/>
            <w:left w:val="none" w:sz="0" w:space="0" w:color="auto"/>
            <w:bottom w:val="none" w:sz="0" w:space="0" w:color="auto"/>
            <w:right w:val="none" w:sz="0" w:space="0" w:color="auto"/>
          </w:divBdr>
          <w:divsChild>
            <w:div w:id="146485218">
              <w:marLeft w:val="0"/>
              <w:marRight w:val="0"/>
              <w:marTop w:val="0"/>
              <w:marBottom w:val="0"/>
              <w:divBdr>
                <w:top w:val="none" w:sz="0" w:space="0" w:color="auto"/>
                <w:left w:val="none" w:sz="0" w:space="0" w:color="auto"/>
                <w:bottom w:val="none" w:sz="0" w:space="0" w:color="auto"/>
                <w:right w:val="none" w:sz="0" w:space="0" w:color="auto"/>
              </w:divBdr>
            </w:div>
          </w:divsChild>
        </w:div>
        <w:div w:id="1984581194">
          <w:marLeft w:val="1800"/>
          <w:marRight w:val="0"/>
          <w:marTop w:val="0"/>
          <w:marBottom w:val="0"/>
          <w:divBdr>
            <w:top w:val="none" w:sz="0" w:space="0" w:color="auto"/>
            <w:left w:val="none" w:sz="0" w:space="0" w:color="auto"/>
            <w:bottom w:val="none" w:sz="0" w:space="0" w:color="auto"/>
            <w:right w:val="none" w:sz="0" w:space="0" w:color="auto"/>
          </w:divBdr>
          <w:divsChild>
            <w:div w:id="1210802482">
              <w:marLeft w:val="0"/>
              <w:marRight w:val="0"/>
              <w:marTop w:val="0"/>
              <w:marBottom w:val="0"/>
              <w:divBdr>
                <w:top w:val="none" w:sz="0" w:space="0" w:color="auto"/>
                <w:left w:val="none" w:sz="0" w:space="0" w:color="auto"/>
                <w:bottom w:val="none" w:sz="0" w:space="0" w:color="auto"/>
                <w:right w:val="none" w:sz="0" w:space="0" w:color="auto"/>
              </w:divBdr>
              <w:divsChild>
                <w:div w:id="1463843533">
                  <w:marLeft w:val="0"/>
                  <w:marRight w:val="0"/>
                  <w:marTop w:val="0"/>
                  <w:marBottom w:val="0"/>
                  <w:divBdr>
                    <w:top w:val="none" w:sz="0" w:space="0" w:color="auto"/>
                    <w:left w:val="none" w:sz="0" w:space="0" w:color="auto"/>
                    <w:bottom w:val="none" w:sz="0" w:space="0" w:color="auto"/>
                    <w:right w:val="none" w:sz="0" w:space="0" w:color="auto"/>
                  </w:divBdr>
                </w:div>
              </w:divsChild>
            </w:div>
            <w:div w:id="13710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161">
      <w:bodyDiv w:val="1"/>
      <w:marLeft w:val="0"/>
      <w:marRight w:val="0"/>
      <w:marTop w:val="0"/>
      <w:marBottom w:val="0"/>
      <w:divBdr>
        <w:top w:val="none" w:sz="0" w:space="0" w:color="auto"/>
        <w:left w:val="none" w:sz="0" w:space="0" w:color="auto"/>
        <w:bottom w:val="none" w:sz="0" w:space="0" w:color="auto"/>
        <w:right w:val="none" w:sz="0" w:space="0" w:color="auto"/>
      </w:divBdr>
    </w:div>
    <w:div w:id="913271959">
      <w:bodyDiv w:val="1"/>
      <w:marLeft w:val="0"/>
      <w:marRight w:val="0"/>
      <w:marTop w:val="0"/>
      <w:marBottom w:val="0"/>
      <w:divBdr>
        <w:top w:val="none" w:sz="0" w:space="0" w:color="auto"/>
        <w:left w:val="none" w:sz="0" w:space="0" w:color="auto"/>
        <w:bottom w:val="none" w:sz="0" w:space="0" w:color="auto"/>
        <w:right w:val="none" w:sz="0" w:space="0" w:color="auto"/>
      </w:divBdr>
    </w:div>
    <w:div w:id="940719068">
      <w:bodyDiv w:val="1"/>
      <w:marLeft w:val="0"/>
      <w:marRight w:val="0"/>
      <w:marTop w:val="0"/>
      <w:marBottom w:val="0"/>
      <w:divBdr>
        <w:top w:val="none" w:sz="0" w:space="0" w:color="auto"/>
        <w:left w:val="none" w:sz="0" w:space="0" w:color="auto"/>
        <w:bottom w:val="none" w:sz="0" w:space="0" w:color="auto"/>
        <w:right w:val="none" w:sz="0" w:space="0" w:color="auto"/>
      </w:divBdr>
    </w:div>
    <w:div w:id="1155606715">
      <w:bodyDiv w:val="1"/>
      <w:marLeft w:val="0"/>
      <w:marRight w:val="0"/>
      <w:marTop w:val="0"/>
      <w:marBottom w:val="0"/>
      <w:divBdr>
        <w:top w:val="none" w:sz="0" w:space="0" w:color="auto"/>
        <w:left w:val="none" w:sz="0" w:space="0" w:color="auto"/>
        <w:bottom w:val="none" w:sz="0" w:space="0" w:color="auto"/>
        <w:right w:val="none" w:sz="0" w:space="0" w:color="auto"/>
      </w:divBdr>
    </w:div>
    <w:div w:id="1824739958">
      <w:bodyDiv w:val="1"/>
      <w:marLeft w:val="0"/>
      <w:marRight w:val="0"/>
      <w:marTop w:val="0"/>
      <w:marBottom w:val="0"/>
      <w:divBdr>
        <w:top w:val="none" w:sz="0" w:space="0" w:color="auto"/>
        <w:left w:val="none" w:sz="0" w:space="0" w:color="auto"/>
        <w:bottom w:val="none" w:sz="0" w:space="0" w:color="auto"/>
        <w:right w:val="none" w:sz="0" w:space="0" w:color="auto"/>
      </w:divBdr>
    </w:div>
    <w:div w:id="1915165006">
      <w:bodyDiv w:val="1"/>
      <w:marLeft w:val="0"/>
      <w:marRight w:val="0"/>
      <w:marTop w:val="0"/>
      <w:marBottom w:val="0"/>
      <w:divBdr>
        <w:top w:val="none" w:sz="0" w:space="0" w:color="auto"/>
        <w:left w:val="none" w:sz="0" w:space="0" w:color="auto"/>
        <w:bottom w:val="none" w:sz="0" w:space="0" w:color="auto"/>
        <w:right w:val="none" w:sz="0" w:space="0" w:color="auto"/>
      </w:divBdr>
    </w:div>
    <w:div w:id="1945771544">
      <w:bodyDiv w:val="1"/>
      <w:marLeft w:val="0"/>
      <w:marRight w:val="0"/>
      <w:marTop w:val="0"/>
      <w:marBottom w:val="0"/>
      <w:divBdr>
        <w:top w:val="none" w:sz="0" w:space="0" w:color="auto"/>
        <w:left w:val="none" w:sz="0" w:space="0" w:color="auto"/>
        <w:bottom w:val="none" w:sz="0" w:space="0" w:color="auto"/>
        <w:right w:val="none" w:sz="0" w:space="0" w:color="auto"/>
      </w:divBdr>
    </w:div>
    <w:div w:id="208537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sociology-of-religion-302628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thoughtco.com/indexes-and-scales-302654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oughtco.com/what-is-correlation-analysis-3026696" TargetMode="External"/><Relationship Id="rId5" Type="http://schemas.openxmlformats.org/officeDocument/2006/relationships/webSettings" Target="webSettings.xml"/><Relationship Id="rId10" Type="http://schemas.openxmlformats.org/officeDocument/2006/relationships/hyperlink" Target="https://www.thoughtco.com/variance-and-standard-deviation-p2-3126243" TargetMode="External"/><Relationship Id="rId4" Type="http://schemas.openxmlformats.org/officeDocument/2006/relationships/settings" Target="settings.xml"/><Relationship Id="rId9" Type="http://schemas.openxmlformats.org/officeDocument/2006/relationships/hyperlink" Target="https://www.thoughtco.com/what-is-a-variable-95833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8009BC1115DE4AB38257C1EC6E0CC6"/>
        <w:category>
          <w:name w:val="General"/>
          <w:gallery w:val="placeholder"/>
        </w:category>
        <w:types>
          <w:type w:val="bbPlcHdr"/>
        </w:types>
        <w:behaviors>
          <w:behavior w:val="content"/>
        </w:behaviors>
        <w:guid w:val="{095DDD77-271E-754E-B515-4BEC5A6268DC}"/>
      </w:docPartPr>
      <w:docPartBody>
        <w:p w:rsidR="0059463E" w:rsidRDefault="00AD2242" w:rsidP="00AD2242">
          <w:pPr>
            <w:pStyle w:val="AE8009BC1115DE4AB38257C1EC6E0CC6"/>
          </w:pPr>
          <w:r w:rsidRPr="00F74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42"/>
    <w:rsid w:val="00005FF7"/>
    <w:rsid w:val="0059463E"/>
    <w:rsid w:val="00AD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242"/>
    <w:rPr>
      <w:color w:val="808080"/>
    </w:rPr>
  </w:style>
  <w:style w:type="paragraph" w:customStyle="1" w:styleId="AE8009BC1115DE4AB38257C1EC6E0CC6">
    <w:name w:val="AE8009BC1115DE4AB38257C1EC6E0CC6"/>
    <w:rsid w:val="00AD2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1104C4-C071-6D4C-88FB-2DF0863568CD}">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15DF6-76D5-7B48-A85C-555BEC71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Teresia Buza</dc:creator>
  <cp:keywords/>
  <dc:description/>
  <cp:lastModifiedBy>Teresia Buza</cp:lastModifiedBy>
  <cp:revision>10</cp:revision>
  <dcterms:created xsi:type="dcterms:W3CDTF">2020-10-12T00:29:00Z</dcterms:created>
  <dcterms:modified xsi:type="dcterms:W3CDTF">2020-11-07T12:08:00Z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