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735BB" w14:textId="068E4F60" w:rsidR="00107AA0" w:rsidRDefault="00FF4878" w:rsidP="00FF4878">
      <w:pPr>
        <w:jc w:val="right"/>
      </w:pPr>
      <w:r>
        <w:t>Survival of Pediatric Cancer Patients</w:t>
      </w:r>
    </w:p>
    <w:p w14:paraId="1C87C54F" w14:textId="76B33A21" w:rsidR="00FF4878" w:rsidRDefault="00FF4878" w:rsidP="00FF4878">
      <w:pPr>
        <w:jc w:val="right"/>
      </w:pPr>
      <w:r>
        <w:t>By Teresa Cameron</w:t>
      </w:r>
    </w:p>
    <w:p w14:paraId="54CA004B" w14:textId="10D73E7E" w:rsidR="00FF4878" w:rsidRDefault="00FF4878" w:rsidP="00FF4878">
      <w:pPr>
        <w:jc w:val="right"/>
      </w:pPr>
      <w:r>
        <w:t>Final Report</w:t>
      </w:r>
    </w:p>
    <w:p w14:paraId="2C851ED9" w14:textId="09FD31B8" w:rsidR="00FF4878" w:rsidRDefault="00FF4878" w:rsidP="00FF4878">
      <w:pPr>
        <w:jc w:val="right"/>
      </w:pPr>
    </w:p>
    <w:p w14:paraId="51690CE0" w14:textId="43DECECA" w:rsidR="00FF4878" w:rsidRDefault="00FF4878" w:rsidP="00FF4878">
      <w:pPr>
        <w:rPr>
          <w:b/>
          <w:bCs/>
          <w:u w:val="single"/>
        </w:rPr>
      </w:pPr>
      <w:r w:rsidRPr="00EC4ED8">
        <w:rPr>
          <w:b/>
          <w:bCs/>
          <w:u w:val="single"/>
        </w:rPr>
        <w:t>Introduction</w:t>
      </w:r>
    </w:p>
    <w:p w14:paraId="55AFE2DD" w14:textId="579F1D10" w:rsidR="00EC4ED8" w:rsidRDefault="00EC4ED8" w:rsidP="00FF4878">
      <w:pPr>
        <w:rPr>
          <w:b/>
          <w:bCs/>
          <w:u w:val="single"/>
        </w:rPr>
      </w:pPr>
    </w:p>
    <w:p w14:paraId="0E2AD46B" w14:textId="14643ABE" w:rsidR="00EC4ED8" w:rsidRPr="00EC4ED8" w:rsidRDefault="0009126F" w:rsidP="00FF4878">
      <w:r>
        <w:t xml:space="preserve">From 1975 to 2006, there has been a 50% decrease in all malignant childhood cancer mortality rates. This reduction is due to advances in treatment and detection of cancer. Even with these advances, an estimated 1,960 deaths from cancer will occur annually among children and adolescents aged birth to 19 years. The overall 5-year survival rate for childhood cancers is approximately 80%, but it </w:t>
      </w:r>
      <w:r w:rsidR="006C680D">
        <w:t>remains</w:t>
      </w:r>
      <w:r>
        <w:t xml:space="preserve"> the </w:t>
      </w:r>
      <w:r w:rsidR="006C680D">
        <w:t>second leading cause of death in children in developed countries.</w:t>
      </w:r>
    </w:p>
    <w:p w14:paraId="65678A1C" w14:textId="502A3A73" w:rsidR="00EC4ED8" w:rsidRDefault="00EC4ED8" w:rsidP="00FF4878">
      <w:pPr>
        <w:rPr>
          <w:b/>
          <w:bCs/>
        </w:rPr>
      </w:pPr>
    </w:p>
    <w:p w14:paraId="7F11254A" w14:textId="3246740C" w:rsidR="00EC4ED8" w:rsidRPr="00EC4ED8" w:rsidRDefault="00EC4ED8" w:rsidP="00FF4878">
      <w:pPr>
        <w:rPr>
          <w:b/>
          <w:bCs/>
          <w:u w:val="single"/>
        </w:rPr>
      </w:pPr>
      <w:r w:rsidRPr="00EC4ED8">
        <w:rPr>
          <w:b/>
          <w:bCs/>
          <w:u w:val="single"/>
        </w:rPr>
        <w:t>Description of the Problem</w:t>
      </w:r>
    </w:p>
    <w:p w14:paraId="53DEC28E" w14:textId="20F5F770" w:rsidR="00EC4ED8" w:rsidRDefault="00EC4ED8" w:rsidP="00FF4878">
      <w:pPr>
        <w:rPr>
          <w:b/>
          <w:bCs/>
        </w:rPr>
      </w:pPr>
    </w:p>
    <w:p w14:paraId="172246C0" w14:textId="3635B289" w:rsidR="006C680D" w:rsidRDefault="0080682E" w:rsidP="00FF4878">
      <w:r>
        <w:t>The incidence rate of pediatric cancer in the United States has increased slightly at an annual rate of 0.6% since 1975. Figure 1 below shows the trends in pediatric cancer incidence rate by site from 1975 to 2010.</w:t>
      </w:r>
    </w:p>
    <w:p w14:paraId="44AA20F4" w14:textId="4DBF0250" w:rsidR="0080682E" w:rsidRDefault="0080682E" w:rsidP="00FF4878"/>
    <w:p w14:paraId="33C89BEB" w14:textId="450F09A9" w:rsidR="0080682E" w:rsidRDefault="0080682E" w:rsidP="00FF4878">
      <w:r w:rsidRPr="0080682E">
        <w:rPr>
          <w:noProof/>
        </w:rPr>
        <w:drawing>
          <wp:inline distT="0" distB="0" distL="0" distR="0" wp14:anchorId="049BF03C" wp14:editId="55DBE35E">
            <wp:extent cx="5943600" cy="44069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stretch>
                      <a:fillRect/>
                    </a:stretch>
                  </pic:blipFill>
                  <pic:spPr>
                    <a:xfrm>
                      <a:off x="0" y="0"/>
                      <a:ext cx="5943600" cy="4406900"/>
                    </a:xfrm>
                    <a:prstGeom prst="rect">
                      <a:avLst/>
                    </a:prstGeom>
                  </pic:spPr>
                </pic:pic>
              </a:graphicData>
            </a:graphic>
          </wp:inline>
        </w:drawing>
      </w:r>
      <w:r w:rsidRPr="009B5189">
        <w:rPr>
          <w:b/>
          <w:bCs/>
        </w:rPr>
        <w:t>Figure 1</w:t>
      </w:r>
    </w:p>
    <w:p w14:paraId="7580C451" w14:textId="77777777" w:rsidR="00FE0F97" w:rsidRDefault="0080682E" w:rsidP="00FF4878">
      <w:r>
        <w:lastRenderedPageBreak/>
        <w:t xml:space="preserve">The sudden increase in diagnoses of Brain and CNS cancers in the 1980s is thought to be due to </w:t>
      </w:r>
      <w:r w:rsidR="00FE0F97">
        <w:t>the introduction of magnetic resonance imaging (MRI) and stereotactic biopsies that allowed for more accurate diagnosis.</w:t>
      </w:r>
    </w:p>
    <w:p w14:paraId="3AB44AED" w14:textId="77777777" w:rsidR="00FE0F97" w:rsidRDefault="00FE0F97" w:rsidP="00FF4878"/>
    <w:p w14:paraId="55E935F6" w14:textId="77777777" w:rsidR="00FE0F97" w:rsidRDefault="00FE0F97" w:rsidP="00FF4878">
      <w:r>
        <w:t>Figure 2 below shows the trends in pediatric cancer mortality rates by site. As you can see, mortality has decreased.</w:t>
      </w:r>
    </w:p>
    <w:p w14:paraId="076A67DD" w14:textId="77777777" w:rsidR="00FE0F97" w:rsidRDefault="00FE0F97" w:rsidP="00FF4878"/>
    <w:p w14:paraId="34C1550C" w14:textId="77777777" w:rsidR="00FE0F97" w:rsidRDefault="00FE0F97" w:rsidP="00FF4878">
      <w:r w:rsidRPr="00FE0F97">
        <w:rPr>
          <w:noProof/>
        </w:rPr>
        <w:drawing>
          <wp:inline distT="0" distB="0" distL="0" distR="0" wp14:anchorId="08CBB18B" wp14:editId="353F975C">
            <wp:extent cx="5943600" cy="456057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a:stretch>
                      <a:fillRect/>
                    </a:stretch>
                  </pic:blipFill>
                  <pic:spPr>
                    <a:xfrm>
                      <a:off x="0" y="0"/>
                      <a:ext cx="5943600" cy="4560570"/>
                    </a:xfrm>
                    <a:prstGeom prst="rect">
                      <a:avLst/>
                    </a:prstGeom>
                  </pic:spPr>
                </pic:pic>
              </a:graphicData>
            </a:graphic>
          </wp:inline>
        </w:drawing>
      </w:r>
      <w:r w:rsidRPr="009B5189">
        <w:rPr>
          <w:b/>
          <w:bCs/>
        </w:rPr>
        <w:t>Figure 2</w:t>
      </w:r>
    </w:p>
    <w:p w14:paraId="2D97ACB6" w14:textId="77777777" w:rsidR="00FE0F97" w:rsidRDefault="00FE0F97" w:rsidP="00FF4878"/>
    <w:p w14:paraId="6CF274B4" w14:textId="28B95BA3" w:rsidR="0080682E" w:rsidRPr="006C680D" w:rsidRDefault="00FE0F97" w:rsidP="00FF4878">
      <w:r>
        <w:t xml:space="preserve">Although cancer rates are slightly increasing while mortality rates have been decreasing rapidly, there are still </w:t>
      </w:r>
      <w:r w:rsidR="008A59FD">
        <w:t>factors that influence survival that could be improved.</w:t>
      </w:r>
      <w:r w:rsidR="0080682E">
        <w:t xml:space="preserve">  </w:t>
      </w:r>
    </w:p>
    <w:p w14:paraId="55F7E81B" w14:textId="77777777" w:rsidR="006C680D" w:rsidRDefault="006C680D" w:rsidP="00FF4878">
      <w:pPr>
        <w:rPr>
          <w:b/>
          <w:bCs/>
        </w:rPr>
      </w:pPr>
    </w:p>
    <w:p w14:paraId="1607C512" w14:textId="57DD9A6F" w:rsidR="00EC4ED8" w:rsidRPr="00EC4ED8" w:rsidRDefault="00EC4ED8" w:rsidP="00FF4878">
      <w:pPr>
        <w:rPr>
          <w:b/>
          <w:bCs/>
          <w:u w:val="single"/>
        </w:rPr>
      </w:pPr>
      <w:r w:rsidRPr="00EC4ED8">
        <w:rPr>
          <w:b/>
          <w:bCs/>
          <w:u w:val="single"/>
        </w:rPr>
        <w:t>Data</w:t>
      </w:r>
    </w:p>
    <w:p w14:paraId="6B7A671E" w14:textId="69FD4604" w:rsidR="00EC4ED8" w:rsidRDefault="00EC4ED8" w:rsidP="00FF4878">
      <w:pPr>
        <w:rPr>
          <w:b/>
          <w:bCs/>
        </w:rPr>
      </w:pPr>
    </w:p>
    <w:p w14:paraId="3474046F" w14:textId="4F26D0FC" w:rsidR="008A59FD" w:rsidRDefault="008A59FD" w:rsidP="00FF4878">
      <w:r>
        <w:t>The data used for this project is from the SEER (Surveillance, Epidemiology, and End Results) Program. The program began in 1973 and provides information regarding cancer statistics to help reduce the cancer burden among the U.S. population. The data was obtained from population-based registries covering approximately 48% of the United States population. Figure 3 shows the number and percentages of people represented in the data by state and race.</w:t>
      </w:r>
    </w:p>
    <w:p w14:paraId="1F2C3B66" w14:textId="62D2377D" w:rsidR="00822637" w:rsidRDefault="00822637" w:rsidP="00FF4878">
      <w:pPr>
        <w:rPr>
          <w:b/>
          <w:bCs/>
        </w:rPr>
      </w:pPr>
      <w:r w:rsidRPr="00E052C2">
        <w:rPr>
          <w:rFonts w:ascii="Times New Roman" w:hAnsi="Times New Roman" w:cs="Times New Roman"/>
          <w:noProof/>
        </w:rPr>
        <w:lastRenderedPageBreak/>
        <w:drawing>
          <wp:inline distT="0" distB="0" distL="0" distR="0" wp14:anchorId="4652A029" wp14:editId="7CA10389">
            <wp:extent cx="5943600" cy="6104255"/>
            <wp:effectExtent l="0" t="0" r="0"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stretch>
                      <a:fillRect/>
                    </a:stretch>
                  </pic:blipFill>
                  <pic:spPr>
                    <a:xfrm>
                      <a:off x="0" y="0"/>
                      <a:ext cx="5943600" cy="6104255"/>
                    </a:xfrm>
                    <a:prstGeom prst="rect">
                      <a:avLst/>
                    </a:prstGeom>
                  </pic:spPr>
                </pic:pic>
              </a:graphicData>
            </a:graphic>
          </wp:inline>
        </w:drawing>
      </w:r>
      <w:r w:rsidRPr="009B5189">
        <w:rPr>
          <w:b/>
          <w:bCs/>
        </w:rPr>
        <w:t>Figure 3</w:t>
      </w:r>
    </w:p>
    <w:p w14:paraId="35A79C77" w14:textId="7A2A43D7" w:rsidR="005D49E1" w:rsidRDefault="005D49E1" w:rsidP="00FF4878">
      <w:pPr>
        <w:rPr>
          <w:b/>
          <w:bCs/>
        </w:rPr>
      </w:pPr>
    </w:p>
    <w:p w14:paraId="42797B4D" w14:textId="5AE689AD" w:rsidR="005D49E1" w:rsidRDefault="005D49E1" w:rsidP="00FF4878">
      <w:r>
        <w:rPr>
          <w:b/>
          <w:bCs/>
        </w:rPr>
        <w:t xml:space="preserve">Table from </w:t>
      </w:r>
      <w:r w:rsidRPr="005D49E1">
        <w:rPr>
          <w:b/>
          <w:bCs/>
        </w:rPr>
        <w:t>https://seer.cancer.gov/registries/data_p.pdf</w:t>
      </w:r>
    </w:p>
    <w:p w14:paraId="50794C1B" w14:textId="58697DAD" w:rsidR="00822637" w:rsidRDefault="00822637" w:rsidP="00FF4878"/>
    <w:p w14:paraId="620735D4" w14:textId="1B670159" w:rsidR="00822637" w:rsidRDefault="00822637" w:rsidP="00FF4878">
      <w:r>
        <w:t>There are a total of 263 variables available for analysis. Figure 4 shows the number of variables for each category of data.</w:t>
      </w:r>
    </w:p>
    <w:p w14:paraId="59AB73EB" w14:textId="218AEE3E" w:rsidR="00822637" w:rsidRDefault="00822637" w:rsidP="00FF4878"/>
    <w:p w14:paraId="69E27B44" w14:textId="11AAEAFC" w:rsidR="00822637" w:rsidRDefault="00822637" w:rsidP="00FF4878">
      <w:r w:rsidRPr="00822637">
        <w:rPr>
          <w:noProof/>
        </w:rPr>
        <w:lastRenderedPageBreak/>
        <w:drawing>
          <wp:inline distT="0" distB="0" distL="0" distR="0" wp14:anchorId="2D2C820E" wp14:editId="1F861F97">
            <wp:extent cx="4978400" cy="4826000"/>
            <wp:effectExtent l="0" t="0" r="0" b="0"/>
            <wp:docPr id="4" name="Picture 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able&#10;&#10;Description automatically generated"/>
                    <pic:cNvPicPr/>
                  </pic:nvPicPr>
                  <pic:blipFill>
                    <a:blip r:embed="rId7"/>
                    <a:stretch>
                      <a:fillRect/>
                    </a:stretch>
                  </pic:blipFill>
                  <pic:spPr>
                    <a:xfrm>
                      <a:off x="0" y="0"/>
                      <a:ext cx="4978400" cy="4826000"/>
                    </a:xfrm>
                    <a:prstGeom prst="rect">
                      <a:avLst/>
                    </a:prstGeom>
                  </pic:spPr>
                </pic:pic>
              </a:graphicData>
            </a:graphic>
          </wp:inline>
        </w:drawing>
      </w:r>
      <w:r>
        <w:t xml:space="preserve"> </w:t>
      </w:r>
      <w:r w:rsidR="009B5189">
        <w:t xml:space="preserve"> </w:t>
      </w:r>
      <w:r w:rsidRPr="009B5189">
        <w:rPr>
          <w:b/>
          <w:bCs/>
        </w:rPr>
        <w:t>Figure 4</w:t>
      </w:r>
    </w:p>
    <w:p w14:paraId="517DF3EE" w14:textId="6803C108" w:rsidR="00822637" w:rsidRDefault="00822637" w:rsidP="00FF4878"/>
    <w:p w14:paraId="4EF6F1DE" w14:textId="77777777" w:rsidR="00003798" w:rsidRDefault="00822637" w:rsidP="00FF4878">
      <w:r>
        <w:t xml:space="preserve">For this analysis, </w:t>
      </w:r>
      <w:r w:rsidR="008069E6">
        <w:t>the variables analyzed were age, sex, year of diagnosis, race / origin, the county’s median household income and population where the patient lived, cause of death, and survival months.</w:t>
      </w:r>
    </w:p>
    <w:p w14:paraId="722D4BB1" w14:textId="77777777" w:rsidR="00003798" w:rsidRDefault="00003798" w:rsidP="00FF4878"/>
    <w:p w14:paraId="73114C5C" w14:textId="6B39F86A" w:rsidR="00822637" w:rsidRPr="008A59FD" w:rsidRDefault="00003798" w:rsidP="00FF4878">
      <w:r>
        <w:t xml:space="preserve">This data was obtained using SEER*Stat. </w:t>
      </w:r>
      <w:r w:rsidR="00974B36">
        <w:t xml:space="preserve">This program allows a user to access the database and filter the data by variables. The variables chosen were those listed above with an age range of 0-17 years old and </w:t>
      </w:r>
      <w:r w:rsidR="00810159">
        <w:t>the behavior of the tumor as malignant.</w:t>
      </w:r>
      <w:r w:rsidR="00974B36">
        <w:t xml:space="preserve"> </w:t>
      </w:r>
      <w:r w:rsidR="00F16DC0">
        <w:t>The query produced 69,263 rows of data with year diagnosed between the years 2000 – 2018. These years were generated because this is when the race variables that are most comprehensive were documented.</w:t>
      </w:r>
      <w:r w:rsidR="008069E6">
        <w:t xml:space="preserve"> </w:t>
      </w:r>
    </w:p>
    <w:p w14:paraId="2719CE7C" w14:textId="77777777" w:rsidR="008A59FD" w:rsidRDefault="008A59FD" w:rsidP="00FF4878">
      <w:pPr>
        <w:rPr>
          <w:b/>
          <w:bCs/>
        </w:rPr>
      </w:pPr>
    </w:p>
    <w:p w14:paraId="21C52C21" w14:textId="2B246970" w:rsidR="00EC4ED8" w:rsidRDefault="00EC4ED8" w:rsidP="00FF4878">
      <w:pPr>
        <w:rPr>
          <w:b/>
          <w:bCs/>
          <w:u w:val="single"/>
        </w:rPr>
      </w:pPr>
      <w:r w:rsidRPr="00EC4ED8">
        <w:rPr>
          <w:b/>
          <w:bCs/>
          <w:u w:val="single"/>
        </w:rPr>
        <w:t>Methods for Data Analysis</w:t>
      </w:r>
    </w:p>
    <w:p w14:paraId="2EEDA9B5" w14:textId="6E944B2F" w:rsidR="00EC4ED8" w:rsidRDefault="00EC4ED8" w:rsidP="00FF4878">
      <w:pPr>
        <w:rPr>
          <w:b/>
          <w:bCs/>
          <w:u w:val="single"/>
        </w:rPr>
      </w:pPr>
    </w:p>
    <w:p w14:paraId="4A154063" w14:textId="2CB81F63" w:rsidR="00EC4ED8" w:rsidRDefault="00EC4ED8" w:rsidP="00FF4878">
      <w:pPr>
        <w:rPr>
          <w:b/>
          <w:bCs/>
        </w:rPr>
      </w:pPr>
      <w:r>
        <w:rPr>
          <w:b/>
          <w:bCs/>
        </w:rPr>
        <w:t>Approach</w:t>
      </w:r>
    </w:p>
    <w:p w14:paraId="2E98F700" w14:textId="3D489344" w:rsidR="00810159" w:rsidRDefault="00810159" w:rsidP="00FF4878">
      <w:pPr>
        <w:rPr>
          <w:b/>
          <w:bCs/>
        </w:rPr>
      </w:pPr>
    </w:p>
    <w:p w14:paraId="5DB8EC3E" w14:textId="77777777" w:rsidR="00641436" w:rsidRDefault="00810159" w:rsidP="00FF4878">
      <w:r>
        <w:t>The methods I used for analyzing this data was to compare the total counts and rates for survival with each variable. If a variable appeared to have a</w:t>
      </w:r>
      <w:r w:rsidR="00641436">
        <w:t xml:space="preserve"> possible relationship with survival, a z-test was done to compare the survival rate among the different categories.</w:t>
      </w:r>
    </w:p>
    <w:p w14:paraId="2446707F" w14:textId="75C33AEF" w:rsidR="00810159" w:rsidRPr="00810159" w:rsidRDefault="00810159" w:rsidP="00FF4878">
      <w:r>
        <w:lastRenderedPageBreak/>
        <w:t xml:space="preserve"> </w:t>
      </w:r>
    </w:p>
    <w:p w14:paraId="3D6A0E9F" w14:textId="28BFCFBE" w:rsidR="00EC4ED8" w:rsidRDefault="00EC4ED8" w:rsidP="00FF4878">
      <w:pPr>
        <w:rPr>
          <w:b/>
          <w:bCs/>
        </w:rPr>
      </w:pPr>
    </w:p>
    <w:p w14:paraId="619167AA" w14:textId="1A4BE576" w:rsidR="00EC4ED8" w:rsidRDefault="00EC4ED8" w:rsidP="00FF4878">
      <w:pPr>
        <w:rPr>
          <w:b/>
          <w:bCs/>
        </w:rPr>
      </w:pPr>
      <w:r>
        <w:rPr>
          <w:b/>
          <w:bCs/>
        </w:rPr>
        <w:t>Justification</w:t>
      </w:r>
    </w:p>
    <w:p w14:paraId="6CAE98A9" w14:textId="01237F76" w:rsidR="00641436" w:rsidRDefault="00641436" w:rsidP="00FF4878">
      <w:pPr>
        <w:rPr>
          <w:b/>
          <w:bCs/>
        </w:rPr>
      </w:pPr>
    </w:p>
    <w:p w14:paraId="49DD9348" w14:textId="3AF36218" w:rsidR="00641436" w:rsidRDefault="00641436" w:rsidP="00FF4878">
      <w:r>
        <w:t>By examining both the total count and percentage, it can be determined which variables affect the greatest amount of people, but also detect differences in the variable categories.</w:t>
      </w:r>
    </w:p>
    <w:p w14:paraId="2606FAF4" w14:textId="74D61A02" w:rsidR="00641436" w:rsidRDefault="00641436" w:rsidP="00FF4878"/>
    <w:p w14:paraId="54B0C7D8" w14:textId="3F11C43D" w:rsidR="00641436" w:rsidRPr="00641436" w:rsidRDefault="00641436" w:rsidP="00FF4878">
      <w:r>
        <w:t>A z-test was chosen to determine correlation because the sample size would be over 30.</w:t>
      </w:r>
    </w:p>
    <w:p w14:paraId="04EF6B19" w14:textId="6FEC6111" w:rsidR="00EC4ED8" w:rsidRDefault="00EC4ED8" w:rsidP="00FF4878">
      <w:pPr>
        <w:rPr>
          <w:b/>
          <w:bCs/>
        </w:rPr>
      </w:pPr>
    </w:p>
    <w:p w14:paraId="5A54B1D9" w14:textId="2BEDBF00" w:rsidR="00EC4ED8" w:rsidRDefault="00EC4ED8" w:rsidP="00FF4878">
      <w:pPr>
        <w:rPr>
          <w:b/>
          <w:bCs/>
          <w:u w:val="single"/>
        </w:rPr>
      </w:pPr>
      <w:r w:rsidRPr="00EC4ED8">
        <w:rPr>
          <w:b/>
          <w:bCs/>
          <w:u w:val="single"/>
        </w:rPr>
        <w:t>Results</w:t>
      </w:r>
    </w:p>
    <w:p w14:paraId="5AC530A0" w14:textId="59E74ADB" w:rsidR="0016163F" w:rsidRDefault="0016163F" w:rsidP="00FF4878">
      <w:pPr>
        <w:rPr>
          <w:b/>
          <w:bCs/>
          <w:u w:val="single"/>
        </w:rPr>
      </w:pPr>
    </w:p>
    <w:p w14:paraId="192FA082" w14:textId="64775216" w:rsidR="0016163F" w:rsidRDefault="00A85C00" w:rsidP="00FF4878">
      <w:r>
        <w:t>The</w:t>
      </w:r>
      <w:r w:rsidR="00F16DC0">
        <w:t xml:space="preserve"> first analysis was done on the count and percentages of patients who survived by year diagnosed. Figure 5 shows a bar graph with the total patients by year and the table has the percentages.</w:t>
      </w:r>
    </w:p>
    <w:p w14:paraId="50950A48" w14:textId="00B84267" w:rsidR="00F16DC0" w:rsidRDefault="00F16DC0" w:rsidP="00FF4878"/>
    <w:p w14:paraId="37D81F84" w14:textId="793DEA56" w:rsidR="00F16DC0" w:rsidRDefault="00F16DC0" w:rsidP="00FF4878">
      <w:r>
        <w:rPr>
          <w:b/>
          <w:bCs/>
        </w:rPr>
        <w:t>Summary of Findings</w:t>
      </w:r>
    </w:p>
    <w:p w14:paraId="43807273" w14:textId="31B383E3" w:rsidR="00F16DC0" w:rsidRDefault="00F16DC0" w:rsidP="00FF4878"/>
    <w:p w14:paraId="4ED77AB3" w14:textId="275472F5" w:rsidR="00F16DC0" w:rsidRPr="0016163F" w:rsidRDefault="00F16DC0" w:rsidP="00FF4878">
      <w:r w:rsidRPr="00F16DC0">
        <w:rPr>
          <w:noProof/>
        </w:rPr>
        <w:drawing>
          <wp:inline distT="0" distB="0" distL="0" distR="0" wp14:anchorId="75211D52" wp14:editId="11FF7544">
            <wp:extent cx="5943600" cy="2737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7485"/>
                    </a:xfrm>
                    <a:prstGeom prst="rect">
                      <a:avLst/>
                    </a:prstGeom>
                  </pic:spPr>
                </pic:pic>
              </a:graphicData>
            </a:graphic>
          </wp:inline>
        </w:drawing>
      </w:r>
      <w:r w:rsidRPr="009B5189">
        <w:rPr>
          <w:b/>
          <w:bCs/>
        </w:rPr>
        <w:t>Figure 5</w:t>
      </w:r>
    </w:p>
    <w:p w14:paraId="4BACE31B" w14:textId="4291657D" w:rsidR="00EC4ED8" w:rsidRDefault="00EC4ED8" w:rsidP="00FF4878">
      <w:pPr>
        <w:rPr>
          <w:b/>
          <w:bCs/>
          <w:u w:val="single"/>
        </w:rPr>
      </w:pPr>
    </w:p>
    <w:p w14:paraId="5EEF4EB7" w14:textId="686073FA" w:rsidR="00EC4ED8" w:rsidRPr="00F16DC0" w:rsidRDefault="00F16DC0" w:rsidP="00FF4878">
      <w:r>
        <w:t xml:space="preserve">From the figure, we can confirm </w:t>
      </w:r>
      <w:r w:rsidR="00986F1D">
        <w:t>the findings mentioned above that the percentage of children who survive after being diagnosed with a malignant tumor has increased over the years. It is common practice to look at a five-year survival period and the data was most recently updated November 2021. For patient’s diagnosed in 2016, the percent who survived is 90.26%.</w:t>
      </w:r>
    </w:p>
    <w:p w14:paraId="105F1F63" w14:textId="574E382D" w:rsidR="00EC4ED8" w:rsidRDefault="00EC4ED8" w:rsidP="00FF4878">
      <w:pPr>
        <w:rPr>
          <w:b/>
          <w:bCs/>
        </w:rPr>
      </w:pPr>
    </w:p>
    <w:p w14:paraId="6ECE07F0" w14:textId="3497071D" w:rsidR="00986F1D" w:rsidRDefault="00986F1D" w:rsidP="00FF4878">
      <w:r>
        <w:t>The second analysis was to examine the site of the cancer and number of patients who survived. Figure 6 shows the bar graph and table.</w:t>
      </w:r>
    </w:p>
    <w:p w14:paraId="20F8AA45" w14:textId="7EA8DE85" w:rsidR="00E928ED" w:rsidRDefault="00E928ED" w:rsidP="00FF4878"/>
    <w:p w14:paraId="2F6DA322" w14:textId="6FD9C30B" w:rsidR="00E928ED" w:rsidRDefault="00E928ED" w:rsidP="00FF4878">
      <w:r w:rsidRPr="00E928ED">
        <w:rPr>
          <w:noProof/>
        </w:rPr>
        <w:lastRenderedPageBreak/>
        <w:drawing>
          <wp:inline distT="0" distB="0" distL="0" distR="0" wp14:anchorId="4A6C5DEB" wp14:editId="3091588D">
            <wp:extent cx="5943600" cy="283464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943600" cy="2834640"/>
                    </a:xfrm>
                    <a:prstGeom prst="rect">
                      <a:avLst/>
                    </a:prstGeom>
                  </pic:spPr>
                </pic:pic>
              </a:graphicData>
            </a:graphic>
          </wp:inline>
        </w:drawing>
      </w:r>
      <w:r w:rsidRPr="009B5189">
        <w:rPr>
          <w:b/>
          <w:bCs/>
        </w:rPr>
        <w:t>Figure 6</w:t>
      </w:r>
    </w:p>
    <w:p w14:paraId="08010821" w14:textId="57C4629A" w:rsidR="00E928ED" w:rsidRDefault="00E928ED" w:rsidP="00FF4878"/>
    <w:p w14:paraId="1ECB1118" w14:textId="6E518BBC" w:rsidR="009B5189" w:rsidRDefault="00E928ED" w:rsidP="00FF4878">
      <w:r>
        <w:t>The most common type of pediatric cancer is acute lymphocytic leukemia (ALL) followed by brain cancer. From the graph and table, it can be determined although most of the patients in the data are diagnosed with ALL, more patients do not survive brain cancer. The survival percentage is 90% for ALL while brain has 73%.</w:t>
      </w:r>
    </w:p>
    <w:p w14:paraId="25D1C77B" w14:textId="77777777" w:rsidR="009B5189" w:rsidRDefault="009B5189" w:rsidP="00FF4878"/>
    <w:p w14:paraId="47020886" w14:textId="0D79969B" w:rsidR="009B5189" w:rsidRDefault="009B5189" w:rsidP="00FF4878">
      <w:r>
        <w:t>Figure 7 shows the total deaths from 2000 to 2018 by Cancer type. This graph gives a better understanding of just how many more patients do not survive brain cancer as it is almost double ALL.</w:t>
      </w:r>
    </w:p>
    <w:p w14:paraId="13081130" w14:textId="26C10425" w:rsidR="009B5189" w:rsidRDefault="009B5189" w:rsidP="00FF4878">
      <w:r w:rsidRPr="009B5189">
        <w:rPr>
          <w:noProof/>
        </w:rPr>
        <w:drawing>
          <wp:anchor distT="0" distB="0" distL="114300" distR="114300" simplePos="0" relativeHeight="251658240" behindDoc="1" locked="0" layoutInCell="1" allowOverlap="1" wp14:anchorId="049077E3" wp14:editId="0580419B">
            <wp:simplePos x="0" y="0"/>
            <wp:positionH relativeFrom="column">
              <wp:posOffset>-1</wp:posOffset>
            </wp:positionH>
            <wp:positionV relativeFrom="paragraph">
              <wp:posOffset>114953</wp:posOffset>
            </wp:positionV>
            <wp:extent cx="4537817" cy="3414456"/>
            <wp:effectExtent l="0" t="0" r="0" b="1905"/>
            <wp:wrapTight wrapText="bothSides">
              <wp:wrapPolygon edited="0">
                <wp:start x="0" y="0"/>
                <wp:lineTo x="0" y="21532"/>
                <wp:lineTo x="21521" y="21532"/>
                <wp:lineTo x="21521" y="0"/>
                <wp:lineTo x="0" y="0"/>
              </wp:wrapPolygon>
            </wp:wrapTight>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51303" cy="3424604"/>
                    </a:xfrm>
                    <a:prstGeom prst="rect">
                      <a:avLst/>
                    </a:prstGeom>
                  </pic:spPr>
                </pic:pic>
              </a:graphicData>
            </a:graphic>
            <wp14:sizeRelH relativeFrom="page">
              <wp14:pctWidth>0</wp14:pctWidth>
            </wp14:sizeRelH>
            <wp14:sizeRelV relativeFrom="page">
              <wp14:pctHeight>0</wp14:pctHeight>
            </wp14:sizeRelV>
          </wp:anchor>
        </w:drawing>
      </w:r>
    </w:p>
    <w:p w14:paraId="13217B61" w14:textId="3CE7E174" w:rsidR="00E928ED" w:rsidRPr="00986F1D" w:rsidRDefault="00E928ED" w:rsidP="00FF4878">
      <w:r>
        <w:t xml:space="preserve"> </w:t>
      </w:r>
    </w:p>
    <w:p w14:paraId="10DAB1FB" w14:textId="1205ECF5" w:rsidR="00986F1D" w:rsidRDefault="00986F1D" w:rsidP="00FF4878">
      <w:pPr>
        <w:rPr>
          <w:b/>
          <w:bCs/>
        </w:rPr>
      </w:pPr>
    </w:p>
    <w:p w14:paraId="7539B489" w14:textId="77777777" w:rsidR="009B5189" w:rsidRDefault="009B5189" w:rsidP="00FF4878">
      <w:pPr>
        <w:rPr>
          <w:b/>
          <w:bCs/>
        </w:rPr>
      </w:pPr>
    </w:p>
    <w:p w14:paraId="5F23F212" w14:textId="77777777" w:rsidR="009B5189" w:rsidRDefault="009B5189" w:rsidP="00FF4878">
      <w:pPr>
        <w:rPr>
          <w:b/>
          <w:bCs/>
        </w:rPr>
      </w:pPr>
    </w:p>
    <w:p w14:paraId="09C554E8" w14:textId="77777777" w:rsidR="009B5189" w:rsidRDefault="009B5189" w:rsidP="00FF4878">
      <w:pPr>
        <w:rPr>
          <w:b/>
          <w:bCs/>
        </w:rPr>
      </w:pPr>
    </w:p>
    <w:p w14:paraId="0C0E1549" w14:textId="77777777" w:rsidR="009B5189" w:rsidRDefault="009B5189" w:rsidP="00FF4878">
      <w:pPr>
        <w:rPr>
          <w:b/>
          <w:bCs/>
        </w:rPr>
      </w:pPr>
    </w:p>
    <w:p w14:paraId="7D87B0ED" w14:textId="77777777" w:rsidR="009B5189" w:rsidRDefault="009B5189" w:rsidP="00FF4878">
      <w:pPr>
        <w:rPr>
          <w:b/>
          <w:bCs/>
        </w:rPr>
      </w:pPr>
    </w:p>
    <w:p w14:paraId="391D5E80" w14:textId="77777777" w:rsidR="009B5189" w:rsidRDefault="009B5189" w:rsidP="00FF4878">
      <w:pPr>
        <w:rPr>
          <w:b/>
          <w:bCs/>
        </w:rPr>
      </w:pPr>
    </w:p>
    <w:p w14:paraId="5DDD82BC" w14:textId="77777777" w:rsidR="009B5189" w:rsidRDefault="009B5189" w:rsidP="00FF4878">
      <w:pPr>
        <w:rPr>
          <w:b/>
          <w:bCs/>
        </w:rPr>
      </w:pPr>
    </w:p>
    <w:p w14:paraId="4C93CFED" w14:textId="77777777" w:rsidR="009B5189" w:rsidRDefault="009B5189" w:rsidP="00FF4878">
      <w:pPr>
        <w:rPr>
          <w:b/>
          <w:bCs/>
        </w:rPr>
      </w:pPr>
    </w:p>
    <w:p w14:paraId="5A96772D" w14:textId="77777777" w:rsidR="009B5189" w:rsidRDefault="009B5189" w:rsidP="00FF4878">
      <w:pPr>
        <w:rPr>
          <w:b/>
          <w:bCs/>
        </w:rPr>
      </w:pPr>
    </w:p>
    <w:p w14:paraId="5C27A2EC" w14:textId="77777777" w:rsidR="009B5189" w:rsidRDefault="009B5189" w:rsidP="00FF4878">
      <w:pPr>
        <w:rPr>
          <w:b/>
          <w:bCs/>
        </w:rPr>
      </w:pPr>
    </w:p>
    <w:p w14:paraId="220FC8FA" w14:textId="77777777" w:rsidR="009B5189" w:rsidRDefault="009B5189" w:rsidP="00FF4878">
      <w:pPr>
        <w:rPr>
          <w:b/>
          <w:bCs/>
        </w:rPr>
      </w:pPr>
    </w:p>
    <w:p w14:paraId="1050C8F8" w14:textId="77777777" w:rsidR="009B5189" w:rsidRDefault="009B5189" w:rsidP="00FF4878">
      <w:pPr>
        <w:rPr>
          <w:b/>
          <w:bCs/>
        </w:rPr>
      </w:pPr>
    </w:p>
    <w:p w14:paraId="0D654C40" w14:textId="77777777" w:rsidR="009B5189" w:rsidRDefault="009B5189" w:rsidP="00FF4878">
      <w:pPr>
        <w:rPr>
          <w:b/>
          <w:bCs/>
        </w:rPr>
      </w:pPr>
    </w:p>
    <w:p w14:paraId="43553A12" w14:textId="77777777" w:rsidR="009B5189" w:rsidRDefault="009B5189" w:rsidP="00FF4878">
      <w:pPr>
        <w:rPr>
          <w:b/>
          <w:bCs/>
        </w:rPr>
      </w:pPr>
    </w:p>
    <w:p w14:paraId="4C7FAC59" w14:textId="6688301E" w:rsidR="009B5189" w:rsidRDefault="009B5189" w:rsidP="00FF4878">
      <w:pPr>
        <w:rPr>
          <w:b/>
          <w:bCs/>
        </w:rPr>
      </w:pPr>
      <w:r>
        <w:rPr>
          <w:b/>
          <w:bCs/>
        </w:rPr>
        <w:t>Figure 7</w:t>
      </w:r>
    </w:p>
    <w:p w14:paraId="1CD5BA4E" w14:textId="3A3A7C54" w:rsidR="009B5189" w:rsidRDefault="009B5189" w:rsidP="00FF4878">
      <w:r>
        <w:lastRenderedPageBreak/>
        <w:t xml:space="preserve">The data was next analyzed to determine which cancers had the highest and lowest percentages of patients who survived. </w:t>
      </w:r>
      <w:r w:rsidR="00F86D40">
        <w:t>Figures</w:t>
      </w:r>
      <w:r>
        <w:t xml:space="preserve"> </w:t>
      </w:r>
      <w:r w:rsidR="00F86D40">
        <w:t>8 and 9 are the graphs and tables showing this information.</w:t>
      </w:r>
    </w:p>
    <w:p w14:paraId="30A9C682" w14:textId="7C313041" w:rsidR="00F86D40" w:rsidRDefault="00F86D40" w:rsidP="00FF4878"/>
    <w:p w14:paraId="06153550" w14:textId="42899DE0" w:rsidR="00F86D40" w:rsidRDefault="00F86D40" w:rsidP="00FF4878">
      <w:pPr>
        <w:rPr>
          <w:b/>
          <w:bCs/>
        </w:rPr>
      </w:pPr>
      <w:r w:rsidRPr="00F86D40">
        <w:rPr>
          <w:noProof/>
        </w:rPr>
        <w:drawing>
          <wp:inline distT="0" distB="0" distL="0" distR="0" wp14:anchorId="24DF8B12" wp14:editId="206BFD46">
            <wp:extent cx="5943600" cy="293243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5943600" cy="2932430"/>
                    </a:xfrm>
                    <a:prstGeom prst="rect">
                      <a:avLst/>
                    </a:prstGeom>
                  </pic:spPr>
                </pic:pic>
              </a:graphicData>
            </a:graphic>
          </wp:inline>
        </w:drawing>
      </w:r>
      <w:r>
        <w:rPr>
          <w:b/>
          <w:bCs/>
        </w:rPr>
        <w:t>Figure 8</w:t>
      </w:r>
    </w:p>
    <w:p w14:paraId="347A60CF" w14:textId="55E0B526" w:rsidR="00F86D40" w:rsidRDefault="00F86D40" w:rsidP="00FF4878">
      <w:pPr>
        <w:rPr>
          <w:b/>
          <w:bCs/>
        </w:rPr>
      </w:pPr>
    </w:p>
    <w:p w14:paraId="28924561" w14:textId="3ADBF368" w:rsidR="00F86D40" w:rsidRDefault="00F86D40" w:rsidP="00FF4878">
      <w:r w:rsidRPr="00F86D40">
        <w:rPr>
          <w:b/>
          <w:bCs/>
          <w:noProof/>
        </w:rPr>
        <w:drawing>
          <wp:inline distT="0" distB="0" distL="0" distR="0" wp14:anchorId="3A30F939" wp14:editId="3EDC5A78">
            <wp:extent cx="5943600" cy="273558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5943600" cy="2735580"/>
                    </a:xfrm>
                    <a:prstGeom prst="rect">
                      <a:avLst/>
                    </a:prstGeom>
                  </pic:spPr>
                </pic:pic>
              </a:graphicData>
            </a:graphic>
          </wp:inline>
        </w:drawing>
      </w:r>
      <w:r>
        <w:rPr>
          <w:b/>
          <w:bCs/>
        </w:rPr>
        <w:t xml:space="preserve"> Figure 9</w:t>
      </w:r>
    </w:p>
    <w:p w14:paraId="2315A637" w14:textId="10963FC2" w:rsidR="00F86D40" w:rsidRDefault="00F86D40" w:rsidP="00FF4878"/>
    <w:p w14:paraId="6C13EB43" w14:textId="77777777" w:rsidR="00767BF1" w:rsidRDefault="00F86D40" w:rsidP="00FF4878">
      <w:r>
        <w:t>Cancer of the Esophagus had no survivors and the rest of the cancer sites on this graph and table are associated with the colon. These cancers are rare in the dataset as there were three patients who had cancer of the esophagus.</w:t>
      </w:r>
      <w:r w:rsidR="00767BF1">
        <w:t xml:space="preserve"> There were a few cancers that had 100% of the patients survive.</w:t>
      </w:r>
    </w:p>
    <w:p w14:paraId="3FDA50CD" w14:textId="77777777" w:rsidR="00767BF1" w:rsidRDefault="00767BF1" w:rsidP="00FF4878"/>
    <w:p w14:paraId="07A21C4A" w14:textId="77777777" w:rsidR="00767BF1" w:rsidRDefault="00767BF1" w:rsidP="00FF4878">
      <w:r>
        <w:lastRenderedPageBreak/>
        <w:t>The next variable that was analyzed was age. Figure 10 is a histogram showing the distribution of the patient’s age by survival.</w:t>
      </w:r>
    </w:p>
    <w:p w14:paraId="0C613114" w14:textId="20962151" w:rsidR="00767BF1" w:rsidRDefault="00767BF1" w:rsidP="00FF4878">
      <w:r w:rsidRPr="00767BF1">
        <w:rPr>
          <w:noProof/>
        </w:rPr>
        <w:drawing>
          <wp:anchor distT="0" distB="0" distL="114300" distR="114300" simplePos="0" relativeHeight="251659264" behindDoc="1" locked="0" layoutInCell="1" allowOverlap="1" wp14:anchorId="704C38F3" wp14:editId="1FC15A81">
            <wp:simplePos x="0" y="0"/>
            <wp:positionH relativeFrom="column">
              <wp:posOffset>803275</wp:posOffset>
            </wp:positionH>
            <wp:positionV relativeFrom="paragraph">
              <wp:posOffset>186055</wp:posOffset>
            </wp:positionV>
            <wp:extent cx="4674235" cy="3987165"/>
            <wp:effectExtent l="0" t="0" r="0" b="635"/>
            <wp:wrapTight wrapText="bothSides">
              <wp:wrapPolygon edited="0">
                <wp:start x="0" y="0"/>
                <wp:lineTo x="0" y="21535"/>
                <wp:lineTo x="21538" y="21535"/>
                <wp:lineTo x="21538" y="0"/>
                <wp:lineTo x="0" y="0"/>
              </wp:wrapPolygon>
            </wp:wrapTight>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74235" cy="3987165"/>
                    </a:xfrm>
                    <a:prstGeom prst="rect">
                      <a:avLst/>
                    </a:prstGeom>
                  </pic:spPr>
                </pic:pic>
              </a:graphicData>
            </a:graphic>
            <wp14:sizeRelH relativeFrom="page">
              <wp14:pctWidth>0</wp14:pctWidth>
            </wp14:sizeRelH>
            <wp14:sizeRelV relativeFrom="page">
              <wp14:pctHeight>0</wp14:pctHeight>
            </wp14:sizeRelV>
          </wp:anchor>
        </w:drawing>
      </w:r>
    </w:p>
    <w:p w14:paraId="6F18BCA8" w14:textId="1D3BF797" w:rsidR="00F86D40" w:rsidRDefault="00F86D40" w:rsidP="00FF4878">
      <w:r>
        <w:t xml:space="preserve"> </w:t>
      </w:r>
    </w:p>
    <w:p w14:paraId="0BAECB23" w14:textId="77777777" w:rsidR="00767BF1" w:rsidRDefault="00767BF1" w:rsidP="00FF4878">
      <w:pPr>
        <w:rPr>
          <w:b/>
          <w:bCs/>
        </w:rPr>
      </w:pPr>
    </w:p>
    <w:p w14:paraId="47F1F2DA" w14:textId="77777777" w:rsidR="00767BF1" w:rsidRDefault="00767BF1" w:rsidP="00FF4878">
      <w:pPr>
        <w:rPr>
          <w:b/>
          <w:bCs/>
        </w:rPr>
      </w:pPr>
    </w:p>
    <w:p w14:paraId="66D9BF3C" w14:textId="77777777" w:rsidR="00767BF1" w:rsidRDefault="00767BF1" w:rsidP="00FF4878">
      <w:pPr>
        <w:rPr>
          <w:b/>
          <w:bCs/>
        </w:rPr>
      </w:pPr>
    </w:p>
    <w:p w14:paraId="34544CC0" w14:textId="77777777" w:rsidR="00767BF1" w:rsidRDefault="00767BF1" w:rsidP="00FF4878">
      <w:pPr>
        <w:rPr>
          <w:b/>
          <w:bCs/>
        </w:rPr>
      </w:pPr>
    </w:p>
    <w:p w14:paraId="2A92BF46" w14:textId="77777777" w:rsidR="00767BF1" w:rsidRDefault="00767BF1" w:rsidP="00FF4878">
      <w:pPr>
        <w:rPr>
          <w:b/>
          <w:bCs/>
        </w:rPr>
      </w:pPr>
    </w:p>
    <w:p w14:paraId="2CF64EEA" w14:textId="77777777" w:rsidR="00767BF1" w:rsidRDefault="00767BF1" w:rsidP="00FF4878">
      <w:pPr>
        <w:rPr>
          <w:b/>
          <w:bCs/>
        </w:rPr>
      </w:pPr>
    </w:p>
    <w:p w14:paraId="6DD4E750" w14:textId="77777777" w:rsidR="00767BF1" w:rsidRDefault="00767BF1" w:rsidP="00FF4878">
      <w:pPr>
        <w:rPr>
          <w:b/>
          <w:bCs/>
        </w:rPr>
      </w:pPr>
    </w:p>
    <w:p w14:paraId="6C285BF0" w14:textId="77777777" w:rsidR="00767BF1" w:rsidRDefault="00767BF1" w:rsidP="00FF4878">
      <w:pPr>
        <w:rPr>
          <w:b/>
          <w:bCs/>
        </w:rPr>
      </w:pPr>
    </w:p>
    <w:p w14:paraId="5A43351C" w14:textId="77777777" w:rsidR="00767BF1" w:rsidRDefault="00767BF1" w:rsidP="00FF4878">
      <w:pPr>
        <w:rPr>
          <w:b/>
          <w:bCs/>
        </w:rPr>
      </w:pPr>
    </w:p>
    <w:p w14:paraId="0067D834" w14:textId="77777777" w:rsidR="00767BF1" w:rsidRDefault="00767BF1" w:rsidP="00FF4878">
      <w:pPr>
        <w:rPr>
          <w:b/>
          <w:bCs/>
        </w:rPr>
      </w:pPr>
    </w:p>
    <w:p w14:paraId="22608D62" w14:textId="77777777" w:rsidR="00767BF1" w:rsidRDefault="00767BF1" w:rsidP="00FF4878">
      <w:pPr>
        <w:rPr>
          <w:b/>
          <w:bCs/>
        </w:rPr>
      </w:pPr>
    </w:p>
    <w:p w14:paraId="7DF598ED" w14:textId="77777777" w:rsidR="00767BF1" w:rsidRDefault="00767BF1" w:rsidP="00FF4878">
      <w:pPr>
        <w:rPr>
          <w:b/>
          <w:bCs/>
        </w:rPr>
      </w:pPr>
    </w:p>
    <w:p w14:paraId="4C687E39" w14:textId="77777777" w:rsidR="00767BF1" w:rsidRDefault="00767BF1" w:rsidP="00FF4878">
      <w:pPr>
        <w:rPr>
          <w:b/>
          <w:bCs/>
        </w:rPr>
      </w:pPr>
    </w:p>
    <w:p w14:paraId="4303F7B7" w14:textId="77777777" w:rsidR="00767BF1" w:rsidRDefault="00767BF1" w:rsidP="00FF4878">
      <w:pPr>
        <w:rPr>
          <w:b/>
          <w:bCs/>
        </w:rPr>
      </w:pPr>
    </w:p>
    <w:p w14:paraId="456031F0" w14:textId="77777777" w:rsidR="00767BF1" w:rsidRDefault="00767BF1" w:rsidP="00FF4878">
      <w:pPr>
        <w:rPr>
          <w:b/>
          <w:bCs/>
        </w:rPr>
      </w:pPr>
    </w:p>
    <w:p w14:paraId="47609A42" w14:textId="77777777" w:rsidR="00767BF1" w:rsidRDefault="00767BF1" w:rsidP="00FF4878">
      <w:pPr>
        <w:rPr>
          <w:b/>
          <w:bCs/>
        </w:rPr>
      </w:pPr>
    </w:p>
    <w:p w14:paraId="1366E95A" w14:textId="77777777" w:rsidR="00767BF1" w:rsidRDefault="00767BF1" w:rsidP="00FF4878">
      <w:pPr>
        <w:rPr>
          <w:b/>
          <w:bCs/>
        </w:rPr>
      </w:pPr>
    </w:p>
    <w:p w14:paraId="66C78547" w14:textId="77777777" w:rsidR="00767BF1" w:rsidRDefault="00767BF1" w:rsidP="00FF4878">
      <w:pPr>
        <w:rPr>
          <w:b/>
          <w:bCs/>
        </w:rPr>
      </w:pPr>
    </w:p>
    <w:p w14:paraId="2F832FEE" w14:textId="77777777" w:rsidR="00767BF1" w:rsidRDefault="00767BF1" w:rsidP="00FF4878">
      <w:pPr>
        <w:rPr>
          <w:b/>
          <w:bCs/>
        </w:rPr>
      </w:pPr>
    </w:p>
    <w:p w14:paraId="67FD76E7" w14:textId="77777777" w:rsidR="00767BF1" w:rsidRDefault="00767BF1" w:rsidP="00FF4878">
      <w:pPr>
        <w:rPr>
          <w:b/>
          <w:bCs/>
        </w:rPr>
      </w:pPr>
    </w:p>
    <w:p w14:paraId="585CB7B3" w14:textId="77777777" w:rsidR="00767BF1" w:rsidRDefault="00767BF1" w:rsidP="00FF4878">
      <w:pPr>
        <w:rPr>
          <w:b/>
          <w:bCs/>
        </w:rPr>
      </w:pPr>
    </w:p>
    <w:p w14:paraId="64B9A5E8" w14:textId="01C75D8E" w:rsidR="00767BF1" w:rsidRPr="00767BF1" w:rsidRDefault="00767BF1" w:rsidP="00FF4878">
      <w:pPr>
        <w:rPr>
          <w:b/>
          <w:bCs/>
        </w:rPr>
      </w:pPr>
      <w:r>
        <w:rPr>
          <w:b/>
          <w:bCs/>
        </w:rPr>
        <w:t>Figure 10</w:t>
      </w:r>
    </w:p>
    <w:p w14:paraId="46C6B3A1" w14:textId="3A88E283" w:rsidR="009B5189" w:rsidRDefault="009B5189" w:rsidP="00FF4878">
      <w:pPr>
        <w:rPr>
          <w:b/>
          <w:bCs/>
        </w:rPr>
      </w:pPr>
    </w:p>
    <w:p w14:paraId="30669D5F" w14:textId="65429A4B" w:rsidR="00767BF1" w:rsidRDefault="00BE0940" w:rsidP="00FF4878">
      <w:r>
        <w:t>The distribution shows most of the patients were diagnosed when they were either younger or older. However, there is not much of a difference in the survival by age relative to the number of patients.</w:t>
      </w:r>
    </w:p>
    <w:p w14:paraId="47260FE7" w14:textId="1A3CF6E6" w:rsidR="00BE0940" w:rsidRDefault="00BE0940" w:rsidP="00FF4878"/>
    <w:p w14:paraId="28F151D0" w14:textId="77777777" w:rsidR="00BE0940" w:rsidRDefault="00BE0940" w:rsidP="00FF4878">
      <w:r>
        <w:t xml:space="preserve">The age of the patient seems to have a relationship with the site of the tumor. Figure 11 is a boxplot displaying the median and distribution of the patient’s age by site of tumor. </w:t>
      </w:r>
    </w:p>
    <w:p w14:paraId="3F2F15D3" w14:textId="77777777" w:rsidR="00BE0940" w:rsidRDefault="00BE0940" w:rsidP="00FF4878"/>
    <w:p w14:paraId="72E5C69F" w14:textId="77777777" w:rsidR="00761D49" w:rsidRDefault="00761D49" w:rsidP="00FF4878">
      <w:pPr>
        <w:rPr>
          <w:b/>
          <w:bCs/>
        </w:rPr>
      </w:pPr>
      <w:r w:rsidRPr="00761D49">
        <w:rPr>
          <w:noProof/>
        </w:rPr>
        <w:lastRenderedPageBreak/>
        <w:drawing>
          <wp:inline distT="0" distB="0" distL="0" distR="0" wp14:anchorId="50C6D79C" wp14:editId="3EBC4D48">
            <wp:extent cx="5943600" cy="4318635"/>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4"/>
                    <a:stretch>
                      <a:fillRect/>
                    </a:stretch>
                  </pic:blipFill>
                  <pic:spPr>
                    <a:xfrm>
                      <a:off x="0" y="0"/>
                      <a:ext cx="5943600" cy="4318635"/>
                    </a:xfrm>
                    <a:prstGeom prst="rect">
                      <a:avLst/>
                    </a:prstGeom>
                  </pic:spPr>
                </pic:pic>
              </a:graphicData>
            </a:graphic>
          </wp:inline>
        </w:drawing>
      </w:r>
      <w:r>
        <w:rPr>
          <w:b/>
          <w:bCs/>
        </w:rPr>
        <w:t>Figure 11</w:t>
      </w:r>
    </w:p>
    <w:p w14:paraId="01DFB977" w14:textId="77777777" w:rsidR="00761D49" w:rsidRDefault="00761D49" w:rsidP="00FF4878">
      <w:pPr>
        <w:rPr>
          <w:b/>
          <w:bCs/>
        </w:rPr>
      </w:pPr>
    </w:p>
    <w:p w14:paraId="0306187D" w14:textId="62800040" w:rsidR="00761D49" w:rsidRDefault="00761D49" w:rsidP="00FF4878">
      <w:r>
        <w:t>The median age for Leukemia patients is lower than others, but the distribution is skewed to the right indicating there are still many patients who are older, but the ages are more spread. Brain and soft tissue cancers have a median age of 7 and have even spreads in both directions.</w:t>
      </w:r>
      <w:r w:rsidR="00477620">
        <w:t xml:space="preserve"> </w:t>
      </w:r>
      <w:r>
        <w:t>Hodgkin – Nodal and Bones and Joints have a higher median age of around 13 and 14, but there are a few younger patients who are outliers.</w:t>
      </w:r>
    </w:p>
    <w:p w14:paraId="68A7F60A" w14:textId="18F45BD1" w:rsidR="00761D49" w:rsidRDefault="00761D49" w:rsidP="00FF4878"/>
    <w:p w14:paraId="71F0C71D" w14:textId="77777777" w:rsidR="00477620" w:rsidRDefault="00477620" w:rsidP="00FF4878"/>
    <w:p w14:paraId="34B42476" w14:textId="77777777" w:rsidR="00477620" w:rsidRDefault="00477620" w:rsidP="00FF4878"/>
    <w:p w14:paraId="37AA91FD" w14:textId="77777777" w:rsidR="00477620" w:rsidRDefault="00477620" w:rsidP="00FF4878"/>
    <w:p w14:paraId="56ECC2C4" w14:textId="77777777" w:rsidR="00477620" w:rsidRDefault="00477620" w:rsidP="00FF4878"/>
    <w:p w14:paraId="07ABB6A7" w14:textId="77777777" w:rsidR="00477620" w:rsidRDefault="00477620" w:rsidP="00FF4878"/>
    <w:p w14:paraId="2875BF63" w14:textId="77777777" w:rsidR="00477620" w:rsidRDefault="00477620" w:rsidP="00FF4878"/>
    <w:p w14:paraId="4353FE63" w14:textId="77777777" w:rsidR="00477620" w:rsidRDefault="00477620" w:rsidP="00FF4878"/>
    <w:p w14:paraId="72E3238A" w14:textId="77777777" w:rsidR="00477620" w:rsidRDefault="00477620" w:rsidP="00FF4878"/>
    <w:p w14:paraId="74D0CE98" w14:textId="77777777" w:rsidR="00477620" w:rsidRDefault="00477620" w:rsidP="00FF4878"/>
    <w:p w14:paraId="581B7080" w14:textId="77777777" w:rsidR="00477620" w:rsidRDefault="00477620" w:rsidP="00FF4878"/>
    <w:p w14:paraId="38D6B45F" w14:textId="77777777" w:rsidR="00477620" w:rsidRDefault="00477620" w:rsidP="00FF4878"/>
    <w:p w14:paraId="64BBADC2" w14:textId="77777777" w:rsidR="00477620" w:rsidRDefault="00477620" w:rsidP="00FF4878"/>
    <w:p w14:paraId="6F6BF82F" w14:textId="77777777" w:rsidR="00477620" w:rsidRDefault="00477620" w:rsidP="00FF4878"/>
    <w:p w14:paraId="697331D0" w14:textId="1C1D1DA9" w:rsidR="00767BF1" w:rsidRDefault="00761D49" w:rsidP="00FF4878">
      <w:r>
        <w:lastRenderedPageBreak/>
        <w:t>Figures 12 and 13 examine the patients’ county median household income and population size by survival.</w:t>
      </w:r>
    </w:p>
    <w:p w14:paraId="2407962B" w14:textId="77777777" w:rsidR="00477620" w:rsidRDefault="00477620" w:rsidP="00FF4878"/>
    <w:p w14:paraId="6ECD9C54" w14:textId="7B272C9E" w:rsidR="00761D49" w:rsidRDefault="00477620" w:rsidP="00FF4878">
      <w:pPr>
        <w:rPr>
          <w:b/>
          <w:bCs/>
        </w:rPr>
      </w:pPr>
      <w:r w:rsidRPr="00477620">
        <w:rPr>
          <w:noProof/>
        </w:rPr>
        <w:drawing>
          <wp:inline distT="0" distB="0" distL="0" distR="0" wp14:anchorId="221B05F2" wp14:editId="55DA3B20">
            <wp:extent cx="5819686" cy="2753780"/>
            <wp:effectExtent l="0" t="0" r="0" b="25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stretch>
                      <a:fillRect/>
                    </a:stretch>
                  </pic:blipFill>
                  <pic:spPr>
                    <a:xfrm>
                      <a:off x="0" y="0"/>
                      <a:ext cx="5860251" cy="2772975"/>
                    </a:xfrm>
                    <a:prstGeom prst="rect">
                      <a:avLst/>
                    </a:prstGeom>
                  </pic:spPr>
                </pic:pic>
              </a:graphicData>
            </a:graphic>
          </wp:inline>
        </w:drawing>
      </w:r>
      <w:r>
        <w:rPr>
          <w:b/>
          <w:bCs/>
        </w:rPr>
        <w:t>Figure 12</w:t>
      </w:r>
    </w:p>
    <w:p w14:paraId="28E7A196" w14:textId="592EB874" w:rsidR="00477620" w:rsidRDefault="00477620" w:rsidP="00FF4878">
      <w:pPr>
        <w:rPr>
          <w:b/>
          <w:bCs/>
        </w:rPr>
      </w:pPr>
    </w:p>
    <w:p w14:paraId="6C2BA301" w14:textId="6A2A9857" w:rsidR="00761D49" w:rsidRDefault="00477620" w:rsidP="00FF4878">
      <w:pPr>
        <w:rPr>
          <w:b/>
          <w:bCs/>
        </w:rPr>
      </w:pPr>
      <w:r w:rsidRPr="00477620">
        <w:rPr>
          <w:noProof/>
        </w:rPr>
        <w:drawing>
          <wp:inline distT="0" distB="0" distL="0" distR="0" wp14:anchorId="37A4CEED" wp14:editId="041A1A0F">
            <wp:extent cx="5943600" cy="2725420"/>
            <wp:effectExtent l="0" t="0" r="0" b="508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6"/>
                    <a:stretch>
                      <a:fillRect/>
                    </a:stretch>
                  </pic:blipFill>
                  <pic:spPr>
                    <a:xfrm>
                      <a:off x="0" y="0"/>
                      <a:ext cx="5943600" cy="2725420"/>
                    </a:xfrm>
                    <a:prstGeom prst="rect">
                      <a:avLst/>
                    </a:prstGeom>
                  </pic:spPr>
                </pic:pic>
              </a:graphicData>
            </a:graphic>
          </wp:inline>
        </w:drawing>
      </w:r>
      <w:r>
        <w:rPr>
          <w:b/>
          <w:bCs/>
        </w:rPr>
        <w:t>Figure 13</w:t>
      </w:r>
    </w:p>
    <w:p w14:paraId="7F23391D" w14:textId="055302E0" w:rsidR="00477620" w:rsidRDefault="00477620" w:rsidP="00FF4878">
      <w:pPr>
        <w:rPr>
          <w:b/>
          <w:bCs/>
        </w:rPr>
      </w:pPr>
    </w:p>
    <w:p w14:paraId="5CA2103C" w14:textId="22A72049" w:rsidR="00477620" w:rsidRDefault="00472821" w:rsidP="00FF4878">
      <w:r>
        <w:t>The percent survival from the county’s median household income shows the highest survival rate is from households in the $65,000 – 69,000 range while the lowest is the $40,000 – 44,999. The difference is 2.76% suggesting there is not much of a difference. Plus, the percent difference between the groups is not consistent has it increases or decreases by range.</w:t>
      </w:r>
    </w:p>
    <w:p w14:paraId="2C0C93C7" w14:textId="798DF648" w:rsidR="00472821" w:rsidRDefault="00472821" w:rsidP="00FF4878"/>
    <w:p w14:paraId="562E22D0" w14:textId="28627BAF" w:rsidR="00472821" w:rsidRDefault="00472821" w:rsidP="00FF4878">
      <w:r>
        <w:t xml:space="preserve">The counties with a population of 250,000 to one million had the highest survival percentage of 85% while the lowest was Alaska or Hawaii at 83%. The difference is 2.08% indicating there may </w:t>
      </w:r>
      <w:r>
        <w:lastRenderedPageBreak/>
        <w:t>not be a difference for county population. Although the last category indicated unknown, missing data, there was a category for unknown that was removed for this analysis.</w:t>
      </w:r>
    </w:p>
    <w:p w14:paraId="652FB260" w14:textId="71DB09DA" w:rsidR="00472821" w:rsidRDefault="00472821" w:rsidP="00FF4878"/>
    <w:p w14:paraId="7B15EF7F" w14:textId="6971A67D" w:rsidR="00472821" w:rsidRDefault="00472821" w:rsidP="00FF4878">
      <w:r>
        <w:t>The final demographic variable that was examined was race.</w:t>
      </w:r>
      <w:r w:rsidR="00180676">
        <w:t xml:space="preserve"> Figure 14 shows the rate of patients in this data who survived based on their race.</w:t>
      </w:r>
    </w:p>
    <w:p w14:paraId="480D0557" w14:textId="3692C514" w:rsidR="00180676" w:rsidRDefault="00180676" w:rsidP="00FF4878"/>
    <w:p w14:paraId="379F6E60" w14:textId="219FF0B6" w:rsidR="00180676" w:rsidRDefault="00180676" w:rsidP="00FF4878">
      <w:r w:rsidRPr="00180676">
        <w:rPr>
          <w:noProof/>
        </w:rPr>
        <w:drawing>
          <wp:inline distT="0" distB="0" distL="0" distR="0" wp14:anchorId="666F7689" wp14:editId="68FFB87C">
            <wp:extent cx="5943600" cy="2725420"/>
            <wp:effectExtent l="0" t="0" r="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5943600" cy="2725420"/>
                    </a:xfrm>
                    <a:prstGeom prst="rect">
                      <a:avLst/>
                    </a:prstGeom>
                  </pic:spPr>
                </pic:pic>
              </a:graphicData>
            </a:graphic>
          </wp:inline>
        </w:drawing>
      </w:r>
      <w:r>
        <w:rPr>
          <w:b/>
          <w:bCs/>
        </w:rPr>
        <w:t>Figure 14</w:t>
      </w:r>
    </w:p>
    <w:p w14:paraId="0FE2470B" w14:textId="76CC2B10" w:rsidR="00180676" w:rsidRDefault="00180676" w:rsidP="00FF4878"/>
    <w:p w14:paraId="09C01BB0" w14:textId="77777777" w:rsidR="00180676" w:rsidRDefault="00180676" w:rsidP="00FF4878">
      <w:r>
        <w:t>The highest survival percentage of patients are those in the category of Non-Hispanic White at 86%. The lowest are Non-Hispanic Black patients at just under 80%. The closest survival percentage category to Non-Hispanic White category is Hispanic patients at 84%. The difference is 2.58%.</w:t>
      </w:r>
    </w:p>
    <w:p w14:paraId="692388CD" w14:textId="77777777" w:rsidR="00180676" w:rsidRDefault="00180676" w:rsidP="00FF4878"/>
    <w:p w14:paraId="38B51668" w14:textId="72FA4D21" w:rsidR="00180676" w:rsidRDefault="00180676" w:rsidP="00FF4878">
      <w:r>
        <w:t xml:space="preserve">Since this category seems to have a larger percent difference, a </w:t>
      </w:r>
      <w:r w:rsidR="009D0CAC">
        <w:t>two-sample hypothesis test</w:t>
      </w:r>
      <w:r>
        <w:t xml:space="preserve"> was done on this variable</w:t>
      </w:r>
      <w:r w:rsidR="009D0CAC">
        <w:t xml:space="preserve"> to determine statistical significance</w:t>
      </w:r>
      <w:r>
        <w:t>.</w:t>
      </w:r>
    </w:p>
    <w:p w14:paraId="19FD8147" w14:textId="2D554C66" w:rsidR="009D0CAC" w:rsidRDefault="009D0CAC" w:rsidP="00FF4878"/>
    <w:p w14:paraId="4722763C" w14:textId="4D897E1A" w:rsidR="009D0CAC" w:rsidRDefault="009D0CAC" w:rsidP="00FF4878">
      <w:r>
        <w:t>Samples from each category of race was selected and the survival rates were calculated. The rates from the samples were analyzed for approximate normal distribution with histograms. The z-score and p-values were calculated to compare the means of each sample</w:t>
      </w:r>
      <w:r w:rsidR="0044486D">
        <w:t xml:space="preserve"> to the sample mean of Non-Hispanic White patients.</w:t>
      </w:r>
    </w:p>
    <w:p w14:paraId="0502C1B3" w14:textId="77777777" w:rsidR="009D0CAC" w:rsidRDefault="009D0CAC" w:rsidP="00FF4878"/>
    <w:p w14:paraId="3C60A319" w14:textId="076DED98" w:rsidR="009D0CAC" w:rsidRDefault="009D0CAC" w:rsidP="00FF4878">
      <w:r>
        <w:t xml:space="preserve">The null hypothesis is the race of patients does not </w:t>
      </w:r>
      <w:proofErr w:type="gramStart"/>
      <w:r>
        <w:t>have an effect on</w:t>
      </w:r>
      <w:proofErr w:type="gramEnd"/>
      <w:r>
        <w:t xml:space="preserve"> survival rate and the alternative hypothesis is the race of patients affected their survival rate.  </w:t>
      </w:r>
    </w:p>
    <w:p w14:paraId="1F408469" w14:textId="09247FB9" w:rsidR="009D0CAC" w:rsidRDefault="009D0CAC" w:rsidP="00FF4878"/>
    <w:p w14:paraId="58448BEF" w14:textId="74B12139" w:rsidR="009D0CAC" w:rsidRDefault="009D0CAC" w:rsidP="00FF4878">
      <w:r>
        <w:t>Figure 15 shows the distribution of the sample survival rates</w:t>
      </w:r>
      <w:r w:rsidR="00347624">
        <w:t xml:space="preserve"> and the means of the samples are</w:t>
      </w:r>
      <w:r w:rsidR="004B4E80">
        <w:t xml:space="preserve"> shown in</w:t>
      </w:r>
      <w:r w:rsidR="00347624">
        <w:t xml:space="preserve"> Figure 16.</w:t>
      </w:r>
      <w:r w:rsidR="004B4E80">
        <w:t xml:space="preserve"> The z-scores and p-values are found in Figure 17.</w:t>
      </w:r>
    </w:p>
    <w:p w14:paraId="4A548C1B" w14:textId="288FC027" w:rsidR="0044486D" w:rsidRDefault="0044486D" w:rsidP="00FF4878"/>
    <w:p w14:paraId="2DCB5191" w14:textId="6C04E065" w:rsidR="0044486D" w:rsidRDefault="0044486D" w:rsidP="00FF4878"/>
    <w:p w14:paraId="12216FCA" w14:textId="77777777" w:rsidR="0044486D" w:rsidRDefault="0044486D" w:rsidP="00FF4878"/>
    <w:p w14:paraId="3BC451C3" w14:textId="7062D694" w:rsidR="00761D49" w:rsidRDefault="0044486D" w:rsidP="00FF4878">
      <w:r w:rsidRPr="00347624">
        <w:rPr>
          <w:b/>
          <w:bCs/>
        </w:rPr>
        <w:lastRenderedPageBreak/>
        <w:t xml:space="preserve"> </w:t>
      </w:r>
      <w:r w:rsidR="00347624" w:rsidRPr="00347624">
        <w:rPr>
          <w:b/>
          <w:bCs/>
          <w:noProof/>
        </w:rPr>
        <w:drawing>
          <wp:inline distT="0" distB="0" distL="0" distR="0" wp14:anchorId="2D7A3F7C" wp14:editId="3030558D">
            <wp:extent cx="5943600" cy="4165600"/>
            <wp:effectExtent l="0" t="0" r="0" b="0"/>
            <wp:docPr id="16" name="Picture 1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polygon&#10;&#10;Description automatically generated"/>
                    <pic:cNvPicPr/>
                  </pic:nvPicPr>
                  <pic:blipFill>
                    <a:blip r:embed="rId18"/>
                    <a:stretch>
                      <a:fillRect/>
                    </a:stretch>
                  </pic:blipFill>
                  <pic:spPr>
                    <a:xfrm>
                      <a:off x="0" y="0"/>
                      <a:ext cx="5943600" cy="4165600"/>
                    </a:xfrm>
                    <a:prstGeom prst="rect">
                      <a:avLst/>
                    </a:prstGeom>
                  </pic:spPr>
                </pic:pic>
              </a:graphicData>
            </a:graphic>
          </wp:inline>
        </w:drawing>
      </w:r>
      <w:r w:rsidR="00347624">
        <w:rPr>
          <w:b/>
          <w:bCs/>
        </w:rPr>
        <w:t>Figure 15</w:t>
      </w:r>
    </w:p>
    <w:p w14:paraId="02FB9D02" w14:textId="09C2FBB8" w:rsidR="00347624" w:rsidRDefault="00347624" w:rsidP="00FF4878"/>
    <w:tbl>
      <w:tblPr>
        <w:tblW w:w="3456" w:type="dxa"/>
        <w:tblLook w:val="04A0" w:firstRow="1" w:lastRow="0" w:firstColumn="1" w:lastColumn="0" w:noHBand="0" w:noVBand="1"/>
      </w:tblPr>
      <w:tblGrid>
        <w:gridCol w:w="2120"/>
        <w:gridCol w:w="1300"/>
        <w:gridCol w:w="222"/>
      </w:tblGrid>
      <w:tr w:rsidR="00347624" w:rsidRPr="00347624" w14:paraId="1C554DD3" w14:textId="77777777" w:rsidTr="00347624">
        <w:trPr>
          <w:gridAfter w:val="1"/>
          <w:wAfter w:w="36" w:type="dxa"/>
          <w:trHeight w:val="320"/>
        </w:trPr>
        <w:tc>
          <w:tcPr>
            <w:tcW w:w="34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38E43" w14:textId="77777777" w:rsidR="00347624" w:rsidRPr="00347624" w:rsidRDefault="00347624" w:rsidP="00347624">
            <w:pPr>
              <w:jc w:val="center"/>
              <w:rPr>
                <w:rFonts w:ascii="Calibri" w:eastAsia="Times New Roman" w:hAnsi="Calibri" w:cs="Calibri"/>
                <w:color w:val="000000"/>
              </w:rPr>
            </w:pPr>
            <w:r w:rsidRPr="00347624">
              <w:rPr>
                <w:rFonts w:ascii="Calibri" w:eastAsia="Times New Roman" w:hAnsi="Calibri" w:cs="Calibri"/>
                <w:color w:val="000000"/>
              </w:rPr>
              <w:t>Means of Samples</w:t>
            </w:r>
          </w:p>
        </w:tc>
      </w:tr>
      <w:tr w:rsidR="00347624" w:rsidRPr="00347624" w14:paraId="66BD1675" w14:textId="77777777" w:rsidTr="00347624">
        <w:trPr>
          <w:gridAfter w:val="1"/>
          <w:wAfter w:w="36" w:type="dxa"/>
          <w:trHeight w:val="32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F9754F2" w14:textId="77777777" w:rsidR="00347624" w:rsidRPr="00347624" w:rsidRDefault="00347624" w:rsidP="00347624">
            <w:pPr>
              <w:jc w:val="center"/>
              <w:rPr>
                <w:rFonts w:ascii="Calibri" w:eastAsia="Times New Roman" w:hAnsi="Calibri" w:cs="Calibri"/>
                <w:color w:val="000000"/>
              </w:rPr>
            </w:pPr>
            <w:r w:rsidRPr="00347624">
              <w:rPr>
                <w:rFonts w:ascii="Calibri" w:eastAsia="Times New Roman" w:hAnsi="Calibri" w:cs="Calibri"/>
                <w:color w:val="000000"/>
              </w:rPr>
              <w:t>Non-Hispanic White</w:t>
            </w:r>
          </w:p>
        </w:tc>
        <w:tc>
          <w:tcPr>
            <w:tcW w:w="1300" w:type="dxa"/>
            <w:tcBorders>
              <w:top w:val="nil"/>
              <w:left w:val="nil"/>
              <w:bottom w:val="single" w:sz="4" w:space="0" w:color="auto"/>
              <w:right w:val="single" w:sz="4" w:space="0" w:color="auto"/>
            </w:tcBorders>
            <w:shd w:val="clear" w:color="auto" w:fill="auto"/>
            <w:noWrap/>
            <w:vAlign w:val="center"/>
            <w:hideMark/>
          </w:tcPr>
          <w:p w14:paraId="3BA291B8" w14:textId="77777777" w:rsidR="00347624" w:rsidRPr="00347624" w:rsidRDefault="00347624" w:rsidP="00347624">
            <w:pPr>
              <w:jc w:val="center"/>
              <w:rPr>
                <w:rFonts w:ascii="Calibri" w:eastAsia="Times New Roman" w:hAnsi="Calibri" w:cs="Calibri"/>
                <w:color w:val="000000"/>
              </w:rPr>
            </w:pPr>
            <w:r w:rsidRPr="00347624">
              <w:rPr>
                <w:rFonts w:ascii="Calibri" w:eastAsia="Times New Roman" w:hAnsi="Calibri" w:cs="Calibri"/>
                <w:color w:val="000000"/>
              </w:rPr>
              <w:t>87%</w:t>
            </w:r>
          </w:p>
        </w:tc>
      </w:tr>
      <w:tr w:rsidR="00347624" w:rsidRPr="00347624" w14:paraId="655AFB72" w14:textId="77777777" w:rsidTr="00347624">
        <w:trPr>
          <w:gridAfter w:val="1"/>
          <w:wAfter w:w="36" w:type="dxa"/>
          <w:trHeight w:val="32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F1385CE" w14:textId="77777777" w:rsidR="00347624" w:rsidRPr="00347624" w:rsidRDefault="00347624" w:rsidP="00347624">
            <w:pPr>
              <w:jc w:val="center"/>
              <w:rPr>
                <w:rFonts w:ascii="Calibri" w:eastAsia="Times New Roman" w:hAnsi="Calibri" w:cs="Calibri"/>
                <w:color w:val="000000"/>
              </w:rPr>
            </w:pPr>
            <w:r w:rsidRPr="00347624">
              <w:rPr>
                <w:rFonts w:ascii="Calibri" w:eastAsia="Times New Roman" w:hAnsi="Calibri" w:cs="Calibri"/>
                <w:color w:val="000000"/>
              </w:rPr>
              <w:t>Hispanic</w:t>
            </w:r>
          </w:p>
        </w:tc>
        <w:tc>
          <w:tcPr>
            <w:tcW w:w="1300" w:type="dxa"/>
            <w:tcBorders>
              <w:top w:val="nil"/>
              <w:left w:val="nil"/>
              <w:bottom w:val="single" w:sz="4" w:space="0" w:color="auto"/>
              <w:right w:val="single" w:sz="4" w:space="0" w:color="auto"/>
            </w:tcBorders>
            <w:shd w:val="clear" w:color="auto" w:fill="auto"/>
            <w:noWrap/>
            <w:vAlign w:val="center"/>
            <w:hideMark/>
          </w:tcPr>
          <w:p w14:paraId="2B0120FB" w14:textId="77777777" w:rsidR="00347624" w:rsidRPr="00347624" w:rsidRDefault="00347624" w:rsidP="00347624">
            <w:pPr>
              <w:jc w:val="center"/>
              <w:rPr>
                <w:rFonts w:ascii="Calibri" w:eastAsia="Times New Roman" w:hAnsi="Calibri" w:cs="Calibri"/>
                <w:color w:val="000000"/>
              </w:rPr>
            </w:pPr>
            <w:r w:rsidRPr="00347624">
              <w:rPr>
                <w:rFonts w:ascii="Calibri" w:eastAsia="Times New Roman" w:hAnsi="Calibri" w:cs="Calibri"/>
                <w:color w:val="000000"/>
              </w:rPr>
              <w:t>83%</w:t>
            </w:r>
          </w:p>
        </w:tc>
      </w:tr>
      <w:tr w:rsidR="00347624" w:rsidRPr="00347624" w14:paraId="7F30142C" w14:textId="77777777" w:rsidTr="00347624">
        <w:trPr>
          <w:gridAfter w:val="1"/>
          <w:wAfter w:w="36" w:type="dxa"/>
          <w:trHeight w:val="320"/>
        </w:trPr>
        <w:tc>
          <w:tcPr>
            <w:tcW w:w="2120" w:type="dxa"/>
            <w:vMerge w:val="restart"/>
            <w:tcBorders>
              <w:top w:val="nil"/>
              <w:left w:val="single" w:sz="4" w:space="0" w:color="auto"/>
              <w:bottom w:val="single" w:sz="4" w:space="0" w:color="auto"/>
              <w:right w:val="single" w:sz="4" w:space="0" w:color="auto"/>
            </w:tcBorders>
            <w:shd w:val="clear" w:color="auto" w:fill="auto"/>
            <w:vAlign w:val="bottom"/>
            <w:hideMark/>
          </w:tcPr>
          <w:p w14:paraId="6E6D4271" w14:textId="77777777" w:rsidR="00347624" w:rsidRPr="00347624" w:rsidRDefault="00347624" w:rsidP="00347624">
            <w:pPr>
              <w:jc w:val="center"/>
              <w:rPr>
                <w:rFonts w:ascii="Calibri" w:eastAsia="Times New Roman" w:hAnsi="Calibri" w:cs="Calibri"/>
                <w:color w:val="000000"/>
              </w:rPr>
            </w:pPr>
            <w:r w:rsidRPr="00347624">
              <w:rPr>
                <w:rFonts w:ascii="Calibri" w:eastAsia="Times New Roman" w:hAnsi="Calibri" w:cs="Calibri"/>
                <w:color w:val="000000"/>
              </w:rPr>
              <w:t>American Indian / Alaska Native</w:t>
            </w:r>
          </w:p>
        </w:tc>
        <w:tc>
          <w:tcPr>
            <w:tcW w:w="1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9AD6D1" w14:textId="77777777" w:rsidR="00347624" w:rsidRPr="00347624" w:rsidRDefault="00347624" w:rsidP="00347624">
            <w:pPr>
              <w:jc w:val="center"/>
              <w:rPr>
                <w:rFonts w:ascii="Calibri" w:eastAsia="Times New Roman" w:hAnsi="Calibri" w:cs="Calibri"/>
                <w:color w:val="000000"/>
              </w:rPr>
            </w:pPr>
            <w:r w:rsidRPr="00347624">
              <w:rPr>
                <w:rFonts w:ascii="Calibri" w:eastAsia="Times New Roman" w:hAnsi="Calibri" w:cs="Calibri"/>
                <w:color w:val="000000"/>
              </w:rPr>
              <w:t>82%</w:t>
            </w:r>
          </w:p>
        </w:tc>
      </w:tr>
      <w:tr w:rsidR="00347624" w:rsidRPr="00347624" w14:paraId="5131C887" w14:textId="77777777" w:rsidTr="00347624">
        <w:trPr>
          <w:trHeight w:val="320"/>
        </w:trPr>
        <w:tc>
          <w:tcPr>
            <w:tcW w:w="2120" w:type="dxa"/>
            <w:vMerge/>
            <w:tcBorders>
              <w:top w:val="nil"/>
              <w:left w:val="single" w:sz="4" w:space="0" w:color="auto"/>
              <w:bottom w:val="single" w:sz="4" w:space="0" w:color="auto"/>
              <w:right w:val="single" w:sz="4" w:space="0" w:color="auto"/>
            </w:tcBorders>
            <w:vAlign w:val="center"/>
            <w:hideMark/>
          </w:tcPr>
          <w:p w14:paraId="7282CCC0" w14:textId="77777777" w:rsidR="00347624" w:rsidRPr="00347624" w:rsidRDefault="00347624" w:rsidP="00347624">
            <w:pPr>
              <w:rPr>
                <w:rFonts w:ascii="Calibri" w:eastAsia="Times New Roman" w:hAnsi="Calibri" w:cs="Calibri"/>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EF5C9D4" w14:textId="77777777" w:rsidR="00347624" w:rsidRPr="00347624" w:rsidRDefault="00347624" w:rsidP="00347624">
            <w:pPr>
              <w:rPr>
                <w:rFonts w:ascii="Calibri" w:eastAsia="Times New Roman" w:hAnsi="Calibri" w:cs="Calibri"/>
                <w:color w:val="000000"/>
              </w:rPr>
            </w:pPr>
          </w:p>
        </w:tc>
        <w:tc>
          <w:tcPr>
            <w:tcW w:w="36" w:type="dxa"/>
            <w:tcBorders>
              <w:top w:val="nil"/>
              <w:left w:val="nil"/>
              <w:bottom w:val="nil"/>
              <w:right w:val="nil"/>
            </w:tcBorders>
            <w:shd w:val="clear" w:color="auto" w:fill="auto"/>
            <w:noWrap/>
            <w:vAlign w:val="bottom"/>
            <w:hideMark/>
          </w:tcPr>
          <w:p w14:paraId="564C8907" w14:textId="77777777" w:rsidR="00347624" w:rsidRPr="00347624" w:rsidRDefault="00347624" w:rsidP="00347624">
            <w:pPr>
              <w:jc w:val="center"/>
              <w:rPr>
                <w:rFonts w:ascii="Calibri" w:eastAsia="Times New Roman" w:hAnsi="Calibri" w:cs="Calibri"/>
                <w:color w:val="000000"/>
              </w:rPr>
            </w:pPr>
          </w:p>
        </w:tc>
      </w:tr>
      <w:tr w:rsidR="00347624" w:rsidRPr="00347624" w14:paraId="4582A9FC" w14:textId="77777777" w:rsidTr="00347624">
        <w:trPr>
          <w:trHeight w:val="320"/>
        </w:trPr>
        <w:tc>
          <w:tcPr>
            <w:tcW w:w="2120" w:type="dxa"/>
            <w:vMerge w:val="restart"/>
            <w:tcBorders>
              <w:top w:val="nil"/>
              <w:left w:val="single" w:sz="4" w:space="0" w:color="auto"/>
              <w:bottom w:val="single" w:sz="4" w:space="0" w:color="auto"/>
              <w:right w:val="single" w:sz="4" w:space="0" w:color="auto"/>
            </w:tcBorders>
            <w:shd w:val="clear" w:color="auto" w:fill="auto"/>
            <w:vAlign w:val="center"/>
            <w:hideMark/>
          </w:tcPr>
          <w:p w14:paraId="7DE6CDF6" w14:textId="77777777" w:rsidR="00347624" w:rsidRPr="00347624" w:rsidRDefault="00347624" w:rsidP="00347624">
            <w:pPr>
              <w:jc w:val="center"/>
              <w:rPr>
                <w:rFonts w:ascii="Calibri" w:eastAsia="Times New Roman" w:hAnsi="Calibri" w:cs="Calibri"/>
                <w:color w:val="000000"/>
              </w:rPr>
            </w:pPr>
            <w:r w:rsidRPr="00347624">
              <w:rPr>
                <w:rFonts w:ascii="Calibri" w:eastAsia="Times New Roman" w:hAnsi="Calibri" w:cs="Calibri"/>
                <w:color w:val="000000"/>
              </w:rPr>
              <w:t>Asian or Pacific Islander</w:t>
            </w:r>
          </w:p>
        </w:tc>
        <w:tc>
          <w:tcPr>
            <w:tcW w:w="1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785E4A" w14:textId="77777777" w:rsidR="00347624" w:rsidRPr="00347624" w:rsidRDefault="00347624" w:rsidP="00347624">
            <w:pPr>
              <w:jc w:val="center"/>
              <w:rPr>
                <w:rFonts w:ascii="Calibri" w:eastAsia="Times New Roman" w:hAnsi="Calibri" w:cs="Calibri"/>
                <w:color w:val="000000"/>
              </w:rPr>
            </w:pPr>
            <w:r w:rsidRPr="00347624">
              <w:rPr>
                <w:rFonts w:ascii="Calibri" w:eastAsia="Times New Roman" w:hAnsi="Calibri" w:cs="Calibri"/>
                <w:color w:val="000000"/>
              </w:rPr>
              <w:t>84%</w:t>
            </w:r>
          </w:p>
        </w:tc>
        <w:tc>
          <w:tcPr>
            <w:tcW w:w="36" w:type="dxa"/>
            <w:vAlign w:val="center"/>
            <w:hideMark/>
          </w:tcPr>
          <w:p w14:paraId="16C6038B" w14:textId="77777777" w:rsidR="00347624" w:rsidRPr="00347624" w:rsidRDefault="00347624" w:rsidP="00347624">
            <w:pPr>
              <w:rPr>
                <w:rFonts w:ascii="Times New Roman" w:eastAsia="Times New Roman" w:hAnsi="Times New Roman" w:cs="Times New Roman"/>
                <w:sz w:val="20"/>
                <w:szCs w:val="20"/>
              </w:rPr>
            </w:pPr>
          </w:p>
        </w:tc>
      </w:tr>
      <w:tr w:rsidR="00347624" w:rsidRPr="00347624" w14:paraId="6FE9F239" w14:textId="77777777" w:rsidTr="00347624">
        <w:trPr>
          <w:trHeight w:val="320"/>
        </w:trPr>
        <w:tc>
          <w:tcPr>
            <w:tcW w:w="2120" w:type="dxa"/>
            <w:vMerge/>
            <w:tcBorders>
              <w:top w:val="nil"/>
              <w:left w:val="single" w:sz="4" w:space="0" w:color="auto"/>
              <w:bottom w:val="single" w:sz="4" w:space="0" w:color="auto"/>
              <w:right w:val="single" w:sz="4" w:space="0" w:color="auto"/>
            </w:tcBorders>
            <w:vAlign w:val="center"/>
            <w:hideMark/>
          </w:tcPr>
          <w:p w14:paraId="40C0151E" w14:textId="77777777" w:rsidR="00347624" w:rsidRPr="00347624" w:rsidRDefault="00347624" w:rsidP="00347624">
            <w:pPr>
              <w:rPr>
                <w:rFonts w:ascii="Calibri" w:eastAsia="Times New Roman" w:hAnsi="Calibri" w:cs="Calibri"/>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23F7014F" w14:textId="77777777" w:rsidR="00347624" w:rsidRPr="00347624" w:rsidRDefault="00347624" w:rsidP="00347624">
            <w:pPr>
              <w:rPr>
                <w:rFonts w:ascii="Calibri" w:eastAsia="Times New Roman" w:hAnsi="Calibri" w:cs="Calibri"/>
                <w:color w:val="000000"/>
              </w:rPr>
            </w:pPr>
          </w:p>
        </w:tc>
        <w:tc>
          <w:tcPr>
            <w:tcW w:w="36" w:type="dxa"/>
            <w:tcBorders>
              <w:top w:val="nil"/>
              <w:left w:val="nil"/>
              <w:bottom w:val="nil"/>
              <w:right w:val="nil"/>
            </w:tcBorders>
            <w:shd w:val="clear" w:color="auto" w:fill="auto"/>
            <w:noWrap/>
            <w:vAlign w:val="bottom"/>
            <w:hideMark/>
          </w:tcPr>
          <w:p w14:paraId="55F9EC45" w14:textId="77777777" w:rsidR="00347624" w:rsidRPr="00347624" w:rsidRDefault="00347624" w:rsidP="00347624">
            <w:pPr>
              <w:jc w:val="center"/>
              <w:rPr>
                <w:rFonts w:ascii="Calibri" w:eastAsia="Times New Roman" w:hAnsi="Calibri" w:cs="Calibri"/>
                <w:color w:val="000000"/>
              </w:rPr>
            </w:pPr>
          </w:p>
        </w:tc>
      </w:tr>
      <w:tr w:rsidR="00347624" w:rsidRPr="00347624" w14:paraId="32851511" w14:textId="77777777" w:rsidTr="00347624">
        <w:trPr>
          <w:trHeight w:val="32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CFE68C4" w14:textId="77777777" w:rsidR="00347624" w:rsidRPr="00347624" w:rsidRDefault="00347624" w:rsidP="00347624">
            <w:pPr>
              <w:rPr>
                <w:rFonts w:ascii="Calibri" w:eastAsia="Times New Roman" w:hAnsi="Calibri" w:cs="Calibri"/>
                <w:color w:val="000000"/>
              </w:rPr>
            </w:pPr>
            <w:r w:rsidRPr="00347624">
              <w:rPr>
                <w:rFonts w:ascii="Calibri" w:eastAsia="Times New Roman" w:hAnsi="Calibri" w:cs="Calibri"/>
                <w:color w:val="000000"/>
              </w:rPr>
              <w:t>Non-Hispanic Black</w:t>
            </w:r>
          </w:p>
        </w:tc>
        <w:tc>
          <w:tcPr>
            <w:tcW w:w="1300" w:type="dxa"/>
            <w:tcBorders>
              <w:top w:val="nil"/>
              <w:left w:val="nil"/>
              <w:bottom w:val="single" w:sz="4" w:space="0" w:color="auto"/>
              <w:right w:val="single" w:sz="4" w:space="0" w:color="auto"/>
            </w:tcBorders>
            <w:shd w:val="clear" w:color="auto" w:fill="auto"/>
            <w:noWrap/>
            <w:vAlign w:val="center"/>
            <w:hideMark/>
          </w:tcPr>
          <w:p w14:paraId="47063558" w14:textId="77777777" w:rsidR="00347624" w:rsidRPr="00347624" w:rsidRDefault="00347624" w:rsidP="00347624">
            <w:pPr>
              <w:jc w:val="center"/>
              <w:rPr>
                <w:rFonts w:ascii="Calibri" w:eastAsia="Times New Roman" w:hAnsi="Calibri" w:cs="Calibri"/>
                <w:color w:val="000000"/>
              </w:rPr>
            </w:pPr>
            <w:r w:rsidRPr="00347624">
              <w:rPr>
                <w:rFonts w:ascii="Calibri" w:eastAsia="Times New Roman" w:hAnsi="Calibri" w:cs="Calibri"/>
                <w:color w:val="000000"/>
              </w:rPr>
              <w:t>79%</w:t>
            </w:r>
          </w:p>
        </w:tc>
        <w:tc>
          <w:tcPr>
            <w:tcW w:w="36" w:type="dxa"/>
            <w:vAlign w:val="center"/>
            <w:hideMark/>
          </w:tcPr>
          <w:p w14:paraId="54393A79" w14:textId="77777777" w:rsidR="00347624" w:rsidRPr="00347624" w:rsidRDefault="00347624" w:rsidP="00347624">
            <w:pPr>
              <w:rPr>
                <w:rFonts w:ascii="Times New Roman" w:eastAsia="Times New Roman" w:hAnsi="Times New Roman" w:cs="Times New Roman"/>
                <w:sz w:val="20"/>
                <w:szCs w:val="20"/>
              </w:rPr>
            </w:pPr>
          </w:p>
        </w:tc>
      </w:tr>
    </w:tbl>
    <w:p w14:paraId="183F78D9" w14:textId="477BF182" w:rsidR="00347624" w:rsidRDefault="00347624" w:rsidP="00FF4878">
      <w:pPr>
        <w:rPr>
          <w:b/>
          <w:bCs/>
        </w:rPr>
      </w:pPr>
      <w:r>
        <w:rPr>
          <w:b/>
          <w:bCs/>
        </w:rPr>
        <w:t>Figure 16</w:t>
      </w:r>
    </w:p>
    <w:p w14:paraId="78ECF458" w14:textId="350A5949" w:rsidR="00347624" w:rsidRDefault="00347624" w:rsidP="00FF4878">
      <w:pPr>
        <w:rPr>
          <w:b/>
          <w:bCs/>
        </w:rPr>
      </w:pPr>
    </w:p>
    <w:p w14:paraId="6910062E" w14:textId="26CA150D" w:rsidR="0044486D" w:rsidRDefault="0044486D" w:rsidP="00FF4878">
      <w:pPr>
        <w:rPr>
          <w:b/>
          <w:bCs/>
        </w:rPr>
      </w:pPr>
    </w:p>
    <w:p w14:paraId="319658F5" w14:textId="6FDF828C" w:rsidR="0044486D" w:rsidRDefault="0044486D" w:rsidP="00FF4878">
      <w:pPr>
        <w:rPr>
          <w:b/>
          <w:bCs/>
        </w:rPr>
      </w:pPr>
    </w:p>
    <w:p w14:paraId="6CA02300" w14:textId="566BB7CD" w:rsidR="0044486D" w:rsidRDefault="0044486D" w:rsidP="00FF4878">
      <w:pPr>
        <w:rPr>
          <w:b/>
          <w:bCs/>
        </w:rPr>
      </w:pPr>
    </w:p>
    <w:p w14:paraId="7D771699" w14:textId="5CAAF7B2" w:rsidR="0044486D" w:rsidRDefault="0044486D" w:rsidP="00FF4878">
      <w:pPr>
        <w:rPr>
          <w:b/>
          <w:bCs/>
        </w:rPr>
      </w:pPr>
    </w:p>
    <w:p w14:paraId="5956828C" w14:textId="77777777" w:rsidR="0044486D" w:rsidRDefault="0044486D" w:rsidP="00FF4878">
      <w:pPr>
        <w:rPr>
          <w:b/>
          <w:bCs/>
        </w:rPr>
      </w:pPr>
    </w:p>
    <w:p w14:paraId="458486B1" w14:textId="77777777" w:rsidR="00347624" w:rsidRPr="00347624" w:rsidRDefault="00347624" w:rsidP="00FF4878"/>
    <w:tbl>
      <w:tblPr>
        <w:tblW w:w="7100" w:type="dxa"/>
        <w:tblLook w:val="04A0" w:firstRow="1" w:lastRow="0" w:firstColumn="1" w:lastColumn="0" w:noHBand="0" w:noVBand="1"/>
      </w:tblPr>
      <w:tblGrid>
        <w:gridCol w:w="2120"/>
        <w:gridCol w:w="1300"/>
        <w:gridCol w:w="340"/>
        <w:gridCol w:w="2040"/>
        <w:gridCol w:w="1300"/>
      </w:tblGrid>
      <w:tr w:rsidR="0044486D" w:rsidRPr="0044486D" w14:paraId="1DCA4988" w14:textId="77777777" w:rsidTr="0044486D">
        <w:trPr>
          <w:trHeight w:val="320"/>
        </w:trPr>
        <w:tc>
          <w:tcPr>
            <w:tcW w:w="34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DE41B"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lastRenderedPageBreak/>
              <w:t>Z-Scores</w:t>
            </w:r>
          </w:p>
        </w:tc>
        <w:tc>
          <w:tcPr>
            <w:tcW w:w="340" w:type="dxa"/>
            <w:tcBorders>
              <w:top w:val="nil"/>
              <w:left w:val="nil"/>
              <w:bottom w:val="nil"/>
              <w:right w:val="nil"/>
            </w:tcBorders>
            <w:shd w:val="clear" w:color="auto" w:fill="auto"/>
            <w:noWrap/>
            <w:vAlign w:val="bottom"/>
            <w:hideMark/>
          </w:tcPr>
          <w:p w14:paraId="6E949694" w14:textId="77777777" w:rsidR="0044486D" w:rsidRPr="0044486D" w:rsidRDefault="0044486D" w:rsidP="0044486D">
            <w:pPr>
              <w:jc w:val="center"/>
              <w:rPr>
                <w:rFonts w:ascii="Calibri" w:eastAsia="Times New Roman" w:hAnsi="Calibri" w:cs="Calibri"/>
                <w:color w:val="000000"/>
              </w:rPr>
            </w:pPr>
          </w:p>
        </w:tc>
        <w:tc>
          <w:tcPr>
            <w:tcW w:w="33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1A380"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P-Values</w:t>
            </w:r>
          </w:p>
        </w:tc>
      </w:tr>
      <w:tr w:rsidR="0044486D" w:rsidRPr="0044486D" w14:paraId="0A8F4CF4" w14:textId="77777777" w:rsidTr="0044486D">
        <w:trPr>
          <w:trHeight w:val="32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473ACB0"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Hispanic</w:t>
            </w:r>
          </w:p>
        </w:tc>
        <w:tc>
          <w:tcPr>
            <w:tcW w:w="1300" w:type="dxa"/>
            <w:tcBorders>
              <w:top w:val="nil"/>
              <w:left w:val="nil"/>
              <w:bottom w:val="single" w:sz="4" w:space="0" w:color="auto"/>
              <w:right w:val="single" w:sz="4" w:space="0" w:color="auto"/>
            </w:tcBorders>
            <w:shd w:val="clear" w:color="auto" w:fill="auto"/>
            <w:noWrap/>
            <w:vAlign w:val="center"/>
            <w:hideMark/>
          </w:tcPr>
          <w:p w14:paraId="14B4C451"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4.79</w:t>
            </w:r>
          </w:p>
        </w:tc>
        <w:tc>
          <w:tcPr>
            <w:tcW w:w="340" w:type="dxa"/>
            <w:tcBorders>
              <w:top w:val="nil"/>
              <w:left w:val="nil"/>
              <w:bottom w:val="nil"/>
              <w:right w:val="nil"/>
            </w:tcBorders>
            <w:shd w:val="clear" w:color="auto" w:fill="auto"/>
            <w:noWrap/>
            <w:vAlign w:val="bottom"/>
            <w:hideMark/>
          </w:tcPr>
          <w:p w14:paraId="75DC0BF3" w14:textId="77777777" w:rsidR="0044486D" w:rsidRPr="0044486D" w:rsidRDefault="0044486D" w:rsidP="0044486D">
            <w:pPr>
              <w:jc w:val="center"/>
              <w:rPr>
                <w:rFonts w:ascii="Calibri" w:eastAsia="Times New Roman" w:hAnsi="Calibri" w:cs="Calibri"/>
                <w:color w:val="000000"/>
              </w:rPr>
            </w:pPr>
          </w:p>
        </w:tc>
        <w:tc>
          <w:tcPr>
            <w:tcW w:w="2040" w:type="dxa"/>
            <w:tcBorders>
              <w:top w:val="nil"/>
              <w:left w:val="single" w:sz="4" w:space="0" w:color="auto"/>
              <w:bottom w:val="single" w:sz="4" w:space="0" w:color="auto"/>
              <w:right w:val="single" w:sz="4" w:space="0" w:color="auto"/>
            </w:tcBorders>
            <w:shd w:val="clear" w:color="auto" w:fill="auto"/>
            <w:noWrap/>
            <w:vAlign w:val="center"/>
            <w:hideMark/>
          </w:tcPr>
          <w:p w14:paraId="15C34FC8"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Hispanic</w:t>
            </w:r>
          </w:p>
        </w:tc>
        <w:tc>
          <w:tcPr>
            <w:tcW w:w="1300" w:type="dxa"/>
            <w:tcBorders>
              <w:top w:val="nil"/>
              <w:left w:val="nil"/>
              <w:bottom w:val="single" w:sz="4" w:space="0" w:color="auto"/>
              <w:right w:val="single" w:sz="4" w:space="0" w:color="auto"/>
            </w:tcBorders>
            <w:shd w:val="clear" w:color="auto" w:fill="auto"/>
            <w:noWrap/>
            <w:vAlign w:val="center"/>
            <w:hideMark/>
          </w:tcPr>
          <w:p w14:paraId="00D871B8"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1.65E-06</w:t>
            </w:r>
          </w:p>
        </w:tc>
      </w:tr>
      <w:tr w:rsidR="0044486D" w:rsidRPr="0044486D" w14:paraId="2308D909" w14:textId="77777777" w:rsidTr="0044486D">
        <w:trPr>
          <w:trHeight w:val="320"/>
        </w:trPr>
        <w:tc>
          <w:tcPr>
            <w:tcW w:w="2120" w:type="dxa"/>
            <w:vMerge w:val="restart"/>
            <w:tcBorders>
              <w:top w:val="nil"/>
              <w:left w:val="single" w:sz="4" w:space="0" w:color="auto"/>
              <w:bottom w:val="single" w:sz="4" w:space="0" w:color="auto"/>
              <w:right w:val="single" w:sz="4" w:space="0" w:color="auto"/>
            </w:tcBorders>
            <w:shd w:val="clear" w:color="auto" w:fill="auto"/>
            <w:vAlign w:val="bottom"/>
            <w:hideMark/>
          </w:tcPr>
          <w:p w14:paraId="3687ED75"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American Indian / Alaska Native</w:t>
            </w:r>
          </w:p>
        </w:tc>
        <w:tc>
          <w:tcPr>
            <w:tcW w:w="1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AD650E"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5.21</w:t>
            </w:r>
          </w:p>
        </w:tc>
        <w:tc>
          <w:tcPr>
            <w:tcW w:w="340" w:type="dxa"/>
            <w:tcBorders>
              <w:top w:val="nil"/>
              <w:left w:val="nil"/>
              <w:bottom w:val="nil"/>
              <w:right w:val="nil"/>
            </w:tcBorders>
            <w:shd w:val="clear" w:color="auto" w:fill="auto"/>
            <w:noWrap/>
            <w:vAlign w:val="bottom"/>
            <w:hideMark/>
          </w:tcPr>
          <w:p w14:paraId="720A8713" w14:textId="77777777" w:rsidR="0044486D" w:rsidRPr="0044486D" w:rsidRDefault="0044486D" w:rsidP="0044486D">
            <w:pPr>
              <w:jc w:val="center"/>
              <w:rPr>
                <w:rFonts w:ascii="Calibri" w:eastAsia="Times New Roman" w:hAnsi="Calibri" w:cs="Calibri"/>
                <w:color w:val="000000"/>
              </w:rPr>
            </w:pPr>
          </w:p>
        </w:tc>
        <w:tc>
          <w:tcPr>
            <w:tcW w:w="2040" w:type="dxa"/>
            <w:vMerge w:val="restart"/>
            <w:tcBorders>
              <w:top w:val="nil"/>
              <w:left w:val="single" w:sz="4" w:space="0" w:color="auto"/>
              <w:bottom w:val="single" w:sz="4" w:space="0" w:color="auto"/>
              <w:right w:val="single" w:sz="4" w:space="0" w:color="auto"/>
            </w:tcBorders>
            <w:shd w:val="clear" w:color="auto" w:fill="auto"/>
            <w:vAlign w:val="bottom"/>
            <w:hideMark/>
          </w:tcPr>
          <w:p w14:paraId="18ECDE90"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American Indian / Alaska Native</w:t>
            </w:r>
          </w:p>
        </w:tc>
        <w:tc>
          <w:tcPr>
            <w:tcW w:w="1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22FB20"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1.89E-07</w:t>
            </w:r>
          </w:p>
        </w:tc>
      </w:tr>
      <w:tr w:rsidR="0044486D" w:rsidRPr="0044486D" w14:paraId="3C5BAB2E" w14:textId="77777777" w:rsidTr="0044486D">
        <w:trPr>
          <w:trHeight w:val="320"/>
        </w:trPr>
        <w:tc>
          <w:tcPr>
            <w:tcW w:w="2120" w:type="dxa"/>
            <w:vMerge/>
            <w:tcBorders>
              <w:top w:val="nil"/>
              <w:left w:val="single" w:sz="4" w:space="0" w:color="auto"/>
              <w:bottom w:val="single" w:sz="4" w:space="0" w:color="auto"/>
              <w:right w:val="single" w:sz="4" w:space="0" w:color="auto"/>
            </w:tcBorders>
            <w:vAlign w:val="center"/>
            <w:hideMark/>
          </w:tcPr>
          <w:p w14:paraId="257B0304" w14:textId="77777777" w:rsidR="0044486D" w:rsidRPr="0044486D" w:rsidRDefault="0044486D" w:rsidP="0044486D">
            <w:pPr>
              <w:rPr>
                <w:rFonts w:ascii="Calibri" w:eastAsia="Times New Roman" w:hAnsi="Calibri" w:cs="Calibri"/>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B2F74A2" w14:textId="77777777" w:rsidR="0044486D" w:rsidRPr="0044486D" w:rsidRDefault="0044486D" w:rsidP="0044486D">
            <w:pPr>
              <w:rPr>
                <w:rFonts w:ascii="Calibri" w:eastAsia="Times New Roman" w:hAnsi="Calibri" w:cs="Calibri"/>
                <w:color w:val="000000"/>
              </w:rPr>
            </w:pPr>
          </w:p>
        </w:tc>
        <w:tc>
          <w:tcPr>
            <w:tcW w:w="340" w:type="dxa"/>
            <w:tcBorders>
              <w:top w:val="nil"/>
              <w:left w:val="nil"/>
              <w:bottom w:val="nil"/>
              <w:right w:val="nil"/>
            </w:tcBorders>
            <w:shd w:val="clear" w:color="auto" w:fill="auto"/>
            <w:noWrap/>
            <w:vAlign w:val="bottom"/>
            <w:hideMark/>
          </w:tcPr>
          <w:p w14:paraId="669A764B" w14:textId="77777777" w:rsidR="0044486D" w:rsidRPr="0044486D" w:rsidRDefault="0044486D" w:rsidP="0044486D">
            <w:pPr>
              <w:jc w:val="center"/>
              <w:rPr>
                <w:rFonts w:ascii="Calibri" w:eastAsia="Times New Roman" w:hAnsi="Calibri" w:cs="Calibri"/>
                <w:color w:val="000000"/>
              </w:rPr>
            </w:pPr>
          </w:p>
        </w:tc>
        <w:tc>
          <w:tcPr>
            <w:tcW w:w="2040" w:type="dxa"/>
            <w:vMerge/>
            <w:tcBorders>
              <w:top w:val="nil"/>
              <w:left w:val="single" w:sz="4" w:space="0" w:color="auto"/>
              <w:bottom w:val="single" w:sz="4" w:space="0" w:color="auto"/>
              <w:right w:val="single" w:sz="4" w:space="0" w:color="auto"/>
            </w:tcBorders>
            <w:vAlign w:val="center"/>
            <w:hideMark/>
          </w:tcPr>
          <w:p w14:paraId="4EB8F66F" w14:textId="77777777" w:rsidR="0044486D" w:rsidRPr="0044486D" w:rsidRDefault="0044486D" w:rsidP="0044486D">
            <w:pPr>
              <w:rPr>
                <w:rFonts w:ascii="Calibri" w:eastAsia="Times New Roman" w:hAnsi="Calibri" w:cs="Calibri"/>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28D2DC57" w14:textId="77777777" w:rsidR="0044486D" w:rsidRPr="0044486D" w:rsidRDefault="0044486D" w:rsidP="0044486D">
            <w:pPr>
              <w:rPr>
                <w:rFonts w:ascii="Calibri" w:eastAsia="Times New Roman" w:hAnsi="Calibri" w:cs="Calibri"/>
                <w:color w:val="000000"/>
              </w:rPr>
            </w:pPr>
          </w:p>
        </w:tc>
      </w:tr>
      <w:tr w:rsidR="0044486D" w:rsidRPr="0044486D" w14:paraId="14559FA0" w14:textId="77777777" w:rsidTr="0044486D">
        <w:trPr>
          <w:trHeight w:val="320"/>
        </w:trPr>
        <w:tc>
          <w:tcPr>
            <w:tcW w:w="2120" w:type="dxa"/>
            <w:vMerge w:val="restart"/>
            <w:tcBorders>
              <w:top w:val="nil"/>
              <w:left w:val="single" w:sz="4" w:space="0" w:color="auto"/>
              <w:bottom w:val="single" w:sz="4" w:space="0" w:color="auto"/>
              <w:right w:val="single" w:sz="4" w:space="0" w:color="auto"/>
            </w:tcBorders>
            <w:shd w:val="clear" w:color="auto" w:fill="auto"/>
            <w:vAlign w:val="center"/>
            <w:hideMark/>
          </w:tcPr>
          <w:p w14:paraId="23C2D8AF"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Asian or Pacific Islander</w:t>
            </w:r>
          </w:p>
        </w:tc>
        <w:tc>
          <w:tcPr>
            <w:tcW w:w="1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FF644E"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3.53</w:t>
            </w:r>
          </w:p>
        </w:tc>
        <w:tc>
          <w:tcPr>
            <w:tcW w:w="340" w:type="dxa"/>
            <w:tcBorders>
              <w:top w:val="nil"/>
              <w:left w:val="nil"/>
              <w:bottom w:val="nil"/>
              <w:right w:val="nil"/>
            </w:tcBorders>
            <w:shd w:val="clear" w:color="auto" w:fill="auto"/>
            <w:noWrap/>
            <w:vAlign w:val="bottom"/>
            <w:hideMark/>
          </w:tcPr>
          <w:p w14:paraId="54B7B6B0" w14:textId="77777777" w:rsidR="0044486D" w:rsidRPr="0044486D" w:rsidRDefault="0044486D" w:rsidP="0044486D">
            <w:pPr>
              <w:jc w:val="center"/>
              <w:rPr>
                <w:rFonts w:ascii="Calibri" w:eastAsia="Times New Roman" w:hAnsi="Calibri" w:cs="Calibri"/>
                <w:color w:val="000000"/>
              </w:rPr>
            </w:pPr>
          </w:p>
        </w:tc>
        <w:tc>
          <w:tcPr>
            <w:tcW w:w="2040" w:type="dxa"/>
            <w:vMerge w:val="restart"/>
            <w:tcBorders>
              <w:top w:val="nil"/>
              <w:left w:val="single" w:sz="4" w:space="0" w:color="auto"/>
              <w:bottom w:val="single" w:sz="4" w:space="0" w:color="auto"/>
              <w:right w:val="single" w:sz="4" w:space="0" w:color="auto"/>
            </w:tcBorders>
            <w:shd w:val="clear" w:color="auto" w:fill="auto"/>
            <w:vAlign w:val="center"/>
            <w:hideMark/>
          </w:tcPr>
          <w:p w14:paraId="26E85A2D"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Asian or Pacific Islander</w:t>
            </w:r>
          </w:p>
        </w:tc>
        <w:tc>
          <w:tcPr>
            <w:tcW w:w="1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D83AD4"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0.00041</w:t>
            </w:r>
          </w:p>
        </w:tc>
      </w:tr>
      <w:tr w:rsidR="0044486D" w:rsidRPr="0044486D" w14:paraId="19059A1C" w14:textId="77777777" w:rsidTr="0044486D">
        <w:trPr>
          <w:trHeight w:val="320"/>
        </w:trPr>
        <w:tc>
          <w:tcPr>
            <w:tcW w:w="2120" w:type="dxa"/>
            <w:vMerge/>
            <w:tcBorders>
              <w:top w:val="nil"/>
              <w:left w:val="single" w:sz="4" w:space="0" w:color="auto"/>
              <w:bottom w:val="single" w:sz="4" w:space="0" w:color="auto"/>
              <w:right w:val="single" w:sz="4" w:space="0" w:color="auto"/>
            </w:tcBorders>
            <w:vAlign w:val="center"/>
            <w:hideMark/>
          </w:tcPr>
          <w:p w14:paraId="33D970FA" w14:textId="77777777" w:rsidR="0044486D" w:rsidRPr="0044486D" w:rsidRDefault="0044486D" w:rsidP="0044486D">
            <w:pPr>
              <w:rPr>
                <w:rFonts w:ascii="Calibri" w:eastAsia="Times New Roman" w:hAnsi="Calibri" w:cs="Calibri"/>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7CFF4F9" w14:textId="77777777" w:rsidR="0044486D" w:rsidRPr="0044486D" w:rsidRDefault="0044486D" w:rsidP="0044486D">
            <w:pPr>
              <w:rPr>
                <w:rFonts w:ascii="Calibri" w:eastAsia="Times New Roman" w:hAnsi="Calibri" w:cs="Calibri"/>
                <w:color w:val="000000"/>
              </w:rPr>
            </w:pPr>
          </w:p>
        </w:tc>
        <w:tc>
          <w:tcPr>
            <w:tcW w:w="340" w:type="dxa"/>
            <w:tcBorders>
              <w:top w:val="nil"/>
              <w:left w:val="nil"/>
              <w:bottom w:val="nil"/>
              <w:right w:val="nil"/>
            </w:tcBorders>
            <w:shd w:val="clear" w:color="auto" w:fill="auto"/>
            <w:noWrap/>
            <w:vAlign w:val="bottom"/>
            <w:hideMark/>
          </w:tcPr>
          <w:p w14:paraId="3FF5B93E" w14:textId="77777777" w:rsidR="0044486D" w:rsidRPr="0044486D" w:rsidRDefault="0044486D" w:rsidP="0044486D">
            <w:pPr>
              <w:jc w:val="center"/>
              <w:rPr>
                <w:rFonts w:ascii="Calibri" w:eastAsia="Times New Roman" w:hAnsi="Calibri" w:cs="Calibri"/>
                <w:color w:val="000000"/>
              </w:rPr>
            </w:pPr>
          </w:p>
        </w:tc>
        <w:tc>
          <w:tcPr>
            <w:tcW w:w="2040" w:type="dxa"/>
            <w:vMerge/>
            <w:tcBorders>
              <w:top w:val="nil"/>
              <w:left w:val="single" w:sz="4" w:space="0" w:color="auto"/>
              <w:bottom w:val="single" w:sz="4" w:space="0" w:color="auto"/>
              <w:right w:val="single" w:sz="4" w:space="0" w:color="auto"/>
            </w:tcBorders>
            <w:vAlign w:val="center"/>
            <w:hideMark/>
          </w:tcPr>
          <w:p w14:paraId="50D04F9F" w14:textId="77777777" w:rsidR="0044486D" w:rsidRPr="0044486D" w:rsidRDefault="0044486D" w:rsidP="0044486D">
            <w:pPr>
              <w:rPr>
                <w:rFonts w:ascii="Calibri" w:eastAsia="Times New Roman" w:hAnsi="Calibri" w:cs="Calibri"/>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28B6744" w14:textId="77777777" w:rsidR="0044486D" w:rsidRPr="0044486D" w:rsidRDefault="0044486D" w:rsidP="0044486D">
            <w:pPr>
              <w:rPr>
                <w:rFonts w:ascii="Calibri" w:eastAsia="Times New Roman" w:hAnsi="Calibri" w:cs="Calibri"/>
                <w:color w:val="000000"/>
              </w:rPr>
            </w:pPr>
          </w:p>
        </w:tc>
      </w:tr>
      <w:tr w:rsidR="0044486D" w:rsidRPr="0044486D" w14:paraId="01A1BE33" w14:textId="77777777" w:rsidTr="0044486D">
        <w:trPr>
          <w:trHeight w:val="32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6F5E810" w14:textId="77777777" w:rsidR="0044486D" w:rsidRPr="0044486D" w:rsidRDefault="0044486D" w:rsidP="0044486D">
            <w:pPr>
              <w:rPr>
                <w:rFonts w:ascii="Calibri" w:eastAsia="Times New Roman" w:hAnsi="Calibri" w:cs="Calibri"/>
                <w:color w:val="000000"/>
              </w:rPr>
            </w:pPr>
            <w:r w:rsidRPr="0044486D">
              <w:rPr>
                <w:rFonts w:ascii="Calibri" w:eastAsia="Times New Roman" w:hAnsi="Calibri" w:cs="Calibri"/>
                <w:color w:val="000000"/>
              </w:rPr>
              <w:t>Non-Hispanic Black</w:t>
            </w:r>
          </w:p>
        </w:tc>
        <w:tc>
          <w:tcPr>
            <w:tcW w:w="1300" w:type="dxa"/>
            <w:tcBorders>
              <w:top w:val="nil"/>
              <w:left w:val="nil"/>
              <w:bottom w:val="single" w:sz="4" w:space="0" w:color="auto"/>
              <w:right w:val="single" w:sz="4" w:space="0" w:color="auto"/>
            </w:tcBorders>
            <w:shd w:val="clear" w:color="auto" w:fill="auto"/>
            <w:noWrap/>
            <w:vAlign w:val="center"/>
            <w:hideMark/>
          </w:tcPr>
          <w:p w14:paraId="22D450A8"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8.08</w:t>
            </w:r>
          </w:p>
        </w:tc>
        <w:tc>
          <w:tcPr>
            <w:tcW w:w="340" w:type="dxa"/>
            <w:tcBorders>
              <w:top w:val="nil"/>
              <w:left w:val="nil"/>
              <w:bottom w:val="nil"/>
              <w:right w:val="nil"/>
            </w:tcBorders>
            <w:shd w:val="clear" w:color="auto" w:fill="auto"/>
            <w:noWrap/>
            <w:vAlign w:val="bottom"/>
            <w:hideMark/>
          </w:tcPr>
          <w:p w14:paraId="46270244" w14:textId="77777777" w:rsidR="0044486D" w:rsidRPr="0044486D" w:rsidRDefault="0044486D" w:rsidP="0044486D">
            <w:pPr>
              <w:jc w:val="center"/>
              <w:rPr>
                <w:rFonts w:ascii="Calibri" w:eastAsia="Times New Roman" w:hAnsi="Calibri" w:cs="Calibri"/>
                <w:color w:val="000000"/>
              </w:rPr>
            </w:pPr>
          </w:p>
        </w:tc>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618EBE3F" w14:textId="77777777" w:rsidR="0044486D" w:rsidRPr="0044486D" w:rsidRDefault="0044486D" w:rsidP="0044486D">
            <w:pPr>
              <w:rPr>
                <w:rFonts w:ascii="Calibri" w:eastAsia="Times New Roman" w:hAnsi="Calibri" w:cs="Calibri"/>
                <w:color w:val="000000"/>
              </w:rPr>
            </w:pPr>
            <w:r w:rsidRPr="0044486D">
              <w:rPr>
                <w:rFonts w:ascii="Calibri" w:eastAsia="Times New Roman" w:hAnsi="Calibri" w:cs="Calibri"/>
                <w:color w:val="000000"/>
              </w:rPr>
              <w:t>Non-Hispanic Black</w:t>
            </w:r>
          </w:p>
        </w:tc>
        <w:tc>
          <w:tcPr>
            <w:tcW w:w="1300" w:type="dxa"/>
            <w:tcBorders>
              <w:top w:val="nil"/>
              <w:left w:val="nil"/>
              <w:bottom w:val="single" w:sz="4" w:space="0" w:color="auto"/>
              <w:right w:val="single" w:sz="4" w:space="0" w:color="auto"/>
            </w:tcBorders>
            <w:shd w:val="clear" w:color="auto" w:fill="auto"/>
            <w:noWrap/>
            <w:vAlign w:val="center"/>
            <w:hideMark/>
          </w:tcPr>
          <w:p w14:paraId="3C256508" w14:textId="77777777" w:rsidR="0044486D" w:rsidRPr="0044486D" w:rsidRDefault="0044486D" w:rsidP="0044486D">
            <w:pPr>
              <w:jc w:val="center"/>
              <w:rPr>
                <w:rFonts w:ascii="Calibri" w:eastAsia="Times New Roman" w:hAnsi="Calibri" w:cs="Calibri"/>
                <w:color w:val="000000"/>
              </w:rPr>
            </w:pPr>
            <w:r w:rsidRPr="0044486D">
              <w:rPr>
                <w:rFonts w:ascii="Calibri" w:eastAsia="Times New Roman" w:hAnsi="Calibri" w:cs="Calibri"/>
                <w:color w:val="000000"/>
              </w:rPr>
              <w:t>6.40E-16</w:t>
            </w:r>
          </w:p>
        </w:tc>
      </w:tr>
    </w:tbl>
    <w:p w14:paraId="1CB4984F" w14:textId="5743DE0C" w:rsidR="00347624" w:rsidRDefault="00347624" w:rsidP="00FF4878">
      <w:pPr>
        <w:rPr>
          <w:b/>
          <w:bCs/>
        </w:rPr>
      </w:pPr>
    </w:p>
    <w:p w14:paraId="61AA59E9" w14:textId="1D0A435F" w:rsidR="00347624" w:rsidRDefault="0044486D" w:rsidP="00FF4878">
      <w:pPr>
        <w:rPr>
          <w:b/>
          <w:bCs/>
        </w:rPr>
      </w:pPr>
      <w:r>
        <w:rPr>
          <w:b/>
          <w:bCs/>
        </w:rPr>
        <w:t>Figure 17</w:t>
      </w:r>
    </w:p>
    <w:p w14:paraId="2DC76509" w14:textId="557BD5B9" w:rsidR="0044486D" w:rsidRDefault="0044486D" w:rsidP="00FF4878">
      <w:pPr>
        <w:rPr>
          <w:b/>
          <w:bCs/>
        </w:rPr>
      </w:pPr>
    </w:p>
    <w:p w14:paraId="0AC2F0AE" w14:textId="395F9C86" w:rsidR="0044486D" w:rsidRPr="0044486D" w:rsidRDefault="0044486D" w:rsidP="00FF4878">
      <w:r>
        <w:t>The z-scores indicate how many standard deviations a value is from the mean while the p-value measures the probability that the measured effect is due to randomness. The p-values are all lower than the alpha of 0.05 indicating we can reject the null hypothesis and accept the alternative hypothesis that the race of patients affected their survival rate.</w:t>
      </w:r>
    </w:p>
    <w:p w14:paraId="2D78EE0D" w14:textId="77777777" w:rsidR="0044486D" w:rsidRDefault="0044486D" w:rsidP="00FF4878">
      <w:pPr>
        <w:rPr>
          <w:b/>
          <w:bCs/>
        </w:rPr>
      </w:pPr>
    </w:p>
    <w:p w14:paraId="42798088" w14:textId="4E58FBF5" w:rsidR="00EC4ED8" w:rsidRDefault="00EC4ED8" w:rsidP="00FF4878">
      <w:pPr>
        <w:rPr>
          <w:b/>
          <w:bCs/>
        </w:rPr>
      </w:pPr>
      <w:r>
        <w:rPr>
          <w:b/>
          <w:bCs/>
        </w:rPr>
        <w:t>Discussion</w:t>
      </w:r>
    </w:p>
    <w:p w14:paraId="0561CF18" w14:textId="24049234" w:rsidR="00EC4ED8" w:rsidRDefault="00EC4ED8" w:rsidP="00FF4878">
      <w:pPr>
        <w:rPr>
          <w:b/>
          <w:bCs/>
        </w:rPr>
      </w:pPr>
    </w:p>
    <w:p w14:paraId="5E69A058" w14:textId="474BA503" w:rsidR="0044486D" w:rsidRDefault="00EB3DB3" w:rsidP="00FF4878">
      <w:r>
        <w:t>Although we can conclude from the hypothesis test that race affected the survival rate in the samples, we cannot establish causation. This also does not indicate the correlation can be found in the population. Additional tests need to be done to make this correlation.</w:t>
      </w:r>
    </w:p>
    <w:p w14:paraId="40D74191" w14:textId="3C064CC4" w:rsidR="00EB3DB3" w:rsidRDefault="00EB3DB3" w:rsidP="00FF4878"/>
    <w:p w14:paraId="6B4B6AC3" w14:textId="3DF73C2E" w:rsidR="00EB3DB3" w:rsidRPr="0044486D" w:rsidRDefault="00EB3DB3" w:rsidP="00FF4878">
      <w:r>
        <w:t>Additional areas of focus would be on performing the same tests but standardizing the other variables. For example, choosing only patients with the same site of tumor, from counties that have the same median household income range and population. It would also be interesting to compare the tumor morphology and treatments given to these patients. These variables are more complex, and it would take additional time to fully comprehend the role they play in survival.</w:t>
      </w:r>
    </w:p>
    <w:p w14:paraId="4C8461B1" w14:textId="77777777" w:rsidR="0044486D" w:rsidRDefault="0044486D" w:rsidP="00FF4878">
      <w:pPr>
        <w:rPr>
          <w:b/>
          <w:bCs/>
        </w:rPr>
      </w:pPr>
    </w:p>
    <w:p w14:paraId="3B091CCB" w14:textId="7683952F" w:rsidR="00EC4ED8" w:rsidRPr="00EC4ED8" w:rsidRDefault="00EC4ED8" w:rsidP="00FF4878">
      <w:r>
        <w:rPr>
          <w:b/>
          <w:bCs/>
          <w:u w:val="single"/>
        </w:rPr>
        <w:t>Conclusion</w:t>
      </w:r>
    </w:p>
    <w:p w14:paraId="06C55990" w14:textId="5C09973E" w:rsidR="00EC4ED8" w:rsidRDefault="00EC4ED8" w:rsidP="00FF4878">
      <w:pPr>
        <w:rPr>
          <w:b/>
          <w:bCs/>
        </w:rPr>
      </w:pPr>
    </w:p>
    <w:p w14:paraId="76FC0C9F" w14:textId="2F317FC6" w:rsidR="00EC4ED8" w:rsidRDefault="00F02CD4" w:rsidP="00FF4878">
      <w:r>
        <w:t xml:space="preserve">Although there has been much progress in the survival rate of pediatric patients, there is still room for improvement. By examining the SEER data, researchers can gain a better understanding where these improvements should be focused. By examining the survival of patients according to tumor site, advances should be focused on better treatment and detection of brain cancer. A patient’s age can help </w:t>
      </w:r>
      <w:r w:rsidR="003A390B">
        <w:t xml:space="preserve">direct doctors what are the most likely areas a tumor might be located. Resources also can be allocated to assist patients with certain demographics so they may have the same chance of survival as those in other categories. </w:t>
      </w:r>
    </w:p>
    <w:p w14:paraId="18FFA806" w14:textId="22DDA089" w:rsidR="003A390B" w:rsidRDefault="003A390B" w:rsidP="00FF4878"/>
    <w:p w14:paraId="2B645DA5" w14:textId="04D89FF1" w:rsidR="005D49E1" w:rsidRDefault="003A390B" w:rsidP="00FF4878">
      <w:r>
        <w:t xml:space="preserve">Children who are diagnosed </w:t>
      </w:r>
      <w:r w:rsidR="00775328">
        <w:t xml:space="preserve">with </w:t>
      </w:r>
      <w:r>
        <w:t xml:space="preserve">cancer deserve to have </w:t>
      </w:r>
      <w:r w:rsidR="00775328">
        <w:t>every avenue explored so they are given the best chance to survive.</w:t>
      </w:r>
    </w:p>
    <w:p w14:paraId="057C9887" w14:textId="77777777" w:rsidR="005D49E1" w:rsidRDefault="005D49E1">
      <w:r>
        <w:br w:type="page"/>
      </w:r>
    </w:p>
    <w:p w14:paraId="3280511A" w14:textId="77777777" w:rsidR="005D49E1" w:rsidRPr="005D49E1" w:rsidRDefault="005D49E1" w:rsidP="005D49E1">
      <w:pPr>
        <w:jc w:val="center"/>
        <w:rPr>
          <w:rFonts w:cstheme="minorHAnsi"/>
        </w:rPr>
      </w:pPr>
      <w:r w:rsidRPr="005D49E1">
        <w:rPr>
          <w:rFonts w:cstheme="minorHAnsi"/>
        </w:rPr>
        <w:lastRenderedPageBreak/>
        <w:t>References</w:t>
      </w:r>
    </w:p>
    <w:p w14:paraId="7FB411AE" w14:textId="77777777" w:rsidR="005D49E1" w:rsidRPr="005D49E1" w:rsidRDefault="005D49E1" w:rsidP="005D49E1">
      <w:pPr>
        <w:jc w:val="center"/>
        <w:rPr>
          <w:rFonts w:cstheme="minorHAnsi"/>
        </w:rPr>
      </w:pPr>
    </w:p>
    <w:p w14:paraId="3A174C1A" w14:textId="77777777" w:rsidR="005D49E1" w:rsidRPr="005D49E1" w:rsidRDefault="005D49E1" w:rsidP="005D49E1">
      <w:pPr>
        <w:rPr>
          <w:rFonts w:eastAsia="Times New Roman" w:cstheme="minorHAnsi"/>
          <w:color w:val="212121"/>
          <w:shd w:val="clear" w:color="auto" w:fill="FFFFFF"/>
        </w:rPr>
      </w:pPr>
      <w:proofErr w:type="spellStart"/>
      <w:r w:rsidRPr="005D49E1">
        <w:rPr>
          <w:rFonts w:eastAsia="Times New Roman" w:cstheme="minorHAnsi"/>
          <w:color w:val="212121"/>
          <w:shd w:val="clear" w:color="auto" w:fill="FFFFFF"/>
        </w:rPr>
        <w:t>Kaatsch</w:t>
      </w:r>
      <w:proofErr w:type="spellEnd"/>
      <w:r w:rsidRPr="005D49E1">
        <w:rPr>
          <w:rFonts w:eastAsia="Times New Roman" w:cstheme="minorHAnsi"/>
          <w:color w:val="212121"/>
          <w:shd w:val="clear" w:color="auto" w:fill="FFFFFF"/>
        </w:rPr>
        <w:t xml:space="preserve"> P. Epidemiology of childhood cancer. Cancer Treat Rev. 2010 Jun;36(4):277-85. </w:t>
      </w:r>
      <w:proofErr w:type="spellStart"/>
      <w:r w:rsidRPr="005D49E1">
        <w:rPr>
          <w:rFonts w:eastAsia="Times New Roman" w:cstheme="minorHAnsi"/>
          <w:color w:val="212121"/>
          <w:shd w:val="clear" w:color="auto" w:fill="FFFFFF"/>
        </w:rPr>
        <w:t>doi</w:t>
      </w:r>
      <w:proofErr w:type="spellEnd"/>
      <w:r w:rsidRPr="005D49E1">
        <w:rPr>
          <w:rFonts w:eastAsia="Times New Roman" w:cstheme="minorHAnsi"/>
          <w:color w:val="212121"/>
          <w:shd w:val="clear" w:color="auto" w:fill="FFFFFF"/>
        </w:rPr>
        <w:t xml:space="preserve">: 10.1016/j.ctrv.2010.02.003. </w:t>
      </w:r>
      <w:proofErr w:type="spellStart"/>
      <w:r w:rsidRPr="005D49E1">
        <w:rPr>
          <w:rFonts w:eastAsia="Times New Roman" w:cstheme="minorHAnsi"/>
          <w:color w:val="212121"/>
          <w:shd w:val="clear" w:color="auto" w:fill="FFFFFF"/>
        </w:rPr>
        <w:t>Epub</w:t>
      </w:r>
      <w:proofErr w:type="spellEnd"/>
      <w:r w:rsidRPr="005D49E1">
        <w:rPr>
          <w:rFonts w:eastAsia="Times New Roman" w:cstheme="minorHAnsi"/>
          <w:color w:val="212121"/>
          <w:shd w:val="clear" w:color="auto" w:fill="FFFFFF"/>
        </w:rPr>
        <w:t xml:space="preserve"> 2010 Mar 15. PMID: 20231056.</w:t>
      </w:r>
    </w:p>
    <w:p w14:paraId="2ACF6015" w14:textId="77777777" w:rsidR="005D49E1" w:rsidRPr="005D49E1" w:rsidRDefault="005D49E1" w:rsidP="005D49E1">
      <w:pPr>
        <w:rPr>
          <w:rFonts w:eastAsia="Times New Roman" w:cstheme="minorHAnsi"/>
          <w:color w:val="212121"/>
          <w:shd w:val="clear" w:color="auto" w:fill="FFFFFF"/>
        </w:rPr>
      </w:pPr>
    </w:p>
    <w:p w14:paraId="70A5C8E9" w14:textId="77777777" w:rsidR="005D49E1" w:rsidRPr="005D49E1" w:rsidRDefault="005D49E1" w:rsidP="005D49E1">
      <w:pPr>
        <w:rPr>
          <w:rFonts w:eastAsia="Times New Roman" w:cstheme="minorHAnsi"/>
          <w:color w:val="212121"/>
          <w:shd w:val="clear" w:color="auto" w:fill="FFFFFF"/>
        </w:rPr>
      </w:pPr>
      <w:r w:rsidRPr="005D49E1">
        <w:rPr>
          <w:rFonts w:eastAsia="Times New Roman" w:cstheme="minorHAnsi"/>
          <w:color w:val="212121"/>
          <w:shd w:val="clear" w:color="auto" w:fill="FFFFFF"/>
        </w:rPr>
        <w:t xml:space="preserve">Kinsey SE, </w:t>
      </w:r>
      <w:proofErr w:type="spellStart"/>
      <w:r w:rsidRPr="005D49E1">
        <w:rPr>
          <w:rFonts w:eastAsia="Times New Roman" w:cstheme="minorHAnsi"/>
          <w:color w:val="212121"/>
          <w:shd w:val="clear" w:color="auto" w:fill="FFFFFF"/>
        </w:rPr>
        <w:t>Picton</w:t>
      </w:r>
      <w:proofErr w:type="spellEnd"/>
      <w:r w:rsidRPr="005D49E1">
        <w:rPr>
          <w:rFonts w:eastAsia="Times New Roman" w:cstheme="minorHAnsi"/>
          <w:color w:val="212121"/>
          <w:shd w:val="clear" w:color="auto" w:fill="FFFFFF"/>
        </w:rPr>
        <w:t xml:space="preserve"> SV. Childhood cancer in high resource settings. Cancer Epidemiol. 2021 Apr;71(Pt B):101838. </w:t>
      </w:r>
      <w:proofErr w:type="spellStart"/>
      <w:r w:rsidRPr="005D49E1">
        <w:rPr>
          <w:rFonts w:eastAsia="Times New Roman" w:cstheme="minorHAnsi"/>
          <w:color w:val="212121"/>
          <w:shd w:val="clear" w:color="auto" w:fill="FFFFFF"/>
        </w:rPr>
        <w:t>doi</w:t>
      </w:r>
      <w:proofErr w:type="spellEnd"/>
      <w:r w:rsidRPr="005D49E1">
        <w:rPr>
          <w:rFonts w:eastAsia="Times New Roman" w:cstheme="minorHAnsi"/>
          <w:color w:val="212121"/>
          <w:shd w:val="clear" w:color="auto" w:fill="FFFFFF"/>
        </w:rPr>
        <w:t xml:space="preserve">: 10.1016/j.canep.2020.101838. </w:t>
      </w:r>
      <w:proofErr w:type="spellStart"/>
      <w:r w:rsidRPr="005D49E1">
        <w:rPr>
          <w:rFonts w:eastAsia="Times New Roman" w:cstheme="minorHAnsi"/>
          <w:color w:val="212121"/>
          <w:shd w:val="clear" w:color="auto" w:fill="FFFFFF"/>
        </w:rPr>
        <w:t>Epub</w:t>
      </w:r>
      <w:proofErr w:type="spellEnd"/>
      <w:r w:rsidRPr="005D49E1">
        <w:rPr>
          <w:rFonts w:eastAsia="Times New Roman" w:cstheme="minorHAnsi"/>
          <w:color w:val="212121"/>
          <w:shd w:val="clear" w:color="auto" w:fill="FFFFFF"/>
        </w:rPr>
        <w:t xml:space="preserve"> 2021 Jan 22. PMID: 33495096.</w:t>
      </w:r>
    </w:p>
    <w:p w14:paraId="23199732" w14:textId="77777777" w:rsidR="005D49E1" w:rsidRPr="005D49E1" w:rsidRDefault="005D49E1" w:rsidP="005D49E1">
      <w:pPr>
        <w:rPr>
          <w:rFonts w:eastAsia="Times New Roman" w:cstheme="minorHAnsi"/>
          <w:color w:val="212121"/>
          <w:shd w:val="clear" w:color="auto" w:fill="FFFFFF"/>
        </w:rPr>
      </w:pPr>
    </w:p>
    <w:p w14:paraId="27CA1914" w14:textId="77777777" w:rsidR="005D49E1" w:rsidRPr="005D49E1" w:rsidRDefault="005D49E1" w:rsidP="005D49E1">
      <w:pPr>
        <w:rPr>
          <w:rFonts w:eastAsia="Times New Roman" w:cstheme="minorHAnsi"/>
        </w:rPr>
      </w:pPr>
      <w:r w:rsidRPr="005D49E1">
        <w:rPr>
          <w:rFonts w:eastAsia="Times New Roman" w:cstheme="minorHAnsi"/>
          <w:color w:val="1C1D1E"/>
          <w:shd w:val="clear" w:color="auto" w:fill="FFFFFF"/>
        </w:rPr>
        <w:t>Ward, E., DeSantis, C., Robbins, A., Kohler, B. and Jemal, A. (2014), Childhood and adolescent cancer statistics, 2014. CA A Cancer Journal for Clinicians, 64: 83-103. </w:t>
      </w:r>
      <w:hyperlink r:id="rId19" w:history="1">
        <w:r w:rsidRPr="005D49E1">
          <w:rPr>
            <w:rFonts w:eastAsia="Times New Roman" w:cstheme="minorHAnsi"/>
            <w:color w:val="000000"/>
            <w:u w:val="single"/>
            <w:shd w:val="clear" w:color="auto" w:fill="FFFFFF"/>
          </w:rPr>
          <w:t>https://doi.org/10.3322/caac.21219</w:t>
        </w:r>
      </w:hyperlink>
    </w:p>
    <w:p w14:paraId="0F30EBC9" w14:textId="77777777" w:rsidR="005D49E1" w:rsidRPr="00AA2896" w:rsidRDefault="005D49E1" w:rsidP="005D49E1">
      <w:pPr>
        <w:rPr>
          <w:rFonts w:ascii="Times New Roman" w:hAnsi="Times New Roman" w:cs="Times New Roman"/>
        </w:rPr>
      </w:pPr>
    </w:p>
    <w:p w14:paraId="748747C1" w14:textId="77777777" w:rsidR="003A390B" w:rsidRPr="00EB3DB3" w:rsidRDefault="003A390B" w:rsidP="00FF4878"/>
    <w:sectPr w:rsidR="003A390B" w:rsidRPr="00EB3DB3" w:rsidSect="00D205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A79"/>
    <w:rsid w:val="00003798"/>
    <w:rsid w:val="00051678"/>
    <w:rsid w:val="0009126F"/>
    <w:rsid w:val="00107AA0"/>
    <w:rsid w:val="0016163F"/>
    <w:rsid w:val="00180676"/>
    <w:rsid w:val="00246DFD"/>
    <w:rsid w:val="00347624"/>
    <w:rsid w:val="003A390B"/>
    <w:rsid w:val="0044486D"/>
    <w:rsid w:val="00472821"/>
    <w:rsid w:val="00477620"/>
    <w:rsid w:val="004B4E80"/>
    <w:rsid w:val="005D49E1"/>
    <w:rsid w:val="00641436"/>
    <w:rsid w:val="006C680D"/>
    <w:rsid w:val="00761D49"/>
    <w:rsid w:val="00767BF1"/>
    <w:rsid w:val="00775328"/>
    <w:rsid w:val="0080682E"/>
    <w:rsid w:val="008069E6"/>
    <w:rsid w:val="00810159"/>
    <w:rsid w:val="00822637"/>
    <w:rsid w:val="008A59FD"/>
    <w:rsid w:val="00905A79"/>
    <w:rsid w:val="00974B36"/>
    <w:rsid w:val="00986F1D"/>
    <w:rsid w:val="009B5189"/>
    <w:rsid w:val="009D0CAC"/>
    <w:rsid w:val="00A85C00"/>
    <w:rsid w:val="00BE0940"/>
    <w:rsid w:val="00D205B5"/>
    <w:rsid w:val="00E928ED"/>
    <w:rsid w:val="00EB3DB3"/>
    <w:rsid w:val="00EC4ED8"/>
    <w:rsid w:val="00F02CD4"/>
    <w:rsid w:val="00F16DC0"/>
    <w:rsid w:val="00F86D40"/>
    <w:rsid w:val="00FE0F97"/>
    <w:rsid w:val="00FF4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A3989"/>
  <w15:chartTrackingRefBased/>
  <w15:docId w15:val="{77F3791E-8ACC-574C-823C-065380A1F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877884">
      <w:bodyDiv w:val="1"/>
      <w:marLeft w:val="0"/>
      <w:marRight w:val="0"/>
      <w:marTop w:val="0"/>
      <w:marBottom w:val="0"/>
      <w:divBdr>
        <w:top w:val="none" w:sz="0" w:space="0" w:color="auto"/>
        <w:left w:val="none" w:sz="0" w:space="0" w:color="auto"/>
        <w:bottom w:val="none" w:sz="0" w:space="0" w:color="auto"/>
        <w:right w:val="none" w:sz="0" w:space="0" w:color="auto"/>
      </w:divBdr>
    </w:div>
    <w:div w:id="1258641028">
      <w:bodyDiv w:val="1"/>
      <w:marLeft w:val="0"/>
      <w:marRight w:val="0"/>
      <w:marTop w:val="0"/>
      <w:marBottom w:val="0"/>
      <w:divBdr>
        <w:top w:val="none" w:sz="0" w:space="0" w:color="auto"/>
        <w:left w:val="none" w:sz="0" w:space="0" w:color="auto"/>
        <w:bottom w:val="none" w:sz="0" w:space="0" w:color="auto"/>
        <w:right w:val="none" w:sz="0" w:space="0" w:color="auto"/>
      </w:divBdr>
    </w:div>
    <w:div w:id="165579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doi.org/10.3322/caac.21219"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1655</Words>
  <Characters>9437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Teresa Marie</dc:creator>
  <cp:keywords/>
  <dc:description/>
  <cp:lastModifiedBy>Cameron, Teresa Marie</cp:lastModifiedBy>
  <cp:revision>2</cp:revision>
  <dcterms:created xsi:type="dcterms:W3CDTF">2022-10-11T20:26:00Z</dcterms:created>
  <dcterms:modified xsi:type="dcterms:W3CDTF">2022-10-11T20:26:00Z</dcterms:modified>
</cp:coreProperties>
</file>