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AWS Certified AI Practitioner Training (AIF-C01)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TGS-2024049338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29 Sep 2024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New Format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Oct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Update company name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Realigned to official AIF-C01 exam domains; teaching order follows the deck (Domain 1–5) with contiguous slide ranges; Slides column populated from the built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Reformatted to the current house lesson-plan layout (Course Information, Learning Outcomes, Learning Reinforcement, Course Schedule, Lab Reference); day-by-day schedule as Time / Duration / Topic-Activity with a Slides column retained; Lab Reference table maps each exam domain, its weighting and its labs. Deck and 2-day / 14-hour duration unchanged.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3FB"/>
          </w:tcPr>
          <w:p>
            <w:r/>
            <w:r>
              <w:rPr>
                <w:rFonts w:ascii="Arial" w:hAnsi="Arial"/>
                <w:b/>
                <w:sz w:val="19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AWS Certified AI Practitioner (AIF-C01)</w:t>
            </w:r>
          </w:p>
        </w:tc>
      </w:tr>
      <w:tr>
        <w:tc>
          <w:tcPr>
            <w:tcW w:type="dxa" w:w="4320"/>
            <w:shd w:val="clear" w:color="auto" w:fill="EEF3FB"/>
          </w:tcPr>
          <w:p>
            <w:r/>
            <w:r>
              <w:rPr>
                <w:rFonts w:ascii="Arial" w:hAnsi="Arial"/>
                <w:b/>
                <w:sz w:val="19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TGS-2024049338</w:t>
            </w:r>
          </w:p>
        </w:tc>
      </w:tr>
      <w:tr>
        <w:tc>
          <w:tcPr>
            <w:tcW w:type="dxa" w:w="4320"/>
            <w:shd w:val="clear" w:color="auto" w:fill="EEF3FB"/>
          </w:tcPr>
          <w:p>
            <w:r/>
            <w:r>
              <w:rPr>
                <w:rFonts w:ascii="Arial" w:hAnsi="Arial"/>
                <w:b/>
                <w:sz w:val="19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Tertiary Infotech Academy Pte Ltd (UEN 201200696W)</w:t>
            </w:r>
          </w:p>
        </w:tc>
      </w:tr>
      <w:tr>
        <w:tc>
          <w:tcPr>
            <w:tcW w:type="dxa" w:w="4320"/>
            <w:shd w:val="clear" w:color="auto" w:fill="EEF3FB"/>
          </w:tcPr>
          <w:p>
            <w:r/>
            <w:r>
              <w:rPr>
                <w:rFonts w:ascii="Arial" w:hAnsi="Arial"/>
                <w:b/>
                <w:sz w:val="19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2 days — 7 training hours per day (14 training hours + 2 assessment hours)</w:t>
            </w:r>
          </w:p>
        </w:tc>
      </w:tr>
      <w:tr>
        <w:tc>
          <w:tcPr>
            <w:tcW w:type="dxa" w:w="4320"/>
            <w:shd w:val="clear" w:color="auto" w:fill="EEF3FB"/>
          </w:tcPr>
          <w:p>
            <w:r/>
            <w:r>
              <w:rPr>
                <w:rFonts w:ascii="Arial" w:hAnsi="Arial"/>
                <w:b/>
                <w:sz w:val="19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9:00 AM – 6:00 PM (1-hour lunch; tea breaks within training). Day 2 runs to 6:40 PM to include the assessment.</w:t>
            </w:r>
          </w:p>
        </w:tc>
      </w:tr>
      <w:tr>
        <w:tc>
          <w:tcPr>
            <w:tcW w:type="dxa" w:w="4320"/>
            <w:shd w:val="clear" w:color="auto" w:fill="EEF3FB"/>
          </w:tcPr>
          <w:p>
            <w:r/>
            <w:r>
              <w:rPr>
                <w:rFonts w:ascii="Arial" w:hAnsi="Arial"/>
                <w:b/>
                <w:sz w:val="19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Instructor-led, with demonstrations and hands-on labs in the learner's own AWS account</w:t>
            </w:r>
          </w:p>
        </w:tc>
      </w:tr>
      <w:tr>
        <w:tc>
          <w:tcPr>
            <w:tcW w:type="dxa" w:w="4320"/>
            <w:shd w:val="clear" w:color="auto" w:fill="EEF3FB"/>
          </w:tcPr>
          <w:p>
            <w:r/>
            <w:r>
              <w:rPr>
                <w:rFonts w:ascii="Arial" w:hAnsi="Arial"/>
                <w:b/>
                <w:sz w:val="19"/>
              </w:rPr>
              <w:t>Prerequisites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Basic IT literacy; an AWS account with Amazon Bedrock model access requested</w:t>
            </w:r>
          </w:p>
        </w:tc>
      </w:tr>
      <w:tr>
        <w:tc>
          <w:tcPr>
            <w:tcW w:type="dxa" w:w="4320"/>
            <w:shd w:val="clear" w:color="auto" w:fill="EEF3FB"/>
          </w:tcPr>
          <w:p>
            <w:r/>
            <w:r>
              <w:rPr>
                <w:rFonts w:ascii="Arial" w:hAnsi="Arial"/>
                <w:b/>
                <w:sz w:val="19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AWS Management Console, AWS CLI, Amazon Bedrock, SageMaker, Amazon Q Business, Amazon Macie, and the 25 course labs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color w:val="1F6FEB"/>
          <w:sz w:val="22"/>
        </w:rPr>
        <w:t>Course Overview</w:t>
      </w:r>
    </w:p>
    <w:p>
      <w:pPr>
        <w:spacing w:after="80"/>
      </w:pPr>
      <w:r>
        <w:rPr>
          <w:rFonts w:ascii="Arial" w:hAnsi="Arial"/>
          <w:b w:val="0"/>
          <w:color w:val="111827"/>
          <w:sz w:val="20"/>
        </w:rPr>
        <w:t>This 2-day hands-on course prepares participants for the AWS Certified AI Practitioner (AIF-C01) certification. Through instructor-led sessions and 25 structured labs, participants gain practical skills across the five official exam domains: Fundamentals of AI and ML (20%); Fundamentals of Generative AI (24%); Applications of Foundation Models (28%); Guidelines for Responsible AI (14%); and Security, Compliance and Governance for AI Solutions (14%).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 — Implement AI applications with Amazon Q Business and AWS AI models.</w:t>
      </w:r>
    </w:p>
    <w:p>
      <w:pPr>
        <w:pStyle w:val="ListBullet"/>
      </w:pPr>
      <w:r>
        <w:t>LO2 — Deploy AWS AI Bedrock workflows according to plan and machine learning techniques.</w:t>
      </w:r>
    </w:p>
    <w:p>
      <w:pPr>
        <w:pStyle w:val="ListBullet"/>
      </w:pPr>
      <w:r>
        <w:t>LO3 — Identify and report issues with AI applications, data and implementation procedures.</w:t>
      </w:r>
    </w:p>
    <w:p>
      <w:pPr>
        <w:pStyle w:val="ListBullet"/>
      </w:pPr>
      <w:r>
        <w:t>LO4 — Maintain data interoperability during AI development per data-management principles.</w:t>
      </w:r>
    </w:p>
    <w:p>
      <w:pPr>
        <w:pStyle w:val="ListBullet"/>
      </w:pPr>
      <w:r>
        <w:t>LO5 — Perform data cleaning techniques to optimise AWS foundation models.</w:t>
      </w:r>
    </w:p>
    <w:p>
      <w:pPr>
        <w:pStyle w:val="Heading1"/>
      </w:pPr>
      <w:r>
        <w:t>Learning Reinforcement</w:t>
      </w:r>
    </w:p>
    <w:p>
      <w:pPr>
        <w:spacing w:after="80"/>
      </w:pPr>
      <w:r>
        <w:rPr>
          <w:rFonts w:ascii="Arial" w:hAnsi="Arial"/>
          <w:b w:val="0"/>
          <w:color w:val="111827"/>
          <w:sz w:val="20"/>
        </w:rPr>
        <w:t>Learning is reinforced continuously in class rather than through theory alone: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Every concept is followed by a hands-on lab that applies it in the learner's own AWS account.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Each lab ends with a verification step so learners confirm their own output before moving on.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Lab outputs build toward the practical assessment — the same techniques are re-used in the case-study tasks (A1–A5).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Labs that create billing resources include a cost warning and a cleanup step.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Day 2 closes with the WSQ written and practical assessments and a recap against the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Domains 1 &amp; 2 (Fundamentals of AI/ML and Generative 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9:00 – 9:15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Registration &amp; Digital Attendance (AM) — trainer/learner intro, course structure, AWS account &amp; Bedrock model-access check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1–22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9:15 – 9:45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DOMAIN 1 — Fundamentals of AI and ML (20%)</w:t>
            </w:r>
          </w:p>
          <w:p>
            <w:r>
              <w:rPr>
                <w:rFonts w:ascii="Arial" w:hAnsi="Arial"/>
                <w:sz w:val="18"/>
              </w:rPr>
              <w:t>Lecture: AI vs ML vs deep learning; learning types; inferencing; data types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24–51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9:45 – 10:30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45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Lab 1: AI, ML and Deep Learning Terminology [Demo]</w:t>
            </w:r>
          </w:p>
          <w:p>
            <w:r>
              <w:rPr>
                <w:rFonts w:ascii="Arial" w:hAnsi="Arial"/>
                <w:sz w:val="18"/>
              </w:rPr>
              <w:t>Lab 2: Data Types and Labelling for ML [Demo]</w:t>
            </w:r>
          </w:p>
          <w:p>
            <w:r>
              <w:rPr>
                <w:rFonts w:ascii="Arial" w:hAnsi="Arial"/>
                <w:sz w:val="18"/>
              </w:rPr>
              <w:t>Guided walkthrough; full labs self-paced in own account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25–51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10:30 – 10:45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Tea Break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10:45 – 11:45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Lecture: AI use cases &amp; AWS managed AI services; ML development lifecycle</w:t>
            </w:r>
          </w:p>
          <w:p>
            <w:r>
              <w:rPr>
                <w:rFonts w:ascii="Arial" w:hAnsi="Arial"/>
                <w:sz w:val="18"/>
              </w:rPr>
              <w:t>Lab 3: AWS Managed AI Services Tour [Demo]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52–135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11:45 – 12:15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Lab 4: Train and Deploy a Model with SageMaker [Self-paced]</w:t>
            </w:r>
          </w:p>
          <w:p>
            <w:r>
              <w:rPr>
                <w:rFonts w:ascii="Arial" w:hAnsi="Arial"/>
                <w:sz w:val="18"/>
              </w:rPr>
              <w:t>Lab 5: The ML Pipeline and Data Preparation [Self-paced]</w:t>
            </w:r>
          </w:p>
          <w:p>
            <w:r>
              <w:rPr>
                <w:rFonts w:ascii="Arial" w:hAnsi="Arial"/>
                <w:sz w:val="18"/>
              </w:rPr>
              <w:t>Overview + cost/cleanup briefing; run self-paced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84–135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12:15 – 1:15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Lunch Break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1:15 – 1:25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Digital Attendance (PM)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1:25 – 2:25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DOMAIN 2 — Fundamentals of Generative AI (24%)</w:t>
            </w:r>
          </w:p>
          <w:p>
            <w:r>
              <w:rPr>
                <w:rFonts w:ascii="Arial" w:hAnsi="Arial"/>
                <w:sz w:val="18"/>
              </w:rPr>
              <w:t>Lecture: foundation models; generative AI concepts; tokens &amp; embeddings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136–164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2:25 – 3:10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45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Lab 6: Amazon Bedrock Getting Started [Demo]</w:t>
            </w:r>
          </w:p>
          <w:p>
            <w:r>
              <w:rPr>
                <w:rFonts w:ascii="Arial" w:hAnsi="Arial"/>
                <w:sz w:val="18"/>
              </w:rPr>
              <w:t>Lab 7: Comparing Foundation Models and Inference Parameters [Demo]</w:t>
            </w:r>
          </w:p>
          <w:p>
            <w:r>
              <w:rPr>
                <w:rFonts w:ascii="Arial" w:hAnsi="Arial"/>
                <w:sz w:val="18"/>
              </w:rPr>
              <w:t>Lab 8: Tokens, Embeddings and Vector Representations [Demo]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137–164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3:10 – 3:25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Tea Break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3:25 – 4:25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Lecture: capabilities vs limitations; AWS infra for GenAI; service selection</w:t>
            </w:r>
          </w:p>
          <w:p>
            <w:r>
              <w:rPr>
                <w:rFonts w:ascii="Arial" w:hAnsi="Arial"/>
                <w:sz w:val="18"/>
              </w:rPr>
              <w:t>Lab 9: Generative AI Capabilities and Limitations [Demo]</w:t>
            </w:r>
          </w:p>
          <w:p>
            <w:r>
              <w:rPr>
                <w:rFonts w:ascii="Arial" w:hAnsi="Arial"/>
                <w:sz w:val="18"/>
              </w:rPr>
              <w:t>Lab 10: Choosing Bedrock, SageMaker JumpStart or a Managed Service [Demo]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165–182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4:25 – 5:05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40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Lab 11: Amazon Q Business Getting Started [Self-paced]</w:t>
            </w:r>
          </w:p>
          <w:p>
            <w:r>
              <w:rPr>
                <w:rFonts w:ascii="Arial" w:hAnsi="Arial"/>
                <w:sz w:val="18"/>
              </w:rPr>
              <w:t>Overview; run self-paced in own account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173–182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5:05 – 5:50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45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Case Study — Generative AI adoption (Retail / Amazon Q Business)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137–182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5:50 – 6:00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Day 1 Review &amp; Q&amp;A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Day 2 — Domains 3, 4 &amp; 5 +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9:00 – 9:10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Digital Attendance (AM) — Day 1 recap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9:10 – 10:10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DOMAIN 3 — Applications of Foundation Models (28%)</w:t>
            </w:r>
          </w:p>
          <w:p>
            <w:r>
              <w:rPr>
                <w:rFonts w:ascii="Arial" w:hAnsi="Arial"/>
                <w:sz w:val="18"/>
              </w:rPr>
              <w:t>Lecture: design considerations; prompt engineering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183–235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10:10 – 10:55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45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Lab 12: Prompt Engineering Basics — Zero-Shot and Few-Shot [Demo]</w:t>
            </w:r>
          </w:p>
          <w:p>
            <w:r>
              <w:rPr>
                <w:rFonts w:ascii="Arial" w:hAnsi="Arial"/>
                <w:sz w:val="18"/>
              </w:rPr>
              <w:t>Lab 13: Advanced Prompting and Prompt Templates [Demo]</w:t>
            </w:r>
          </w:p>
          <w:p>
            <w:r>
              <w:rPr>
                <w:rFonts w:ascii="Arial" w:hAnsi="Arial"/>
                <w:sz w:val="18"/>
              </w:rPr>
              <w:t>Lab 14: Prompt Misuse, Injection and Defences [Demo]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210–235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10:55 – 11:10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Tea Break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11:10 – 12:10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Lecture: RAG; fine-tuning; model evaluation</w:t>
            </w:r>
          </w:p>
          <w:p>
            <w:r>
              <w:rPr>
                <w:rFonts w:ascii="Arial" w:hAnsi="Arial"/>
                <w:sz w:val="18"/>
              </w:rPr>
              <w:t>Lab 15: RAG with Knowledge Bases for Amazon Bedrock [Self-paced]</w:t>
            </w:r>
          </w:p>
          <w:p>
            <w:r>
              <w:rPr>
                <w:rFonts w:ascii="Arial" w:hAnsi="Arial"/>
                <w:sz w:val="18"/>
              </w:rPr>
              <w:t>Lab 16: Vector Stores and Retrieval Quality [Self-paced]</w:t>
            </w:r>
          </w:p>
          <w:p>
            <w:r>
              <w:rPr>
                <w:rFonts w:ascii="Arial" w:hAnsi="Arial"/>
                <w:sz w:val="18"/>
              </w:rPr>
              <w:t>Overview + cost/cleanup briefing; run self-paced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184–271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12:10 – 1:10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Lunch Break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1:10 – 1:20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Digital Attendance (PM)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1:20 – 1:50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Lab 17: Fine-Tuning and Model Customisation [Self-paced]</w:t>
            </w:r>
          </w:p>
          <w:p>
            <w:r>
              <w:rPr>
                <w:rFonts w:ascii="Arial" w:hAnsi="Arial"/>
                <w:sz w:val="18"/>
              </w:rPr>
              <w:t>Lab 18: Evaluating Foundation Model Performance [Self-paced]</w:t>
            </w:r>
          </w:p>
          <w:p>
            <w:r>
              <w:rPr>
                <w:rFonts w:ascii="Arial" w:hAnsi="Arial"/>
                <w:sz w:val="18"/>
              </w:rPr>
              <w:t>Overview; run self-paced (Lab 17 config only — do not provision)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236–247, 248–271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1:50 – 2:40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50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DOMAIN 4 — Guidelines for Responsible AI (14%)</w:t>
            </w:r>
          </w:p>
          <w:p>
            <w:r>
              <w:rPr>
                <w:rFonts w:ascii="Arial" w:hAnsi="Arial"/>
                <w:sz w:val="18"/>
              </w:rPr>
              <w:t>Lecture: responsible AI dimensions; transparency &amp; explainability</w:t>
            </w:r>
          </w:p>
          <w:p>
            <w:r>
              <w:rPr>
                <w:rFonts w:ascii="Arial" w:hAnsi="Arial"/>
                <w:sz w:val="18"/>
              </w:rPr>
              <w:t>Lab 19: Amazon Bedrock Guardrails [Demo]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272–297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2:40 – 3:20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40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Lab 20: Bias Detection with SageMaker Clarify [Self-paced]</w:t>
            </w:r>
          </w:p>
          <w:p>
            <w:r>
              <w:rPr>
                <w:rFonts w:ascii="Arial" w:hAnsi="Arial"/>
                <w:sz w:val="18"/>
              </w:rPr>
              <w:t>Lab 21: Explainability and Feature Attribution [Demo]</w:t>
            </w:r>
          </w:p>
          <w:p>
            <w:r>
              <w:rPr>
                <w:rFonts w:ascii="Arial" w:hAnsi="Arial"/>
                <w:sz w:val="18"/>
              </w:rPr>
              <w:t>Lab 22: Model Cards and Transparency [Demo]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273–284, 285–297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3:20 – 3:35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Tea Break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3:35 – 4:25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50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DOMAIN 5 — Security, Compliance &amp; Governance (14%)</w:t>
            </w:r>
          </w:p>
          <w:p>
            <w:r>
              <w:rPr>
                <w:rFonts w:ascii="Arial" w:hAnsi="Arial"/>
                <w:sz w:val="18"/>
              </w:rPr>
              <w:t>Lecture: securing AI; governance &amp; compliance</w:t>
            </w:r>
          </w:p>
          <w:p>
            <w:r>
              <w:rPr>
                <w:rFonts w:ascii="Arial" w:hAnsi="Arial"/>
                <w:sz w:val="18"/>
              </w:rPr>
              <w:t>Lab 23: Securing AI Workloads with IAM and KMS [Self-paced]</w:t>
            </w:r>
          </w:p>
          <w:p>
            <w:r>
              <w:rPr>
                <w:rFonts w:ascii="Arial" w:hAnsi="Arial"/>
                <w:sz w:val="18"/>
              </w:rPr>
              <w:t>Lab 24: Data Protection with Amazon Macie [Self-paced]</w:t>
            </w:r>
          </w:p>
          <w:p>
            <w:r>
              <w:rPr>
                <w:rFonts w:ascii="Arial" w:hAnsi="Arial"/>
                <w:sz w:val="18"/>
              </w:rPr>
              <w:t>Lab 25: Governance, Audit and Model Lineage [Demo]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298–374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4:25 – 4:40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Assessment Briefing — WSQ assessment instructions and rules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284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4:40 – 5:40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WSQ Written Assessment — Short-Answer Questions (WA-SAQ), 11 questions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368–374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5:40 – 6:40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WSQ Practical Assessment (CS) — lab-based practical tasks A1–A5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6:40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Assessment submission &amp; close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Lab Reference (aligned to the exam domains)</w:t>
      </w:r>
    </w:p>
    <w:p>
      <w:pPr>
        <w:spacing w:after="80"/>
      </w:pPr>
      <w:r>
        <w:rPr>
          <w:rFonts w:ascii="Arial" w:hAnsi="Arial"/>
          <w:b w:val="0"/>
          <w:color w:val="111827"/>
          <w:sz w:val="20"/>
        </w:rPr>
        <w:t>All 25 hands-on labs mirror the slide deck and Learner Guide. Labs tagged [Demo] are walked through in class; labs tagged [Self-paced] are completed in the learner's own AWS account (several create billing resources — always complete the cleanup step).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Exam Domain / Topic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Weighting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Labs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DOMAIN 1: Fundamentals of AI and ML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Lab 1, Lab 2, Lab 3, Lab 4, Lab 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25–51, 52–83, 84–135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DOMAIN 2: Fundamentals of Generative AI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24%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Lab 6, Lab 7, Lab 8, Lab 9, Lab 10, Lab 11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137–164, 165–172, 173–182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DOMAIN 3: Applications of Foundation Models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28%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Lab 12, Lab 13, Lab 14, Lab 15, Lab 16, Lab 17, Lab 18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184–209, 210–235, 236–247, 248–271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DOMAIN 4: Guidelines for Responsible AI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14%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Lab 19, Lab 20, Lab 21, Lab 22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273–284, 285–297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DOMAIN 5: Security, Compliance, and Governance for AI Solutions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14%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Lab 23, Lab 24, Lab 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299–333, 334–374</w:t>
            </w:r>
          </w:p>
        </w:tc>
      </w:tr>
    </w:tbl>
    <w:p/>
    <w:p>
      <w:pPr>
        <w:pStyle w:val="Heading1"/>
      </w:pPr>
      <w:r>
        <w:t>Assessment</w:t>
      </w:r>
    </w:p>
    <w:p>
      <w:pPr>
        <w:spacing w:after="80"/>
      </w:pPr>
      <w:r>
        <w:rPr>
          <w:rFonts w:ascii="Arial" w:hAnsi="Arial"/>
          <w:b w:val="0"/>
          <w:color w:val="111827"/>
          <w:sz w:val="20"/>
        </w:rPr>
        <w:t>Participants are assessed by two WSQ instruments on Day 2 afternoon:</w:t>
      </w:r>
    </w:p>
    <w:p>
      <w:pPr>
        <w:pStyle w:val="ListBullet"/>
      </w:pPr>
      <w:r>
        <w:t>Written Assessment — Short-Answer Questions (WA-SAQ): 11 open-ended knowledge questions (K1–K11), 1 hour, open book.</w:t>
      </w:r>
    </w:p>
    <w:p>
      <w:pPr>
        <w:pStyle w:val="ListBullet"/>
      </w:pPr>
      <w:r>
        <w:t>Practical Assessment (Case Study): lab-based practical tasks mapped to abilities A1–A5, 1 hour, open book. Each task is completed using the course labs.</w:t>
      </w:r>
    </w:p>
    <w:p>
      <w:pPr>
        <w:spacing w:after="80"/>
      </w:pPr>
      <w:r>
        <w:rPr>
          <w:rFonts w:ascii="Arial" w:hAnsi="Arial"/>
          <w:b w:val="0"/>
          <w:color w:val="111827"/>
          <w:sz w:val="20"/>
        </w:rPr>
        <w:t>A minimum competency grade of Competent (C) in both instruments is required to satisfy WSQ requirements.</w:t>
      </w:r>
    </w:p>
    <w:p>
      <w:pPr>
        <w:spacing w:after="80"/>
      </w:pPr>
      <w:r>
        <w:rPr>
          <w:rFonts w:ascii="Arial" w:hAnsi="Arial"/>
          <w:b/>
          <w:color w:val="111827"/>
          <w:sz w:val="20"/>
        </w:rPr>
        <w:t>Total Training Hours: 14 hrs  ·  Total Assessment Hours: 2 hrs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