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NanumGothic" w:hAnsi="NanumGothic" w:eastAsia="NanumGothic" w:cs="NanumGothic"/>
          <w:b/>
          <w:color w:val="17365D"/>
          <w:sz w:val="20"/>
        </w:rPr>
        <w:t>ENGINE ASSEMBLY DEFECT INSPECTOR</w:t>
      </w:r>
    </w:p>
    <w:p>
      <w:pPr>
        <w:spacing w:after="160" w:line="276" w:lineRule="auto"/>
        <w:jc w:val="center"/>
      </w:pPr>
      <w:r>
        <w:rPr>
          <w:rFonts w:ascii="NanumGothic" w:hAnsi="NanumGothic" w:eastAsia="NanumGothic" w:cs="NanumGothic"/>
          <w:b/>
          <w:color w:val="17365D"/>
          <w:sz w:val="48"/>
        </w:rPr>
        <w:t>온디바이스 AI 기반</w:t>
        <w:br/>
        <w:t>엔진 모형 조립 검사 시스템</w:t>
      </w:r>
    </w:p>
    <w:p>
      <w:pPr>
        <w:spacing w:after="440" w:line="276" w:lineRule="auto"/>
        <w:jc w:val="center"/>
      </w:pPr>
      <w:r>
        <w:rPr>
          <w:rFonts w:ascii="NanumGothic" w:hAnsi="NanumGothic" w:eastAsia="NanumGothic" w:cs="NanumGothic"/>
          <w:b/>
          <w:color w:val="2F5597"/>
          <w:sz w:val="36"/>
        </w:rPr>
        <w:t>최종 결과보고서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0F8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17365D"/>
                <w:sz w:val="20"/>
              </w:rPr>
              <w:t xml:space="preserve">프로젝트 핵심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데이터 수집·라벨링·모델 학습에서 Jetson TensorRT 실행, 원본·판정 저장 완료 확인, PLC Result/Done, LED·컨베이어 동작과 SQLite 이력 조회까지 하나의 검사 흐름으로 연결했다.</w:t>
            </w:r>
          </w:p>
        </w:tc>
      </w:tr>
    </w:tbl>
    <w:p>
      <w:pPr>
        <w:spacing w:after="200" w:line="276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9"/>
        </w:rPr>
        <w:t>평가 제출용 | 자료 기준 2026.10.20 | 개정 2026.10.23 | 문서 v1.3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38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08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기준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과정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온디바이스 AI 기반 산업용 소프트웨어 개발 1기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프로젝트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온디바이스 AI 기반 엔진 모형 조립 검사 시스템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팀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Three-Frame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팀장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이승훈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팀원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이규헌 · 주현규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평가 근거 코드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cfaa372eece0cd6a7dc659cc316c256fb4b6af76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운영 Release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engine-integrated-32c484ac6aeb07f1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기존 README 반영 커밋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6b8931aa5c6704ee0b2c6c2a120d3e097b9d9e84</w:t>
            </w:r>
          </w:p>
        </w:tc>
      </w:tr>
    </w:tbl>
    <w:p>
      <w:pPr>
        <w:keepNext/>
        <w:spacing w:before="280" w:after="80" w:line="269" w:lineRule="auto"/>
      </w:pPr>
      <w:r>
        <w:rPr>
          <w:rFonts w:ascii="NanumGothic" w:hAnsi="NanumGothic" w:eastAsia="NanumGothic" w:cs="NanumGothic"/>
          <w:b/>
          <w:color w:val="17365D"/>
          <w:sz w:val="22"/>
        </w:rPr>
        <w:t>최종 제출 GitHub</w:t>
      </w:r>
    </w:p>
    <w:p>
      <w:pPr>
        <w:keepNext/>
        <w:pageBreakBefore w:val="0"/>
        <w:spacing w:after="120" w:line="276" w:lineRule="auto"/>
        <w:jc w:val="left"/>
      </w:pPr>
      <w:r>
        <w:rPr>
          <w:rFonts w:ascii="NanumGothic" w:hAnsi="NanumGothic" w:eastAsia="NanumGothic" w:cs="NanumGothic"/>
          <w:b w:val="0"/>
          <w:color w:val="666666"/>
          <w:sz w:val="19"/>
        </w:rPr>
      </w:r>
      <w:hyperlink r:id="rId21">
        <w:r>
          <w:rPr>
            <w:rFonts w:ascii="NanumGothic" w:hAnsi="NanumGothic" w:eastAsia="NanumGothic" w:cs="NanumGothic"/>
            <w:color w:val="17365D"/>
            <w:sz w:val="19"/>
            <w:u w:val="single"/>
          </w:rPr>
          <w:t>https://github.com/tmdgns104/Engine_Assembly_Final_Submission</w:t>
        </w:r>
      </w:hyperlink>
    </w:p>
    <w:p>
      <w:pPr>
        <w:keepNext w:val="0"/>
        <w:pageBreakBefore w:val="0"/>
        <w:spacing w:after="12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실행·학습 코드와 모델은 project/, 보고서와 원본 증빙은 docs/, 발표·시연 영상은 video/에서 확인할 수 있습니다.</w:t>
      </w:r>
    </w:p>
    <w:p>
      <w:pPr>
        <w:keepNext w:val="0"/>
        <w:pageBreakBefore w:val="0"/>
        <w:spacing w:after="80" w:line="276" w:lineRule="auto"/>
      </w:pPr>
      <w:r>
        <w:rPr>
          <w:rFonts w:ascii="NanumGothic" w:hAnsi="NanumGothic" w:eastAsia="NanumGothic" w:cs="NanumGothic"/>
          <w:b w:val="0"/>
          <w:color w:val="666666"/>
          <w:sz w:val="16"/>
        </w:rPr>
        <w:t>v1.3 개정: 통합 제출 링크, 최종 수행 역할, 푸셔 제작 현황 및 성능·저장 설명 보완. 기존 실험 수치와 기준 버전은 유지.</w:t>
      </w:r>
    </w:p>
    <w:p>
      <w:pPr>
        <w:spacing w:after="20"/>
      </w:pP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0. 요약 - 평가자가 먼저 확인할 결과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이 프로젝트의 핵심은 단일 객체탐지 모델의 정확도를 보여주는 데 있지 않다. 촬영·라벨·학습·최적화·Jetson 런타임·PLC 제어·DB 이력을 하나의 산업용 검사 흐름으로 연결하고, 각 단계의 결과를 원본 파일과 검사 ID로 추적 가능하게 만든 것이 주요 성과다.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04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성과 영역</w:t>
            </w:r>
          </w:p>
        </w:tc>
        <w:tc>
          <w:tcPr>
            <w:tcW w:type="dxa" w:w="742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확인 결과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데이터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고유 원본 216장. M1·M2 각각 train 144 / val 72. 전체 제출 증빙에 사진·라벨 포함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모델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Windows E03 개발 검증: M1·M2 모두 mAP50 0.995. M1 P 0.99770 / R 1.0, M2 P 0.96041 / R 1.0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Edge 최적화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동일 Jetson PT/TRT: 4조건 × 3회 × 72장 × 5회 = 4,320개 지연 기록. 프로세스 RSS 관측 최대 약 49% 감소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실물 통합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 4건 PASS + 오른쪽 파이프 결품 3건 FAIL = 7/7 계획 판정 일치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PLC·DB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Result/Done/주기 완료 각 7건, 원본 21장, 동일 ID 상세·검색 조회 14/14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운영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systemd 단일 통합 서비스. M2→Pose→M1→3프레임 판정→저장 완료 확인→PLC 응답. 이력 조회는 별도 연결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4F7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2F5597"/>
                <w:sz w:val="19"/>
              </w:rPr>
              <w:t xml:space="preserve">핵심 해석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실물 FAIL 3건은 시험 실패가 아니라 오른쪽 파이프 결품을 의도대로 검출한 결과다. 오조립 분류는 참고 기능으로 남기고 필수 부품 존재/결품을 최종 판정 기준으로 고정했다.</w:t>
            </w:r>
          </w:p>
        </w:tc>
      </w:tr>
    </w:tbl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평가영역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351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평가영역</w:t>
            </w:r>
          </w:p>
        </w:tc>
        <w:tc>
          <w:tcPr>
            <w:tcW w:type="dxa" w:w="5953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본문 절 번호 · PDF 쪽번호 · 상세 근거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1 현장 문제·시스템 설계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1~2절 · 3~4쪽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2 데이터셋·라벨링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3절 · 5쪽 / 상세 R02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3 Baseline 모델·오류 분석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4절 · 6쪽 / 상세 R03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4 Jetson 실시간 통합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5~6절 · 7~8쪽, 8절 · 10쪽 / 상세 R07·R05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5 경량화·Benchmark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7절 · 9쪽 / 상세 R04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6 DB·장치 제어 연계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8~9절 · 10~11쪽 / 상세 R05·R06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7 통합 테스트·현장변수 대응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8절 · 10쪽(실물시험), 11절 · 13쪽(적용 범위) / R05</w:t>
            </w:r>
          </w:p>
        </w:tc>
      </w:tr>
      <w:tr>
        <w:trPr>
          <w:cantSplit/>
        </w:trPr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8 문서화·통합 시연·발표</w:t>
            </w:r>
          </w:p>
        </w:tc>
        <w:tc>
          <w:tcPr>
            <w:tcW w:type="dxa" w:w="595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5~6절 · 7~8쪽, 부록 · 15쪽 / 설치 R07·안내 R09 · 영상 video/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R01~R09. 세부 문서와 발표·시연 영상의 위치는 부록 C 및 표지의 통합 제출 GitHub에서 확인한다.</w:t>
      </w:r>
    </w:p>
    <w:p>
      <w:pPr>
        <w:spacing w:after="20"/>
      </w:pP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1. 현장 문제와 프로젝트 목표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조립형 제품의 외관 검사에서는 필수 부품의 누락을 반복 확인해야 하며, 단순 PASS/FAIL뿐 아니라 어떤 부품이 문제였는지와 당시 영상을 나중에 다시 확인할 수 있어야 한다. 본 프로젝트는 엔진 모형을 이용해 이 문제를 재현하고, 검사 위치에 도착한 제품을 현장 Edge 장치에서 자동 판정하는 소형 검사 시스템을 구현했다.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04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42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주 사용자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검사 설비 운영자. 제품 투입·설비 운전·결과 확인·이력 조회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검사 대상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회색 파이프 2자리, 배기 부품 1개, 문양 부품 1개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입력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PLC 검사 요청·설비 상태 + USB 카메라 새 1280×720 영상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출력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PASS / FAIL / REVIEW / ERROR, 결품 사유, PLC OK/NG, 검사 이력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Edge AI 이유</w:t>
            </w:r>
          </w:p>
        </w:tc>
        <w:tc>
          <w:tcPr>
            <w:tcW w:type="dxa" w:w="742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카메라·추론·판정·저장을 Jetson에서 수행해 외부 클라우드 응답에 의존하지 않는 현장 검사 흐름 구성</w:t>
            </w:r>
          </w:p>
        </w:tc>
      </w:tr>
    </w:tbl>
    <w:p>
      <w:pPr>
        <w:spacing w:after="20"/>
      </w:pP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성공 기준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정상과 필수 부품 결품을 자동 판정하고, 3프레임 근거와 reason code를 남긴다.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20"/>
        </w:rPr>
        <w:t>AI 결과의 저장 완료를 확인한 뒤 PLC Result/Done으로 전달하고 다음 공정 동작과 연결한다.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원본 사진·판정·모델/설정·PLC 이벤트를 동일 inspection ID로 저장·조회한다.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학습 모델을 ONNX/TensorRT로 변환하고 같은 Jetson에서 최적화 전후를 정량 비교한다.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EF4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2F5597"/>
                <w:sz w:val="19"/>
              </w:rPr>
              <w:t xml:space="preserve">범위 결정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초기 계획의 오조립·다양한 불량 확장보다 실제 장비에서 안정적인 필수 부품 존재/결품 검사를 우선 완성했다. 현재 오조립 분류는 참고 정보이며 최종 PASS/FAIL에는 반영하지 않는다.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R01 v1.1, R08 v1.1: 문제·입출력·성공 기준과 현재 구현 범위.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2. 시스템 구조와 전체 처리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검사 입력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PLC의 유효 검사 요청 + USB 카메라의 새 프레임</w:t>
            </w:r>
          </w:p>
        </w:tc>
      </w:tr>
      <w:tr>
        <w:tc>
          <w:tcPr>
            <w:tcW w:type="dxa" w:w="10092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영상 처리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M2 엔진 전체 검출 → 자세 정렬 → M1 필수 부품 검출</w:t>
            </w:r>
          </w:p>
        </w:tc>
      </w:tr>
      <w:tr>
        <w:tc>
          <w:tcPr>
            <w:tcW w:type="dxa" w:w="10092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기본 검사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3프레임 자리 상태 집계 → 기본 판정·원본 저장</w:t>
            </w:r>
          </w:p>
        </w:tc>
      </w:tr>
      <w:tr>
        <w:tc>
          <w:tcPr>
            <w:tcW w:type="dxa" w:w="10092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통합 결과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오조립 참고 처리 → 통합 최종판정 저장</w:t>
            </w:r>
          </w:p>
        </w:tc>
      </w:tr>
      <w:tr>
        <w:tc>
          <w:tcPr>
            <w:tcW w:type="dxa" w:w="10092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EDF5F3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 xml:space="preserve">게시 조건 확인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동일 요청 문맥 + 저장 성공 + 최종 저장 완료 응답 확인</w:t>
            </w:r>
          </w:p>
        </w:tc>
      </w:tr>
      <w:tr>
        <w:tc>
          <w:tcPr>
            <w:tcW w:type="dxa" w:w="10092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10092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>
              <w:rPr>
                <w:rFonts w:ascii="NanumGothic" w:hAnsi="NanumGothic" w:eastAsia="NanumGothic"/>
              </w:rPr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PLC 전달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Result → Done → 요청 해제 관측</w:t>
            </w:r>
          </w:p>
        </w:tc>
      </w:tr>
    </w:tbl>
    <w:p>
      <w:pPr>
        <w:spacing w:after="100" w:line="271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7"/>
        </w:rPr>
        <w:t>그림 1. 검사·기본 저장·통합 최종 저장·동일 요청의 저장 완료 확인을 거쳐 PLC로 전달하는 구현 경로. [R07 2쪽, R06 5쪽]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324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7143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PLC / 포토센서</w:t>
            </w:r>
          </w:p>
        </w:tc>
        <w:tc>
          <w:tcPr>
            <w:tcW w:type="dxa" w:w="714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제품 도착과 검사 요청, Result/Done 소비, 컨베이어·LED 제어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USB 카메라</w:t>
            </w:r>
          </w:p>
        </w:tc>
        <w:tc>
          <w:tcPr>
            <w:tcW w:type="dxa" w:w="714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검사 시점의 새 1280×720 원본 프레임 제공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Jetson Orin Nano</w:t>
            </w:r>
          </w:p>
        </w:tc>
        <w:tc>
          <w:tcPr>
            <w:tcW w:type="dxa" w:w="714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 엔진 검출, Pose, M1 부품 검출, 3프레임 판정, 저장·PLC·Web 통합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SQLite / Evidence</w:t>
            </w:r>
          </w:p>
        </w:tc>
        <w:tc>
          <w:tcPr>
            <w:tcW w:type="dxa" w:w="714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사진은 파일시스템에 보존. SQLite에는 기본·최종 판정, 이벤트, 사진 경로·크기·해시를 연결해 저장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Web /line·/history</w:t>
            </w:r>
          </w:p>
        </w:tc>
        <w:tc>
          <w:tcPr>
            <w:tcW w:type="dxa" w:w="714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현재 검사 결과 표시, 이력 검색·상세·CSV 조회</w:t>
            </w:r>
          </w:p>
        </w:tc>
      </w:tr>
    </w:tbl>
    <w:p>
      <w:pPr>
        <w:spacing w:after="20"/>
      </w:pP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운영 판정 흐름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PLC의 유효 요청에 새 원본을 연결하고 M2 엔진 검출·자세 정렬·M1 부품 검출·세 프레임 집계를 수행한다. 기본 결과와 원본, 오조립 참고 처리 및 통합 최종판정을 저장한 뒤 같은 요청의 저장 성공·완료 응답을 확인한다. 이 조건을 충족한 후 PLC에 Result와 Done을 전달한다. 웹 이력 조회는 저장된 자료에서 분기하며 PLC 게시의 선행 조건이 아니다.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3. 데이터셋 구축과 라벨링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M1 부품 검출과 M2 엔진 전체 검출은 같은 고유 촬영 원본 216장을 공유하지만 서로 다른 라벨을 사용한다. 개발 분할은 학습 144장과 E03 검증 72장으로 구성했으며, 제출용 증빙에는 두 모델별 전체 사진과 라벨을 포함했다.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  <w:tblHeader/>
        </w:trPr>
        <w:tc>
          <w:tcPr>
            <w:tcW w:type="dxa" w:w="283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모델 / 분할</w:t>
            </w:r>
          </w:p>
        </w:tc>
        <w:tc>
          <w:tcPr>
            <w:tcW w:type="dxa" w:w="158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이미지</w:t>
            </w:r>
          </w:p>
        </w:tc>
        <w:tc>
          <w:tcPr>
            <w:tcW w:type="dxa" w:w="170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라벨 TXT</w:t>
            </w:r>
          </w:p>
        </w:tc>
        <w:tc>
          <w:tcPr>
            <w:tcW w:type="dxa" w:w="170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정답 box</w:t>
            </w:r>
          </w:p>
        </w:tc>
        <w:tc>
          <w:tcPr>
            <w:tcW w:type="dxa" w:w="1644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빈 TXT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 학습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384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 검증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192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 학습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 검증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  <w:tblHeader/>
        </w:trPr>
        <w:tc>
          <w:tcPr>
            <w:tcW w:type="dxa" w:w="306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41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학습</w:t>
            </w:r>
          </w:p>
        </w:tc>
        <w:tc>
          <w:tcPr>
            <w:tcW w:type="dxa" w:w="141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검증</w:t>
            </w:r>
          </w:p>
        </w:tc>
        <w:tc>
          <w:tcPr>
            <w:tcW w:type="dxa" w:w="3572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M1 기대 부품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pipe 2 + exhaust 1 + symbol 1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왼쪽 파이프 결품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pipe 1 + exhaust 1 + symbol 1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오른쪽 파이프 결품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pipe 1 + exhaust 1 + symbol 1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배기 결품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pipe 2 + symbol 1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문양 결품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pipe 2 + exhaust 1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전체 대상 부품 결품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41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357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 box 0 / M2 body box 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EF4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2F5597"/>
                <w:sz w:val="19"/>
              </w:rPr>
              <w:t xml:space="preserve">라벨 설계의 핵심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좌·우 파이프는 모두 gray_pipe 클래스다. 실제 어느 쪽이 빠졌는지는 화면 좌우가 아니라 제품 기준 자리와 촬영 상태 기록으로 판단한다. 전체 결품 36장의 M1 빈 TXT는 오류가 아니라 “검출 대상 부품 0개”를 표현한 정상 라벨이다.</w:t>
            </w:r>
          </w:p>
        </w:tc>
      </w:tr>
    </w:tbl>
    <w:p>
      <w:pPr>
        <w:spacing w:before="160" w:after="80" w:line="269" w:lineRule="auto"/>
      </w:pPr>
      <w:r>
        <w:rPr>
          <w:rFonts w:ascii="NanumGothic" w:hAnsi="NanumGothic" w:eastAsia="NanumGothic" w:cs="NanumGothic"/>
          <w:b/>
          <w:color w:val="17365D"/>
          <w:sz w:val="22"/>
        </w:rPr>
        <w:t>라벨 작성·검토 출처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shd w:fill="17365D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8352"/>
            <w:shd w:fill="17365D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원자료에 기록된 작성·검토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M1 부품</w:t>
            </w:r>
          </w:p>
        </w:tc>
        <w:tc>
          <w:tcPr>
            <w:tcW w:type="dxa" w:w="83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자세별 기준 이미지 24장의 제안과 동일 자세·분할 내 정합을 사용했다. 동일 annotation SHA에 대한 사용자 216세트 확인·학습 승인 기록을 연결했다.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M2 엔진 전체</w:t>
            </w:r>
          </w:p>
        </w:tc>
        <w:tc>
          <w:tcPr>
            <w:tcW w:type="dxa" w:w="835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같은 216장에 엔진 전체 box를 부여하고, AI 시각 검토·교정 기록을 보존했다. M1의 사용자 승인을 M2의 사람 검수로 확대하지 않는다.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R02 v1.2 3~7쪽: 전체 수량, E01·E02 학습/E03 검증, 모델별 검토 범위. E03는 독립 최종시험이 아닌 개발 검증이다.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4. 모델 학습·평가와 오류 분석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두 모델 모두 YOLO11n을 기반으로 학습했다. M1은 필수 부품 3클래스, M2는 엔진 전체 1클래스다. 대표 수치는 학습 중 마지막 epoch가 아니라 best.pt를 다시 불러 E03 72장으로 수행한 개발 검증 결과를 사용했다.</w:t>
      </w:r>
    </w:p>
    <w:p>
      <w:pPr>
        <w:spacing w:after="40"/>
        <w:jc w:val="center"/>
      </w:pPr>
      <w:r>
        <w:rPr>
          <w:rFonts w:ascii="NanumGothic" w:hAnsi="NanumGothic" w:eastAsia="NanumGothic" w:cs="NanumGothic"/>
        </w:rPr>
        <w:drawing>
          <wp:inline xmlns:a="http://schemas.openxmlformats.org/drawingml/2006/main" xmlns:pic="http://schemas.openxmlformats.org/drawingml/2006/picture">
            <wp:extent cx="6048000" cy="2988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8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6"/>
        </w:rPr>
        <w:t>그림 2. M1·M2 개발 검증 주요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  <w:tblHeader/>
        </w:trPr>
        <w:tc>
          <w:tcPr>
            <w:tcW w:type="dxa" w:w="170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04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실제 학습</w:t>
            </w:r>
          </w:p>
        </w:tc>
        <w:tc>
          <w:tcPr>
            <w:tcW w:type="dxa" w:w="158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36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36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mAP50</w:t>
            </w:r>
          </w:p>
        </w:tc>
        <w:tc>
          <w:tcPr>
            <w:tcW w:type="dxa" w:w="1644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mAP50-95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</w:t>
            </w:r>
          </w:p>
        </w:tc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100 epoch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0.99770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1.00000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0.99500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0.66473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</w:t>
            </w:r>
          </w:p>
        </w:tc>
        <w:tc>
          <w:tcPr>
            <w:tcW w:type="dxa" w:w="204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57 epoch (best 37)</w:t>
            </w:r>
          </w:p>
        </w:tc>
        <w:tc>
          <w:tcPr>
            <w:tcW w:type="dxa" w:w="15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0.96041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1.00000</w:t>
            </w:r>
          </w:p>
        </w:tc>
        <w:tc>
          <w:tcPr>
            <w:tcW w:type="dxa" w:w="136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0.99500</w:t>
            </w:r>
          </w:p>
        </w:tc>
        <w:tc>
          <w:tcPr>
            <w:tcW w:type="dxa" w:w="164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0.88427</w:t>
            </w:r>
          </w:p>
        </w:tc>
      </w:tr>
    </w:tbl>
    <w:p>
      <w:pPr>
        <w:spacing w:after="20"/>
      </w:pP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오류·한계에서 얻은 개선 포인트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M1 사후 진단(conf 0.25, GT IoU&gt;=0.50)에서는 정답 192개에 TP 192, FP 0, FN 0을 기록했다. 그러나 배기 부품의 박스 경계 IoU가 상대적으로 낮은 사례가 남았다.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M2 보존 혼동행렬에는 정답 대응 72개와 배경 쪽 추가 검출 6개가 기록되어 있어 낮은 confidence 후보와 운영 조건을 구분해 해석했다.</w:t>
      </w:r>
    </w:p>
    <w:p>
      <w:pPr>
        <w:pStyle w:val="ListBullet"/>
        <w:spacing w:after="40" w:line="271" w:lineRule="auto"/>
        <w:ind w:left="283"/>
      </w:pPr>
      <w:r>
        <w:rPr>
          <w:rFonts w:ascii="NanumGothic" w:hAnsi="NanumGothic" w:eastAsia="NanumGothic" w:cs="NanumGothic"/>
          <w:b w:val="0"/>
          <w:color w:val="1F1F1F"/>
          <w:sz w:val="18"/>
        </w:rPr>
        <w:t>mAP50이 높아도 mAP50-95 차이가 존재하므로 단순 “정확도 99.5%”가 아니라 위치 정밀도와 제품 판정을 분리했다.</w:t>
      </w:r>
    </w:p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R03 v1.1 3~9쪽: best.pt 재검증, 학습 종료·모델 선택 기록, M1 경계 사례와 M2 추가 후보. Windows 지표와 Jetson 비교는 별도 조건이다.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5. Jetson 실행 코드와 운영 Runtime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기준 운영 Release는 engine-integrated-32c484ac6aeb07f1이다. systemd의 engine-inspector.service가 단일 통합 서비스를 감독하고, standalone_service.py가 카메라·검사·PLC·DB·Web 컴포넌트를 하나의 런타임으로 구성한다.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311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핵심 코드</w:t>
            </w:r>
          </w:p>
        </w:tc>
        <w:tc>
          <w:tcPr>
            <w:tcW w:type="dxa" w:w="635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standalone_service.py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설정 검증, ownership lock, camera/inference/PLC/Web 통합 기동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detector_factory.py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manifest backend에 따라 TensorRT 또는 PyTorch adapter 선택. silent fallback 없음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tensorrt_preprocess.py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640x640 letterbox, padding114, BGR→RGB, /255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tensorrt_native.py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TensorRT I/O 검증, pinned host, H2D, execute_async_v3, sync, D2H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tensorrt_postprocess.py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confidence, class-aware NMS, 원본 좌표 복원, 진단 metadata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engine_inspector.py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 envelope → Pose → rectify → M1 parts → slot decision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src/runtime/standalone.py</w:t>
            </w:r>
          </w:p>
        </w:tc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기본·통합 결과의 같은 요청 문맥과 저장 완료를 확인한 뒤 PLC 게시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rPr>
          <w:rFonts w:ascii="NanumGothic" w:hAnsi="NanumGothic" w:eastAsia="NanumGothic" w:cs="NanumGothic"/>
        </w:rPr>
        <w:drawing>
          <wp:inline xmlns:a="http://schemas.openxmlformats.org/drawingml/2006/main" xmlns:pic="http://schemas.openxmlformats.org/drawingml/2006/picture">
            <wp:extent cx="5976000" cy="1657907"/>
            <wp:docPr id="3" name="Picture 3" descr="학습 best.pt에서 ONNX export, TensorRT plan, Jetson 운영 패키지로 연결되는 모델 변환도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6"/>
        </w:rPr>
        <w:t>그림 3. 학습 PT에서 ONNX·TensorRT 운영 모델로 이어지는 변환 계보</w:t>
      </w:r>
    </w:p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R07 v1.1 3·8~9쪽, R06 v1.0 5쪽: 명시적 backend·실행 순서·저장 확인 후 게시 경로.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6. PT → ONNX → TensorRT 변환과 운영 모델 계보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  <w:tblHeader/>
        </w:trPr>
        <w:tc>
          <w:tcPr>
            <w:tcW w:type="dxa" w:w="1304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66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PT SHA-256 (축약)</w:t>
            </w:r>
          </w:p>
        </w:tc>
        <w:tc>
          <w:tcPr>
            <w:tcW w:type="dxa" w:w="266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ONNX SHA-256 (축약)</w:t>
            </w:r>
          </w:p>
        </w:tc>
        <w:tc>
          <w:tcPr>
            <w:tcW w:type="dxa" w:w="283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운영 TensorRT SHA-256 (축약)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</w:t>
            </w:r>
          </w:p>
        </w:tc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42db1830...bf5259</w:t>
            </w:r>
          </w:p>
        </w:tc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433b16fd...9c296</w:t>
            </w:r>
          </w:p>
        </w:tc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743ce54b...bf2d6c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</w:t>
            </w:r>
          </w:p>
        </w:tc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cf117def...0f7755</w:t>
            </w:r>
          </w:p>
        </w:tc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5cb024bb...ca830</w:t>
            </w:r>
          </w:p>
        </w:tc>
        <w:tc>
          <w:tcPr>
            <w:tcW w:type="dxa" w:w="283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c82f2658...cebf83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export 기록 → build manifest → 제품 manifest → 릴리스 및 기존 Jetson 관측의 SHA-256을 따라 학습·변환·운영 파일을 연결했다. M1은 FP16 + head FP32, M2는 FP16 + backbone FP32이며, TensorRT 입출력은 float32인 혼합정밀도 구성이다.</w:t>
      </w: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실행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38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087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M1 / M2 공통 원칙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입력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batch1, [1,3,640,640], 고정 shape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전처리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letterbox, padding 114, RGB 변환, /255, contiguous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후처리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class-aware NMS, max_det 300, inverse letterbox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실행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native TensorRT execute_async_v3 + stream synchronize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장치</w:t>
            </w:r>
          </w:p>
        </w:tc>
        <w:tc>
          <w:tcPr>
            <w:tcW w:type="dxa" w:w="7087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Jetson Orin Nano, Ubuntu22.04 / L4T36.4.7, CUDA12.6, TensorRT10.3 관측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EF4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2F5597"/>
                <w:sz w:val="19"/>
              </w:rPr>
              <w:t xml:space="preserve">운영 안전성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manifest와 I/O 계약이 맞지 않으면 실행 전에 거부하도록 만들었다. TensorRT가 실패했을 때 다른 backend로 몰래 전환하지 않으므로, “운영 중인 모델이 무엇인지”를 추적할 수 있다.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R03 v1.1 13쪽, R07 v1.1 4~5쪽: 해시 계보·변환 조건. 장치 버전은 당시 관측값이다.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7. 동일 Jetson 최적화 전후 Benchmark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같은 Jetson에서 E03 72장을 사용해 M1·M2 원본 PyTorch FP32와 운영 TensorRT를 비교했다. 4개 조건 × 조건별 3회 독립 실행 × 72장 × 실행당 5회 순환 = 4,320개 지연 기록이다. 각 실행은 첫 호출과 예열 50회를 본 측정에서 분리했다.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</w:rPr>
              <w:drawing>
                <wp:inline xmlns:a="http://schemas.openxmlformats.org/drawingml/2006/main" xmlns:pic="http://schemas.openxmlformats.org/drawingml/2006/picture">
                  <wp:extent cx="2952000" cy="1653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65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</w:rPr>
              <w:drawing>
                <wp:inline xmlns:a="http://schemas.openxmlformats.org/drawingml/2006/main" xmlns:pic="http://schemas.openxmlformats.org/drawingml/2006/picture">
                  <wp:extent cx="2952000" cy="1653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nc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65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line="276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6"/>
        </w:rPr>
        <w:t>그림 4. 동일 장비 PT/TRT 비교 - 메모리 절감이 가장 분명한 최적화 성과였고, 평균 처리시간은 약 30ms 수준을 유지했다.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/>
        </w:trPr>
        <w:tc>
          <w:tcPr>
            <w:tcW w:type="dxa" w:w="243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51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M1</w:t>
            </w:r>
          </w:p>
        </w:tc>
        <w:tc>
          <w:tcPr>
            <w:tcW w:type="dxa" w:w="351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평균 지연시간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29.313 → 29.022 ms (-0.99%)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29.480 → 30.266 ms (+2.67%)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처리량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34.06 → 34.41 image/s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33.87 → 33.00 image/s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RSS 관측 최대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1,250.5 → 636.9 MiB (-49.1%)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1,263.8 → 649.7 MiB (-48.6%)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고정조건 TP/FP/FN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192/0/0 → 192/0/0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72/0/0 → 72/0/0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mAP50-95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0.639911 → 0.640873</w:t>
            </w:r>
          </w:p>
        </w:tc>
        <w:tc>
          <w:tcPr>
            <w:tcW w:type="dxa" w:w="351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0.836717 → 0.836629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EF4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17365D"/>
                <w:sz w:val="20"/>
              </w:rPr>
              <w:t xml:space="preserve">대표 최적화 성과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프로세스 RSS 관측 최대는 M1에서 49.1%, M2에서 48.6% 감소했다. E03 고정 조건의 TP·FP·FN 건수는 두 실행 방식에서 동일했고, mAP50–95는 근접한 값을 유지했다. 평균 처리시간은 약 30ms 수준으로, 이번 최적화의 대표 성과는 실행 메모리 효율 개선이다.</w:t>
            </w:r>
          </w:p>
        </w:tc>
      </w:tr>
    </w:tbl>
    <w:p>
      <w:pPr>
        <w:spacing w:before="80" w:after="80" w:line="269" w:lineRule="auto"/>
      </w:pPr>
      <w:r>
        <w:rPr>
          <w:rFonts w:ascii="NanumGothic" w:hAnsi="NanumGothic" w:eastAsia="NanumGothic" w:cs="NanumGothic"/>
          <w:b w:val="0"/>
          <w:color w:val="1F1F1F"/>
          <w:sz w:val="18"/>
        </w:rPr>
        <w:t>화살표는 PT → TensorRT이다. 고정 검출 건수는 confidence 0.25·NMS IoU 0.45·정답 IoU 0.50 기준이다. RSS는 라이브러리·입력까지 포함한 프로세스의 100ms 샘플 관측 최대이며 GPU 전용 메모리가 아니다. 모델별 저장 사진 처리시간과 실제 라인 완료시간은 8절에서 구분한다.</w:t>
      </w:r>
    </w:p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R04 v1.2 3~8쪽: 환경·반복 설계·속도·메모리·정답 기준 비교. 원본 측정·그래프 값은 유지했다.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8. 실제 라인 통합: 검사·저장 확인 → PLC·장치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2026-10-18의 실행본 engine-integrated-4c4b935f8ab0404a에서 정상 모형과 오른쪽 파이프 결품 모형을 번갈아 검사했다. 계획 10회 중 사용자 종료 의사에 따라 실제 7회를 수행했으며, 같은 boot·카메라 Worker·PLC 연결의 결과다. 후속 UI 운영본 32c4의 재시험으로 세지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232"/>
        <w:gridCol w:w="1008"/>
        <w:gridCol w:w="4104"/>
        <w:gridCol w:w="2016"/>
      </w:tblGrid>
      <w:tr>
        <w:trPr>
          <w:cantSplit/>
          <w:tblHeader/>
        </w:trPr>
        <w:tc>
          <w:tcPr>
            <w:tcW w:type="dxa" w:w="72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순번</w:t>
            </w:r>
          </w:p>
        </w:tc>
        <w:tc>
          <w:tcPr>
            <w:tcW w:type="dxa" w:w="2232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실제 상태</w:t>
            </w:r>
          </w:p>
        </w:tc>
        <w:tc>
          <w:tcPr>
            <w:tcW w:type="dxa" w:w="100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최종 판정</w:t>
            </w:r>
          </w:p>
        </w:tc>
        <w:tc>
          <w:tcPr>
            <w:tcW w:type="dxa" w:w="4104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사유</w:t>
            </w:r>
          </w:p>
        </w:tc>
        <w:tc>
          <w:tcPr>
            <w:tcW w:type="dxa" w:w="2016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PLC Result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PASS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ALL_REQUIRED_PARTS_PRESENT_3_FRAMES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 / OK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2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오른쪽 파이프 결품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FAIL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RIGHT_PIPE_MISSING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 / NG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3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PASS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ALL_REQUIRED_PARTS_PRESENT_3_FRAMES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 / OK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4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오른쪽 파이프 결품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FAIL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RIGHT_PIPE_MISSING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 / NG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5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PASS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ALL_REQUIRED_PARTS_PRESENT_3_FRAMES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 / OK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6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오른쪽 파이프 결품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FAIL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RIGHT_PIPE_MISSING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1 / NG</w:t>
            </w:r>
          </w:p>
        </w:tc>
      </w:tr>
      <w:tr>
        <w:trPr>
          <w:cantSplit/>
        </w:trPr>
        <w:tc>
          <w:tcPr>
            <w:tcW w:type="dxa" w:w="7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</w:t>
            </w:r>
          </w:p>
        </w:tc>
        <w:tc>
          <w:tcPr>
            <w:tcW w:type="dxa" w:w="223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</w:t>
            </w:r>
          </w:p>
        </w:tc>
        <w:tc>
          <w:tcPr>
            <w:tcW w:type="dxa" w:w="100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PASS</w:t>
            </w:r>
          </w:p>
        </w:tc>
        <w:tc>
          <w:tcPr>
            <w:tcW w:type="dxa" w:w="4104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ALL_REQUIRED_PARTS_PRESENT_3_FRAMES</w:t>
            </w:r>
          </w:p>
        </w:tc>
        <w:tc>
          <w:tcPr>
            <w:tcW w:type="dxa" w:w="2016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 / OK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</w:rPr>
              <w:drawing>
                <wp:inline xmlns:a="http://schemas.openxmlformats.org/drawingml/2006/main" xmlns:pic="http://schemas.openxmlformats.org/drawingml/2006/picture">
                  <wp:extent cx="2880000" cy="162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dbb66f2fc14e879affbaa63964d2f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17365D"/>
                <w:sz w:val="16"/>
              </w:rPr>
              <w:t>정상 투입 사례</w:t>
            </w:r>
          </w:p>
        </w:tc>
        <w:tc>
          <w:tcPr>
            <w:tcW w:type="dxa" w:w="504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</w:rPr>
              <w:drawing>
                <wp:inline xmlns:a="http://schemas.openxmlformats.org/drawingml/2006/main" xmlns:pic="http://schemas.openxmlformats.org/drawingml/2006/picture">
                  <wp:extent cx="2880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714cd9de4e6b8672d730cd4cf70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17365D"/>
                <w:sz w:val="16"/>
              </w:rPr>
              <w:t>오른쪽 파이프 결품 사례</w:t>
            </w:r>
          </w:p>
        </w:tc>
      </w:tr>
    </w:tbl>
    <w:p>
      <w:pPr>
        <w:spacing w:after="80" w:line="276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6"/>
        </w:rPr>
        <w:t>그림 5. 실제 7회 시험의 정상·오른쪽 파이프 결품 원본 예시. 검사당 3장, 총 21장의 실파일을 보존했다. [R05 4~7쪽]</w:t>
      </w:r>
    </w:p>
    <w:p>
      <w:pPr>
        <w:spacing w:before="120" w:after="60" w:line="269" w:lineRule="auto"/>
      </w:pPr>
      <w:r>
        <w:rPr>
          <w:rFonts w:ascii="NanumGothic" w:hAnsi="NanumGothic" w:eastAsia="NanumGothic" w:cs="NanumGothic"/>
          <w:b/>
          <w:color w:val="17365D"/>
          <w:sz w:val="22"/>
        </w:rPr>
        <w:t>처리시간의 세 가지 측정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616"/>
        <w:gridCol w:w="2592"/>
      </w:tblGrid>
      <w:tr>
        <w:trPr>
          <w:cantSplit/>
          <w:tblHeader/>
        </w:trPr>
        <w:tc>
          <w:tcPr>
            <w:tcW w:type="dxa" w:w="1872"/>
            <w:shd w:fill="17365D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616"/>
            <w:shd w:fill="17365D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측정 시작 → 끝</w:t>
            </w:r>
          </w:p>
        </w:tc>
        <w:tc>
          <w:tcPr>
            <w:tcW w:type="dxa" w:w="2592"/>
            <w:shd w:fill="17365D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FFFFFF"/>
                <w:sz w:val="18"/>
              </w:rPr>
              <w:t>기록된 평균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모델별 처리</w:t>
            </w:r>
          </w:p>
        </w:tc>
        <w:tc>
          <w:tcPr>
            <w:tcW w:type="dxa" w:w="56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메모리의 저장 사진 → 전처리·추론 완료·후처리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TRT M1 29.022ms</w:t>
              <w:br/>
              <w:t>TRT M2 30.266ms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기본 검사</w:t>
            </w:r>
          </w:p>
        </w:tc>
        <w:tc>
          <w:tcPr>
            <w:tcW w:type="dxa" w:w="56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기본 원장 수락 → 기본 결과 완료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2.507초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PLC 통합 완료 관측</w:t>
            </w:r>
          </w:p>
        </w:tc>
        <w:tc>
          <w:tcPr>
            <w:tcW w:type="dxa" w:w="561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PLC 주기 수락 → 통신 완료 관측 이벤트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11.567초</w:t>
            </w:r>
          </w:p>
        </w:tc>
      </w:tr>
    </w:tbl>
    <w:p>
      <w:pPr>
        <w:spacing w:before="80" w:after="80" w:line="269" w:lineRule="auto"/>
      </w:pPr>
      <w:r>
        <w:rPr>
          <w:rFonts w:ascii="NanumGothic" w:hAnsi="NanumGothic" w:eastAsia="NanumGothic" w:cs="NanumGothic"/>
          <w:b w:val="0"/>
          <w:color w:val="1F1F1F"/>
          <w:sz w:val="17"/>
        </w:rPr>
        <w:t>서로 다른 시작·끝과 시계 기준의 지표이므로 합산하지 않는다. 기본 원장은 wall clock, PLC 완료 관측은 Jetson monotonic 기록이다. 통합 처리에는 참고 분석 등이 포함되지만 시간 차이를 그 분석 하나의 소요시간으로 단정하지 않는다. 요청 수락 전 이송·정지대기, 최종 배출 및 LED·모터 실동작 시각은 통신 완료 지연에 포함되지 않는다.</w:t>
      </w:r>
    </w:p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R04 v1.2 4·6쪽(모델별 단독 측정), R05 v1.0 11쪽(실물 7회 구간 집계). 장치 동작은 R05 8쪽의 운영자 관찰 기록으로 연결한다.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9. 검사 이력과 추적성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19"/>
        </w:rPr>
        <w:t>SQLite는 단순 PASS/FAIL 저장소가 아니라 검사 트랜잭션을 추적하는 원장으로 사용했다. 사진은 파일시스템에 보존하고 DB에는 inspection ID, 판정, 이벤트, 파일 경로·크기·SHA-256과 구조화된 결과를 저장한다.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328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연결 키</w:t>
            </w:r>
          </w:p>
        </w:tc>
        <w:tc>
          <w:tcPr>
            <w:tcW w:type="dxa" w:w="618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사용 목적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inspection_id</w:t>
            </w:r>
          </w:p>
        </w:tc>
        <w:tc>
          <w:tcPr>
            <w:tcW w:type="dxa" w:w="61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검사 원장·결품·사진·최종판정·이벤트 공통 식별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cell_id + plc_session_id + cycle_id</w:t>
            </w:r>
          </w:p>
        </w:tc>
        <w:tc>
          <w:tcPr>
            <w:tcW w:type="dxa" w:w="61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공정 cycle과 검사 원장 연결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event_id</w:t>
            </w:r>
          </w:p>
        </w:tc>
        <w:tc>
          <w:tcPr>
            <w:tcW w:type="dxa" w:w="61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events와 outbox 전송 상태 연결</w:t>
            </w:r>
          </w:p>
        </w:tc>
      </w:tr>
      <w:tr>
        <w:trPr>
          <w:cantSplit/>
        </w:trPr>
        <w:tc>
          <w:tcPr>
            <w:tcW w:type="dxa" w:w="32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상대 경로 + SHA-256</w:t>
            </w:r>
          </w:p>
        </w:tc>
        <w:tc>
          <w:tcPr>
            <w:tcW w:type="dxa" w:w="61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DB 기록과 실제 사진 파일 동일성 대조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실제 스키마는 10개 테이블·67개 열이며, 실물시험 7건의 상세·검색 응답 14회가 기존 원장과 일치했다. 검사일은 10월 18일, 기존 이력 GET 회수일은 10월 20일로 구분한다. [R05 10쪽, R06 3·7~9쪽]</w:t>
      </w:r>
    </w:p>
    <w:p>
      <w:pPr>
        <w:spacing w:after="40"/>
        <w:jc w:val="center"/>
      </w:pPr>
      <w:r>
        <w:rPr>
          <w:rFonts w:ascii="NanumGothic" w:hAnsi="NanumGothic" w:eastAsia="NanumGothic" w:cs="NanumGothic"/>
        </w:rPr>
        <w:drawing>
          <wp:inline xmlns:a="http://schemas.openxmlformats.org/drawingml/2006/main" xmlns:pic="http://schemas.openxmlformats.org/drawingml/2006/picture">
            <wp:extent cx="4846320" cy="5072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ROP_JET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072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NanumGothic" w:hAnsi="NanumGothic" w:eastAsia="NanumGothic" w:cs="NanumGothic"/>
          <w:b w:val="0"/>
          <w:color w:val="666666"/>
          <w:sz w:val="17"/>
        </w:rPr>
        <w:t>그림 6. T02의 실제 Jetson 이력 화면. 몸체 정렬 0/3·분류 미실행은 오조립 참고 분석 상태다. 기본 부품 결품 검사는 별도로 수행되어 최종 FAIL·RIGHT_PIPE_MISSING과 원본 3장이 저장됐다. [R05 9쪽, R06 9쪽]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EF4FB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2F5597"/>
                <w:sz w:val="19"/>
              </w:rPr>
              <w:t xml:space="preserve">추적성의 의미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평가자는 “화면에 FAIL이 떴다”만 보는 것이 아니라, 같은 inspection ID로 실제 원본·결품 사유·PLC 이벤트·DB 저장·조회 결과를 따라갈 수 있다.</w:t>
            </w:r>
          </w:p>
        </w:tc>
      </w:tr>
    </w:tbl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10. 계획 대비 달성 결과와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5560"/>
        <w:gridCol w:w="1920"/>
      </w:tblGrid>
      <w:tr>
        <w:trPr>
          <w:cantSplit/>
          <w:tblHeader/>
        </w:trPr>
        <w:tc>
          <w:tcPr>
            <w:tcW w:type="dxa" w:w="260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계획 목표</w:t>
            </w:r>
          </w:p>
        </w:tc>
        <w:tc>
          <w:tcPr>
            <w:tcW w:type="dxa" w:w="556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현재 결과</w:t>
            </w:r>
          </w:p>
        </w:tc>
        <w:tc>
          <w:tcPr>
            <w:tcW w:type="dxa" w:w="192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판정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카메라 기반 부품 검사</w:t>
            </w:r>
          </w:p>
        </w:tc>
        <w:tc>
          <w:tcPr>
            <w:tcW w:type="dxa" w:w="556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 부품 + M2 엔진 검출, 새 원본 3프레임 기반 판정</w:t>
            </w:r>
          </w:p>
        </w:tc>
        <w:tc>
          <w:tcPr>
            <w:tcW w:type="dxa" w:w="19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달성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Jetson 실시간 실행</w:t>
            </w:r>
          </w:p>
        </w:tc>
        <w:tc>
          <w:tcPr>
            <w:tcW w:type="dxa" w:w="556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운영 release 32c4, native TensorRT, systemd 통합 서비스</w:t>
            </w:r>
          </w:p>
        </w:tc>
        <w:tc>
          <w:tcPr>
            <w:tcW w:type="dxa" w:w="19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달성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PLC·장치 연계</w:t>
            </w:r>
          </w:p>
        </w:tc>
        <w:tc>
          <w:tcPr>
            <w:tcW w:type="dxa" w:w="556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실물 7건 Result/Done 완료, LED·컨베이어 동작 운영자 확인</w:t>
            </w:r>
          </w:p>
        </w:tc>
        <w:tc>
          <w:tcPr>
            <w:tcW w:type="dxa" w:w="19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달성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DB 저장·조회</w:t>
            </w:r>
          </w:p>
        </w:tc>
        <w:tc>
          <w:tcPr>
            <w:tcW w:type="dxa" w:w="556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7건 COMPLETE, 원본21·표시7, 상세/검색 14/14 일치</w:t>
            </w:r>
          </w:p>
        </w:tc>
        <w:tc>
          <w:tcPr>
            <w:tcW w:type="dxa" w:w="19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달성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경량화·성능 비교</w:t>
            </w:r>
          </w:p>
        </w:tc>
        <w:tc>
          <w:tcPr>
            <w:tcW w:type="dxa" w:w="556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동일 Jetson 12회·4,320 latency, RSS 약 49% 감소</w:t>
            </w:r>
          </w:p>
        </w:tc>
        <w:tc>
          <w:tcPr>
            <w:tcW w:type="dxa" w:w="19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달성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오조립 최종 판정</w:t>
            </w:r>
          </w:p>
        </w:tc>
        <w:tc>
          <w:tcPr>
            <w:tcW w:type="dxa" w:w="556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참고 분류 모델과 표시 기능은 있으나 최종 판정 미반영</w:t>
            </w:r>
          </w:p>
        </w:tc>
        <w:tc>
          <w:tcPr>
            <w:tcW w:type="dxa" w:w="19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범위 조정</w:t>
            </w:r>
          </w:p>
        </w:tc>
      </w:tr>
      <w:tr>
        <w:trPr>
          <w:cantSplit/>
        </w:trPr>
        <w:tc>
          <w:tcPr>
            <w:tcW w:type="dxa" w:w="26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불량품 자동 배출 푸셔</w:t>
            </w:r>
          </w:p>
        </w:tc>
        <w:tc>
          <w:tcPr>
            <w:tcW w:type="dxa" w:w="556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발표자료 기준 기구 설계·3D 출력·조립 완료. 모터 구동·PLC 연동은 미완료이며, 현재 라인은 푸셔 없이 운영</w:t>
            </w:r>
          </w:p>
        </w:tc>
        <w:tc>
          <w:tcPr>
            <w:tcW w:type="dxa" w:w="192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기구 제작 완료</w:t>
              <w:br/>
              <w:t>운영 미통합</w:t>
            </w:r>
          </w:p>
        </w:tc>
      </w:tr>
    </w:tbl>
    <w:p>
      <w:pPr>
        <w:spacing w:after="20"/>
      </w:pP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계획 당시 역할 분담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665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6803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계획서 기준 역할</w:t>
            </w:r>
          </w:p>
        </w:tc>
      </w:tr>
      <w:tr>
        <w:trPr>
          <w:cantSplit/>
        </w:trPr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이승훈 / Vision·AI</w:t>
            </w:r>
          </w:p>
        </w:tc>
        <w:tc>
          <w:tcPr>
            <w:tcW w:type="dxa" w:w="680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검사 대상·라벨 기준, 모델 학습·평가, 검사 규칙, ONNX/TensorRT 최적화</w:t>
            </w:r>
          </w:p>
        </w:tc>
      </w:tr>
      <w:tr>
        <w:trPr>
          <w:cantSplit/>
        </w:trPr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이규헌 / Edge·Automation</w:t>
            </w:r>
          </w:p>
        </w:tc>
        <w:tc>
          <w:tcPr>
            <w:tcW w:type="dxa" w:w="680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Jetson·카메라, PLC 통신, 검사 요청·결과, 컨베이어 이송·복구</w:t>
            </w:r>
          </w:p>
        </w:tc>
      </w:tr>
      <w:tr>
        <w:trPr>
          <w:cantSplit/>
        </w:trPr>
        <w:tc>
          <w:tcPr>
            <w:tcW w:type="dxa" w:w="2665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주현규 / Data·QA·UI</w:t>
            </w:r>
          </w:p>
        </w:tc>
        <w:tc>
          <w:tcPr>
            <w:tcW w:type="dxa" w:w="6803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데이터 검수·분할, DB 저장, 검사 화면·이력, 시험·증거 정리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666666"/>
          <w:sz w:val="16"/>
        </w:rPr>
        <w:t>위 역할은 2026-09-11 프로젝트 계획서에 기록된 분담이며, 실제 개인별 코드 기여량을 재산정한 표는 아니다.</w:t>
      </w:r>
    </w:p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R08 v1.1: 계획 당시 분담과 목표 대비 결과. 실물 연계는 R05의 시험 범위 내 확인 결과다.</w:t>
      </w:r>
    </w:p>
    <w:p>
      <w:pPr>
        <w:keepNext/>
        <w:pageBreakBefore w:val="0"/>
        <w:spacing w:before="200" w:after="100" w:line="271" w:lineRule="auto"/>
      </w:pPr>
      <w:r>
        <w:rPr>
          <w:rFonts w:ascii="NanumGothic" w:hAnsi="NanumGothic" w:eastAsia="NanumGothic" w:cs="NanumGothic"/>
          <w:b/>
          <w:color w:val="17365D"/>
          <w:sz w:val="22"/>
        </w:rPr>
        <w:t>최종 수행 역할 — 발표자료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0"/>
        <w:gridCol w:w="6600"/>
      </w:tblGrid>
      <w:tr>
        <w:trPr>
          <w:cantSplit/>
          <w:tblHeader/>
        </w:trPr>
        <w:tc>
          <w:tcPr>
            <w:tcW w:type="dxa" w:w="348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660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최종 수행 역할</w:t>
            </w:r>
          </w:p>
        </w:tc>
      </w:tr>
      <w:tr>
        <w:trPr>
          <w:cantSplit/>
        </w:trPr>
        <w:tc>
          <w:tcPr>
            <w:tcW w:type="dxa" w:w="34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이승훈 / 팀장·SW·통합</w:t>
            </w:r>
          </w:p>
        </w:tc>
        <w:tc>
          <w:tcPr>
            <w:tcW w:type="dxa" w:w="66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Jetson 검사 소프트웨어, PLC 통신, 전체 시스템 통합</w:t>
            </w:r>
          </w:p>
        </w:tc>
      </w:tr>
      <w:tr>
        <w:trPr>
          <w:cantSplit/>
        </w:trPr>
        <w:tc>
          <w:tcPr>
            <w:tcW w:type="dxa" w:w="34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이규헌 / 하드웨어·PLC</w:t>
            </w:r>
          </w:p>
        </w:tc>
        <w:tc>
          <w:tcPr>
            <w:tcW w:type="dxa" w:w="66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하드웨어 구성과 PLC 래더 프로그램</w:t>
            </w:r>
          </w:p>
        </w:tc>
      </w:tr>
      <w:tr>
        <w:trPr>
          <w:cantSplit/>
        </w:trPr>
        <w:tc>
          <w:tcPr>
            <w:tcW w:type="dxa" w:w="34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주현규 / PM·촬영·기구 제작</w:t>
            </w:r>
          </w:p>
        </w:tc>
        <w:tc>
          <w:tcPr>
            <w:tcW w:type="dxa" w:w="66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일정·역할 관리, 학습 데이터셋 촬영, 푸셔 3D 설계·출력</w:t>
            </w:r>
          </w:p>
        </w:tc>
      </w:tr>
    </w:tbl>
    <w:p>
      <w:pPr>
        <w:keepNext w:val="0"/>
        <w:pageBreakBefore w:val="0"/>
        <w:spacing w:after="80" w:line="276" w:lineRule="auto"/>
      </w:pPr>
      <w:r>
        <w:rPr>
          <w:rFonts w:ascii="NanumGothic" w:hAnsi="NanumGothic" w:eastAsia="NanumGothic" w:cs="NanumGothic"/>
          <w:b w:val="0"/>
          <w:color w:val="666666"/>
          <w:sz w:val="16"/>
        </w:rPr>
        <w:t>위 표는 제공된 최종 발표자료의 수행 역할이다. 계획 당시 분담과 구분하며, 개인별 코드 기여량을 산정한 결과는 아니다.</w:t>
      </w:r>
    </w:p>
    <w:p>
      <w:pPr>
        <w:keepNext w:val="0"/>
        <w:pageBreakBefore w:val="0"/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추가 근거 P01: 발표.pdf 3·24쪽 및 발표대본_Three-Frame_v3.md의 팀원 소개·푸셔 절. 푸셔의 전동 구동·현장 통합시험 완료를 뜻하지 않는다.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11. 적용 범위와 기술적 확장 방향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현재 자료는 엔진 모형의 필수 부품 존재·결품 검사와 저장·제어·조회 연계를 입증한다. 박스 검출·제품 판정·통신 완료·실물 관찰을 서로 다른 검증 단위로 구분하고, 각 결과가 적용되는 범위와 해석 경계를 함께 제시한다.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4262"/>
        <w:gridCol w:w="4118"/>
      </w:tblGrid>
      <w:tr>
        <w:trPr>
          <w:cantSplit/>
          <w:tblHeader/>
        </w:trPr>
        <w:tc>
          <w:tcPr>
            <w:tcW w:type="dxa" w:w="1699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검증 대상</w:t>
            </w:r>
          </w:p>
        </w:tc>
        <w:tc>
          <w:tcPr>
            <w:tcW w:type="dxa" w:w="4262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확인된 범위</w:t>
            </w:r>
          </w:p>
        </w:tc>
        <w:tc>
          <w:tcPr>
            <w:tcW w:type="dxa" w:w="411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해석 경계</w:t>
            </w:r>
          </w:p>
        </w:tc>
      </w:tr>
      <w:tr>
        <w:trPr>
          <w:cantSplit/>
        </w:trPr>
        <w:tc>
          <w:tcPr>
            <w:tcW w:type="dxa" w:w="1699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제품·실물시험</w:t>
            </w:r>
          </w:p>
        </w:tc>
        <w:tc>
          <w:tcPr>
            <w:tcW w:type="dxa" w:w="426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정상·오른쪽 파이프 결품 두 모형을 반복 검사한 7건. 계획 판정·저장·PLC 통신 완료가 연결됨</w:t>
            </w:r>
          </w:p>
        </w:tc>
        <w:tc>
          <w:tcPr>
            <w:tcW w:type="dxa" w:w="4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서로 다른 제품 7개 또는 모든 결품 유형의 현장 성능을 의미하지 않음</w:t>
            </w:r>
          </w:p>
        </w:tc>
      </w:tr>
      <w:tr>
        <w:trPr>
          <w:cantSplit/>
        </w:trPr>
        <w:tc>
          <w:tcPr>
            <w:tcW w:type="dxa" w:w="1699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환경 조건</w:t>
            </w:r>
          </w:p>
        </w:tc>
        <w:tc>
          <w:tcPr>
            <w:tcW w:type="dxa" w:w="426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E01·E02 학습/E03 개발 검증 및 저장된 실물시험 조건</w:t>
            </w:r>
          </w:p>
        </w:tc>
        <w:tc>
          <w:tcPr>
            <w:tcW w:type="dxa" w:w="4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조명·거리·각도를 통제해 변화시킨 현장 강건성 시험과 구분</w:t>
            </w:r>
          </w:p>
        </w:tc>
      </w:tr>
      <w:tr>
        <w:trPr>
          <w:cantSplit/>
        </w:trPr>
        <w:tc>
          <w:tcPr>
            <w:tcW w:type="dxa" w:w="1699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지속 운전·복구</w:t>
            </w:r>
          </w:p>
        </w:tc>
        <w:tc>
          <w:tcPr>
            <w:tcW w:type="dxa" w:w="426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7회 검사와 별도 Benchmark 후 서비스·새 영상·IPC 준비 복구 관측</w:t>
            </w:r>
          </w:p>
        </w:tc>
        <w:tc>
          <w:tcPr>
            <w:tcW w:type="dxa" w:w="4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장시간 무오류 보증이나 USB 복구 빈도의 정량 평가가 아님</w:t>
            </w:r>
          </w:p>
        </w:tc>
      </w:tr>
      <w:tr>
        <w:trPr>
          <w:cantSplit/>
        </w:trPr>
        <w:tc>
          <w:tcPr>
            <w:tcW w:type="dxa" w:w="1699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장치 반응 근거</w:t>
            </w:r>
          </w:p>
        </w:tc>
        <w:tc>
          <w:tcPr>
            <w:tcW w:type="dxa" w:w="426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Result/Done·요청 해제 기록과 운영자의 LED·컨베이어 직접 관찰</w:t>
            </w:r>
          </w:p>
        </w:tc>
        <w:tc>
          <w:tcPr>
            <w:tcW w:type="dxa" w:w="4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7건별 독립 동작 영상·모터 전기 피드백을 자동 수집한 결과와 구분</w:t>
            </w:r>
          </w:p>
        </w:tc>
      </w:tr>
      <w:tr>
        <w:trPr>
          <w:cantSplit/>
        </w:trPr>
        <w:tc>
          <w:tcPr>
            <w:tcW w:type="dxa" w:w="1699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성능 검증 단위</w:t>
            </w:r>
          </w:p>
        </w:tc>
        <w:tc>
          <w:tcPr>
            <w:tcW w:type="dxa" w:w="4262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E03의 박스 검출 성능, 동일 Jetson 비교, 실물 제품 판정을 각각 제시</w:t>
            </w:r>
          </w:p>
        </w:tc>
        <w:tc>
          <w:tcPr>
            <w:tcW w:type="dxa" w:w="4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9"/>
              </w:rPr>
              <w:t>E04 독립 최종시험 완료 근거는 포함하지 않음. mAP를 라인 정확도로 바꾸지 않음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FF4E5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17365D"/>
                <w:sz w:val="20"/>
              </w:rPr>
              <w:t xml:space="preserve">기술적 확장 관점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부품 박스 경계 정밀도, 환경 변화에 대한 강건성, 지속 운전의 안정성은 적용 범위를 넓힐 때 구분해 평가할 기술 영역이다. 이는 향후 확장 방향이며 현재 검증 결과에 포함하지 않는다.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R02 v1.2 4·7쪽, R03 v1.1 8·12쪽, R04 v1.2 13~14쪽, R05 v1.0 11~13쪽. 오조립 참고 기능과 푸셔 운영 미통합 범위는 1·10절에서 정의했다.</w:t>
      </w:r>
    </w:p>
    <w:p>
      <w:pPr>
        <w:keepNext/>
        <w:pageBreakBefore w:val="0"/>
        <w:spacing w:before="200" w:after="100" w:line="271" w:lineRule="auto"/>
      </w:pPr>
      <w:r>
        <w:rPr>
          <w:rFonts w:ascii="NanumGothic" w:hAnsi="NanumGothic" w:eastAsia="NanumGothic" w:cs="NanumGothic"/>
          <w:b/>
          <w:color w:val="17365D"/>
          <w:sz w:val="22"/>
        </w:rPr>
        <w:t>기구 제작에서 자동 배출 연계로 확장</w:t>
      </w:r>
    </w:p>
    <w:p>
      <w:pPr>
        <w:keepNext w:val="0"/>
        <w:pageBreakBefore w:val="0"/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불량품 자동 배출은 제작한 푸셔 기구를 기반으로 확장한다. 모터 확보 후 구동과 PLC 연동을 검증하고, 검사 결과에 따른 배출 동작을 현장 시험으로 확인할 계획이다. [P01]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12. 결론</w:t>
      </w: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1F1F1F"/>
          <w:sz w:val="20"/>
        </w:rPr>
        <w:t>본 프로젝트는 엔진 모형을 대상으로 데이터 구축, 객체탐지 학습, TensorRT 변환, Jetson 실행, PLC 통신, 현장 장치 반응, SQLite 저장과 웹 조회를 하나의 검사 시스템으로 연결했다. 특히 모델 성능을 제시하는 데서 멈추지 않고 실제 장비에서 7건의 검사 흐름을 완료하고, 동일 Jetson에서 원본 PyTorch와 TensorRT를 정량 비교했다.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43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최종 성과</w:t>
            </w:r>
          </w:p>
        </w:tc>
        <w:tc>
          <w:tcPr>
            <w:tcW w:type="dxa" w:w="703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대표 근거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AI 모델</w:t>
            </w:r>
          </w:p>
        </w:tc>
        <w:tc>
          <w:tcPr>
            <w:tcW w:type="dxa" w:w="703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M1/M2 mAP50 0.995, 실제 오류·경계 사례 분석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Edge 실행</w:t>
            </w:r>
          </w:p>
        </w:tc>
        <w:tc>
          <w:tcPr>
            <w:tcW w:type="dxa" w:w="703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학습 PT→ONNX→TRT→운영 release 해시 계보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최적화</w:t>
            </w:r>
          </w:p>
        </w:tc>
        <w:tc>
          <w:tcPr>
            <w:tcW w:type="dxa" w:w="703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TensorRT 프로세스 RSS 관측 최대 약 49% 감소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통합 운전</w:t>
            </w:r>
          </w:p>
        </w:tc>
        <w:tc>
          <w:tcPr>
            <w:tcW w:type="dxa" w:w="703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정상 4 PASS + 결품 3 FAIL, 저장·PLC 완료 각 7건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추적성</w:t>
            </w:r>
          </w:p>
        </w:tc>
        <w:tc>
          <w:tcPr>
            <w:tcW w:type="dxa" w:w="703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원본21장, 표시7장, 동일 ID 조회14/14, SQLite/Web 구현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0F8"/>
            <w:tcMar>
              <w:top w:w="55" w:type="dxa"/>
              <w:start w:w="140" w:type="dxa"/>
              <w:bottom w:w="55" w:type="dxa"/>
              <w:end w:w="14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</w:pPr>
            <w:r>
              <w:rPr>
                <w:rFonts w:ascii="NanumGothic" w:hAnsi="NanumGothic" w:eastAsia="NanumGothic" w:cs="NanumGothic"/>
                <w:b/>
                <w:color w:val="17365D"/>
                <w:sz w:val="20"/>
              </w:rPr>
              <w:t xml:space="preserve">프로젝트의 가치  </w:t>
            </w:r>
            <w:r>
              <w:rPr>
                <w:rFonts w:ascii="NanumGothic" w:hAnsi="NanumGothic" w:eastAsia="NanumGothic" w:cs="NanumGothic"/>
                <w:b w:val="0"/>
                <w:color w:val="1F1F1F"/>
                <w:sz w:val="20"/>
              </w:rPr>
              <w:t>단일 YOLO 데모가 아니라 데이터 → 모델 → Edge 실행 → 저장 완료 확인 → PLC 응답 → 검사 이력 조회를 실제 장비와 근거 파일로 연결한 산업용 소프트웨어 프로젝트다. 모델·설정·검사 ID를 통해 각 결과를 다시 확인할 수 있다.</w:t>
            </w:r>
          </w:p>
        </w:tc>
      </w:tr>
    </w:tbl>
    <w:p>
      <w:pPr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근거: R02~R07: 기존 데이터·학습·변환·Benchmark·실물시험·DB 근거를 종합한 결론.</w:t>
      </w:r>
    </w:p>
    <w:p>
      <w:pPr>
        <w:pStyle w:val="Heading1"/>
        <w:keepNext/>
        <w:spacing w:before="160" w:after="120"/>
        <w:pBdr>
          <w:bottom w:val="single" w:sz="12" w:space="3" w:color="17365D"/>
        </w:pBdr>
        <w:pageBreakBefore/>
      </w:pPr>
      <w:r>
        <w:rPr>
          <w:rFonts w:ascii="NanumGothic" w:hAnsi="NanumGothic" w:eastAsia="NanumGothic" w:cs="NanumGothic"/>
          <w:b/>
          <w:color w:val="17365D"/>
          <w:sz w:val="28"/>
        </w:rPr>
        <w:t>부록 A. 제출 산출물과 근거 연결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5688"/>
        <w:gridCol w:w="3701"/>
      </w:tblGrid>
      <w:tr>
        <w:trPr>
          <w:cantSplit/>
          <w:tblHeader/>
        </w:trPr>
        <w:tc>
          <w:tcPr>
            <w:tcW w:type="dxa" w:w="69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8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산출물</w:t>
            </w:r>
          </w:p>
        </w:tc>
        <w:tc>
          <w:tcPr>
            <w:tcW w:type="dxa" w:w="3701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R01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01 문제정의서 · v1.1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현장 문제·사용자·입출력·성공 기준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R02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02 데이터셋 설명서 · v1.2</w:t>
              <w:br/>
              <w:t>M1_M2_dataset_evidence_v002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수집·라벨·분할·전체 사진 및 라벨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R03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03 모델 평가서 · v1.1</w:t>
              <w:br/>
              <w:t>M1_M2_model_evaluation_evidence_v001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학습·개발 검증 지표·오류 사례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R04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04 최적화 전후 Benchmark 보고서 · v1.2</w:t>
              <w:br/>
              <w:t>M1_M2_benchmark_evidence_v001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동일 Jetson 단독 모델 비교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R05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05 통합 테스트 결과서 · v1.0</w:t>
              <w:br/>
              <w:t>Engine_Integrated_Test_Evidence_v001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실물 7건의 검사·저장·PLC 연계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R06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06 DB 구조·조회 방식 설명서 · v1.0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SQLite/API/조회 구조와 review_kit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R07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07 Jetson 실행·ONNX/TensorRT 절차서 · v1.1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실행·변환·저장 확인·설치 안내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R08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08 프로젝트 기획안 · v1.1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계획 당시 역할·구현 범위·달성 결과</w:t>
            </w:r>
          </w:p>
        </w:tc>
      </w:tr>
      <w:tr>
        <w:trPr>
          <w:cantSplit/>
        </w:trPr>
        <w:tc>
          <w:tcPr>
            <w:tcW w:type="dxa" w:w="69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R09</w:t>
            </w:r>
          </w:p>
        </w:tc>
        <w:tc>
          <w:tcPr>
            <w:tcW w:type="dxa" w:w="568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09 프로젝트 README · v1.1</w:t>
            </w:r>
          </w:p>
        </w:tc>
        <w:tc>
          <w:tcPr>
            <w:tcW w:type="dxa" w:w="3701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코드·산출물 저장소·구조·실행 안내</w:t>
            </w:r>
          </w:p>
        </w:tc>
      </w:tr>
    </w:tbl>
    <w:p>
      <w:pPr>
        <w:spacing w:after="20"/>
      </w:pPr>
    </w:p>
    <w:p>
      <w:pPr>
        <w:keepNext/>
        <w:spacing w:before="100" w:after="100" w:line="271" w:lineRule="auto"/>
      </w:pPr>
      <w:r>
        <w:rPr>
          <w:rFonts w:ascii="NanumGothic" w:hAnsi="NanumGothic" w:eastAsia="NanumGothic" w:cs="NanumGothic"/>
          <w:b/>
          <w:color w:val="2F5597"/>
          <w:sz w:val="22"/>
        </w:rPr>
        <w:t>부록 B. 기준 버전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3118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635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기준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운영 Release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engine-integrated-32c484ac6aeb07f1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통합 실물시험 실행본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engine-integrated-4c4b935f8ab0404a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평가 근거 코드 기준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cfaa372eece0cd6a7dc659cc316c256fb4b6af76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기존 README 반영 커밋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6b8931aa5c6704ee0b2c6c2a120d3e097b9d9e84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M1 TRT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743ce54b...bf2d6c</w:t>
            </w:r>
          </w:p>
        </w:tc>
      </w:tr>
      <w:tr>
        <w:trPr>
          <w:cantSplit/>
        </w:trPr>
        <w:tc>
          <w:tcPr>
            <w:tcW w:type="dxa" w:w="3118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M2 TRT</w:t>
            </w:r>
          </w:p>
        </w:tc>
        <w:tc>
          <w:tcPr>
            <w:tcW w:type="dxa" w:w="635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c82f2658...cebf83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 w:cs="NanumGothic"/>
          <w:b w:val="0"/>
          <w:color w:val="666666"/>
          <w:sz w:val="17"/>
        </w:rPr>
        <w:t>코드 확인 커밋, README 문서 반영 커밋과 장치 운영 릴리스는 서로 다른 식별자다. 실물 7회는 4c4b 실행본의 기록이며 후속 32c4는 UI 변경 범위를 별도로 확인했다. 위 문서 버전은 이번 개정본 기준이며 기존 실험 증빙의 버전·해시는 유지한다.</w:t>
      </w:r>
    </w:p>
    <w:p>
      <w:pPr>
        <w:spacing w:before="40" w:after="0" w:line="269" w:lineRule="auto"/>
      </w:pPr>
      <w:r>
        <w:rPr>
          <w:rFonts w:ascii="NanumGothic" w:hAnsi="NanumGothic" w:eastAsia="NanumGothic" w:cs="NanumGothic"/>
          <w:b w:val="0"/>
          <w:color w:val="1F1F1F"/>
          <w:sz w:val="17"/>
        </w:rPr>
      </w:r>
      <w:hyperlink r:id="rId11">
        <w:r>
          <w:rPr>
            <w:rFonts w:ascii="NanumGothic" w:hAnsi="NanumGothic" w:eastAsia="NanumGothic" w:cs="NanumGothic"/>
            <w:color w:val="17365D"/>
            <w:sz w:val="17"/>
            <w:u w:val="single"/>
          </w:rPr>
          <w:t>평가 근거 코드</w:t>
        </w:r>
      </w:hyperlink>
      <w:r>
        <w:t xml:space="preserve">  |  </w:t>
      </w:r>
      <w:hyperlink r:id="rId21">
        <w:r>
          <w:rPr>
            <w:rFonts w:ascii="NanumGothic" w:hAnsi="NanumGothic" w:eastAsia="NanumGothic" w:cs="NanumGothic"/>
            <w:color w:val="17365D"/>
            <w:sz w:val="17"/>
            <w:u w:val="single"/>
          </w:rPr>
          <w:t>통합 제출 저장소</w:t>
        </w:r>
      </w:hyperlink>
    </w:p>
    <w:p>
      <w:pPr>
        <w:keepNext/>
        <w:pageBreakBefore w:val="0"/>
        <w:spacing w:before="180" w:after="100" w:line="271" w:lineRule="auto"/>
      </w:pPr>
      <w:r>
        <w:rPr>
          <w:rFonts w:ascii="NanumGothic" w:hAnsi="NanumGothic" w:eastAsia="NanumGothic" w:cs="NanumGothic"/>
          <w:b/>
          <w:color w:val="17365D"/>
          <w:sz w:val="22"/>
        </w:rPr>
        <w:t>부록 C. 통합 제출 자료 위치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rPr>
          <w:cantSplit/>
          <w:tblHeader/>
        </w:trPr>
        <w:tc>
          <w:tcPr>
            <w:tcW w:type="dxa" w:w="380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280"/>
            <w:shd w:fill="17365D"/>
            <w:vAlign w:val="center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7"/>
              </w:rPr>
              <w:t>저장소 내 경로</w:t>
            </w:r>
          </w:p>
        </w:tc>
      </w:tr>
      <w:tr>
        <w:trPr>
          <w:cantSplit/>
        </w:trPr>
        <w:tc>
          <w:tcPr>
            <w:tcW w:type="dxa" w:w="38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실행·학습 코드 및 모델</w:t>
            </w:r>
          </w:p>
        </w:tc>
        <w:tc>
          <w:tcPr>
            <w:tcW w:type="dxa" w:w="62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</w:r>
            <w:hyperlink r:id="rId22">
              <w:r>
                <w:rPr>
                  <w:rFonts w:ascii="NanumGothic" w:hAnsi="NanumGothic" w:eastAsia="NanumGothic" w:cs="NanumGothic"/>
                  <w:color w:val="17365D"/>
                  <w:sz w:val="17"/>
                  <w:u w:val="single"/>
                </w:rPr>
                <w:t>project/</w:t>
              </w:r>
            </w:hyperlink>
          </w:p>
        </w:tc>
      </w:tr>
      <w:tr>
        <w:trPr>
          <w:cantSplit/>
        </w:trPr>
        <w:tc>
          <w:tcPr>
            <w:tcW w:type="dxa" w:w="38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평가 보고서와 원본 증빙</w:t>
            </w:r>
          </w:p>
        </w:tc>
        <w:tc>
          <w:tcPr>
            <w:tcW w:type="dxa" w:w="62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</w:r>
            <w:hyperlink r:id="rId23">
              <w:r>
                <w:rPr>
                  <w:rFonts w:ascii="NanumGothic" w:hAnsi="NanumGothic" w:eastAsia="NanumGothic" w:cs="NanumGothic"/>
                  <w:color w:val="17365D"/>
                  <w:sz w:val="17"/>
                  <w:u w:val="single"/>
                </w:rPr>
                <w:t>docs/</w:t>
              </w:r>
            </w:hyperlink>
          </w:p>
        </w:tc>
      </w:tr>
      <w:tr>
        <w:trPr>
          <w:cantSplit/>
        </w:trPr>
        <w:tc>
          <w:tcPr>
            <w:tcW w:type="dxa" w:w="38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발표·시연 영상</w:t>
            </w:r>
          </w:p>
        </w:tc>
        <w:tc>
          <w:tcPr>
            <w:tcW w:type="dxa" w:w="62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</w:r>
            <w:hyperlink r:id="rId24">
              <w:r>
                <w:rPr>
                  <w:rFonts w:ascii="NanumGothic" w:hAnsi="NanumGothic" w:eastAsia="NanumGothic" w:cs="NanumGothic"/>
                  <w:color w:val="17365D"/>
                  <w:sz w:val="17"/>
                  <w:u w:val="single"/>
                </w:rPr>
                <w:t>video/제출용.mp4</w:t>
              </w:r>
            </w:hyperlink>
          </w:p>
        </w:tc>
      </w:tr>
      <w:tr>
        <w:trPr>
          <w:cantSplit/>
        </w:trPr>
        <w:tc>
          <w:tcPr>
            <w:tcW w:type="dxa" w:w="38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8"/>
              </w:rPr>
              <w:t>영상 다운로드 안내</w:t>
            </w:r>
          </w:p>
        </w:tc>
        <w:tc>
          <w:tcPr>
            <w:tcW w:type="dxa" w:w="62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  <w:shd w:fill="F7F9FC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</w:r>
            <w:hyperlink r:id="rId25">
              <w:r>
                <w:rPr>
                  <w:rFonts w:ascii="NanumGothic" w:hAnsi="NanumGothic" w:eastAsia="NanumGothic" w:cs="NanumGothic"/>
                  <w:color w:val="17365D"/>
                  <w:sz w:val="17"/>
                  <w:u w:val="single"/>
                </w:rPr>
                <w:t>video/README.md</w:t>
              </w:r>
            </w:hyperlink>
          </w:p>
        </w:tc>
      </w:tr>
      <w:tr>
        <w:trPr>
          <w:cantSplit/>
        </w:trPr>
        <w:tc>
          <w:tcPr>
            <w:tcW w:type="dxa" w:w="380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  <w:t>전체 자료 탐색</w:t>
            </w:r>
          </w:p>
        </w:tc>
        <w:tc>
          <w:tcPr>
            <w:tcW w:type="dxa" w:w="6280"/>
            <w:tcMar>
              <w:top w:w="55" w:type="dxa"/>
              <w:start w:w="100" w:type="dxa"/>
              <w:bottom w:w="55" w:type="dxa"/>
              <w:end w:w="100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spacing w:line="259" w:lineRule="auto" w:before="0" w:after="0"/>
              <w:jc w:val="left"/>
            </w:pPr>
            <w:r>
              <w:rPr>
                <w:rFonts w:ascii="NanumGothic" w:hAnsi="NanumGothic" w:eastAsia="NanumGothic" w:cs="NanumGothic"/>
                <w:b w:val="0"/>
                <w:color w:val="1F1F1F"/>
                <w:sz w:val="17"/>
              </w:rPr>
            </w:r>
            <w:hyperlink r:id="rId21">
              <w:r>
                <w:rPr>
                  <w:rFonts w:ascii="NanumGothic" w:hAnsi="NanumGothic" w:eastAsia="NanumGothic" w:cs="NanumGothic"/>
                  <w:color w:val="17365D"/>
                  <w:sz w:val="17"/>
                  <w:u w:val="single"/>
                </w:rPr>
                <w:t>README.md</w:t>
              </w:r>
            </w:hyperlink>
          </w:p>
        </w:tc>
      </w:tr>
    </w:tbl>
    <w:p>
      <w:pPr>
        <w:keepNext w:val="0"/>
        <w:pageBreakBefore w:val="0"/>
        <w:spacing w:after="80" w:line="276" w:lineRule="auto"/>
      </w:pPr>
      <w:r>
        <w:rPr>
          <w:rFonts w:ascii="NanumGothic" w:hAnsi="NanumGothic" w:eastAsia="NanumGothic" w:cs="NanumGothic"/>
          <w:b w:val="0"/>
          <w:color w:val="666666"/>
          <w:sz w:val="16"/>
        </w:rPr>
        <w:t>MP4는 Git LFS로 제공된다. GitHub에서 재생되지 않으면 video/README.md의 실파일 다운로드 안내를 이용한다.</w:t>
      </w:r>
    </w:p>
    <w:p>
      <w:pPr>
        <w:keepNext w:val="0"/>
        <w:pageBreakBefore w:val="0"/>
        <w:spacing w:before="80" w:after="60" w:line="269" w:lineRule="auto"/>
      </w:pPr>
      <w:r>
        <w:rPr>
          <w:rFonts w:ascii="NanumGothic" w:hAnsi="NanumGothic" w:eastAsia="NanumGothic" w:cs="NanumGothic"/>
          <w:b w:val="0"/>
          <w:color w:val="626262"/>
          <w:sz w:val="16"/>
        </w:rPr>
        <w:t>P01 추가 참고: 사용자 제공 발표.pdf(3·24쪽) 및 발표대본_Three-Frame_v3.md. 최종 역할·기구 제작 현황에만 적용하며 기존 실험 수치·버전·해시는 변경하지 않았다.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66666"/>
        <w:sz w:val="14"/>
      </w:rPr>
      <w:t>온디바이스 AI 기반 엔진 모형 조립 검사 - 최종 결과보고서 · v1.3</w:t>
    </w:r>
    <w:r>
      <w:rPr>
        <w:rFonts w:ascii="NanumGothic" w:hAnsi="NanumGothic"/>
        <w:sz w:val="14"/>
      </w:rPr>
      <w:t xml:space="preserve">  |  </w:t>
    </w:r>
    <w:r>
      <w:rPr>
        <w:rFonts w:ascii="NanumGothic" w:hAnsi="NanumGothi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anumGothic" w:hAnsi="NanumGothic"/>
        <w:sz w:val="14"/>
      </w:rPr>
      <w:t xml:space="preserve"> / </w:t>
    </w:r>
    <w:r>
      <w:rPr>
        <w:rFonts w:ascii="NanumGothic" w:hAnsi="NanumGothi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/>
        <w:color w:val="666666"/>
        <w:sz w:val="15"/>
      </w:rPr>
      <w:t>ENGINE ASSEMBLY DEFECT INSPECTOR  |  FINAL REPORT  |  2026.10.20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 w:cs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 w:cs="Nanum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github.com/tmdgns104/Engine_Assembly_Defect_Inspector" TargetMode="External"/><Relationship Id="rId20" Type="http://schemas.openxmlformats.org/officeDocument/2006/relationships/hyperlink" Target="https://github.com/tmdgns104/Engine_Assembly_Runtime_Review" TargetMode="External"/><Relationship Id="rId11" Type="http://schemas.openxmlformats.org/officeDocument/2006/relationships/hyperlink" Target="https://github.com/tmdgns104/Engine_Assembly_Defect_Inspector/tree/cfaa372eece0cd6a7dc659cc316c256fb4b6af76" TargetMode="External"/><Relationship Id="rId21" Type="http://schemas.openxmlformats.org/officeDocument/2006/relationships/hyperlink" Target="https://github.com/tmdgns104/Engine_Assembly_Final_Submission" TargetMode="External"/><Relationship Id="rId22" Type="http://schemas.openxmlformats.org/officeDocument/2006/relationships/hyperlink" Target="https://github.com/tmdgns104/Engine_Assembly_Final_Submission/tree/main/project" TargetMode="External"/><Relationship Id="rId23" Type="http://schemas.openxmlformats.org/officeDocument/2006/relationships/hyperlink" Target="https://github.com/tmdgns104/Engine_Assembly_Final_Submission/tree/main/docs" TargetMode="External"/><Relationship Id="rId24" Type="http://schemas.openxmlformats.org/officeDocument/2006/relationships/hyperlink" Target="https://github.com/tmdgns104/Engine_Assembly_Final_Submission/blob/main/video/%EC%A0%9C%EC%B6%9C%EC%9A%A9.mp4" TargetMode="External"/><Relationship Id="rId25" Type="http://schemas.openxmlformats.org/officeDocument/2006/relationships/hyperlink" Target="https://github.com/tmdgns104/Engine_Assembly_Final_Submission/blob/main/video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온디바이스 AI 기반 엔진 모형 조립 검사 시스템 — 최종 결과보고서 v1.3</dc:title>
  <dc:subject>Three-Frame 평가 제출용 최종 결과보고서</dc:subject>
  <dc:creator>python-docx</dc:creator>
  <cp:keywords/>
  <dc:description>v1.3: 통합 GitHub 링크, 실제 수행 역할, 푸셔 제작 현황, 저장·성능 표현 및 자료 탐색 안내 보완. 기존 정량 결과 유지.</dc:description>
  <cp:lastModifiedBy/>
  <cp:revision>3</cp:revision>
  <dcterms:created xsi:type="dcterms:W3CDTF">2013-12-23T23:15:00Z</dcterms:created>
  <dcterms:modified xsi:type="dcterms:W3CDTF">2026-10-23T00:00:00Z</dcterms:modified>
  <cp:category/>
  <cp:version>1.2</cp:version>
</cp:coreProperties>
</file>