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anumGothic" w:hAnsi="NanumGothic" w:eastAsia="NanumGothic"/>
        </w:rPr>
        <w:t>엔진 모형 검사 모델 평가서</w:t>
      </w:r>
    </w:p>
    <w:p>
      <w:pPr>
        <w:pStyle w:val="Subtitle"/>
      </w:pPr>
      <w:r>
        <w:rPr>
          <w:rFonts w:ascii="NanumGothic" w:hAnsi="NanumGothic" w:eastAsia="NanumGothic"/>
        </w:rPr>
        <w:t>역할 분리형 검출 모델 구축과 Jetson 검증 연계</w:t>
      </w:r>
    </w:p>
    <w:p>
      <w:r>
        <w:rPr>
          <w:rFonts w:ascii="NanumGothic" w:hAnsi="NanumGothic" w:eastAsia="NanumGothic"/>
          <w:sz w:val="19"/>
        </w:rPr>
        <w:t>평가 제출용    자료 기준 2026년 10월 19일    문서 버전 1.1</w:t>
      </w:r>
    </w:p>
    <w:p>
      <w:r>
        <w:rPr>
          <w:rFonts w:ascii="NanumGothic" w:hAnsi="NanumGothic" w:eastAsia="NanumGothic"/>
        </w:rPr>
        <w:t>엔진 모형의 부품과 전체 영역을 검출하는 YOLO11n 기반 M1·M2를 학습하고, E03 개발 검증에서 두 모델 모두 mAP50 0.995를 기록했다. 학습·오류 분석·변환 모델·후속 Jetson 측정을 연결해 구현 성과를 제시한다. 기준 운영본은 engine-integrated-32c484ac6aeb07f1이다. [R1, S1~S4, S10, B1]</w:t>
      </w:r>
    </w:p>
    <w:p>
      <w:pPr>
        <w:pStyle w:val="Heading2"/>
      </w:pPr>
      <w:r>
        <w:t>학습 후 개발 검증 성과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2088"/>
        <w:gridCol w:w="2088"/>
        <w:gridCol w:w="2088"/>
        <w:gridCol w:w="2088"/>
      </w:tblGrid>
      <w:tr>
        <w:trPr>
          <w:cantSplit/>
          <w:tblHeader/>
        </w:trPr>
        <w:tc>
          <w:tcPr>
            <w:tcW w:type="dxa" w:w="169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평가 대상</w:t>
            </w:r>
          </w:p>
        </w:tc>
        <w:tc>
          <w:tcPr>
            <w:tcW w:type="dxa" w:w="20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Precision</w:t>
            </w:r>
          </w:p>
        </w:tc>
        <w:tc>
          <w:tcPr>
            <w:tcW w:type="dxa" w:w="20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Recall</w:t>
            </w:r>
          </w:p>
        </w:tc>
        <w:tc>
          <w:tcPr>
            <w:tcW w:type="dxa" w:w="20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mAP50</w:t>
            </w:r>
          </w:p>
        </w:tc>
        <w:tc>
          <w:tcPr>
            <w:tcW w:type="dxa" w:w="20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mAP50–95</w:t>
            </w:r>
          </w:p>
        </w:tc>
      </w:tr>
      <w:tr>
        <w:trPr>
          <w:cantSplit/>
        </w:trPr>
        <w:tc>
          <w:tcPr>
            <w:tcW w:type="dxa" w:w="169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M1</w:t>
            </w:r>
          </w:p>
        </w:tc>
        <w:tc>
          <w:tcPr>
            <w:tcW w:type="dxa" w:w="208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0.99770</w:t>
            </w:r>
          </w:p>
        </w:tc>
        <w:tc>
          <w:tcPr>
            <w:tcW w:type="dxa" w:w="208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1.00000</w:t>
            </w:r>
          </w:p>
        </w:tc>
        <w:tc>
          <w:tcPr>
            <w:tcW w:type="dxa" w:w="208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0.99500</w:t>
            </w:r>
          </w:p>
        </w:tc>
        <w:tc>
          <w:tcPr>
            <w:tcW w:type="dxa" w:w="208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0.66473</w:t>
            </w:r>
          </w:p>
        </w:tc>
      </w:tr>
      <w:tr>
        <w:trPr>
          <w:cantSplit/>
        </w:trPr>
        <w:tc>
          <w:tcPr>
            <w:tcW w:type="dxa" w:w="169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M2</w:t>
            </w:r>
          </w:p>
        </w:tc>
        <w:tc>
          <w:tcPr>
            <w:tcW w:type="dxa" w:w="208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0.96041</w:t>
            </w:r>
          </w:p>
        </w:tc>
        <w:tc>
          <w:tcPr>
            <w:tcW w:type="dxa" w:w="208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1.00000</w:t>
            </w:r>
          </w:p>
        </w:tc>
        <w:tc>
          <w:tcPr>
            <w:tcW w:type="dxa" w:w="208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0.99500</w:t>
            </w:r>
          </w:p>
        </w:tc>
        <w:tc>
          <w:tcPr>
            <w:tcW w:type="dxa" w:w="208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0.88427</w:t>
            </w:r>
          </w:p>
        </w:tc>
      </w:tr>
    </w:tbl>
    <w:p>
      <w:pPr>
        <w:spacing w:after="0"/>
      </w:pPr>
    </w:p>
    <w:p>
      <w:pPr>
        <w:pStyle w:val="Caption"/>
        <w:keepNext w:val="0"/>
      </w:pPr>
      <w:r>
        <w:rPr>
          <w:rFonts w:ascii="NanumGothic" w:hAnsi="NanumGothic" w:eastAsia="NanumGothic"/>
        </w:rPr>
        <w:t>표 1  학습 후 best.pt를 다시 불러 수행한 기존 Windows PT E03 검증. 각 모델은 같은 72장을 사용하며 정답 박스는 M1 192개, M2 72개다. [S3, S4]</w:t>
      </w:r>
    </w:p>
    <w:p>
      <w:pPr>
        <w:shd w:fill="EAF4F0"/>
        <w:spacing w:before="160" w:after="160" w:line="269" w:lineRule="auto"/>
      </w:pPr>
      <w:r>
        <w:rPr>
          <w:rFonts w:ascii="NanumGothic" w:hAnsi="NanumGothic" w:eastAsia="NanumGothic"/>
          <w:color w:val="143D36"/>
        </w:rPr>
        <w:t>후속 Jetson 비교에서도 confidence 0.25·정답 IoU 0.50에서 M1은 정답 192개, M2는 72개를 PT·TensorRT가 모두 검출했고 FP·FN은 0이었다. Windows 학습 결과를 넘어 실제 배포 장치에서의 고정 조건 검출까지 근거를 확보했다. 세부 조건은 11절과 Benchmark 보고서에 제시했다. [B1]</w:t>
      </w:r>
    </w:p>
    <w:p>
      <w:pPr>
        <w:pStyle w:val="Heading2"/>
      </w:pPr>
      <w:r>
        <w:t>수행한 작업과 평가 근거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832"/>
        <w:gridCol w:w="2347"/>
      </w:tblGrid>
      <w:tr>
        <w:trPr>
          <w:cantSplit/>
          <w:tblHeader/>
        </w:trPr>
        <w:tc>
          <w:tcPr>
            <w:tcW w:type="dxa" w:w="18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검토 항목</w:t>
            </w:r>
          </w:p>
        </w:tc>
        <w:tc>
          <w:tcPr>
            <w:tcW w:type="dxa" w:w="583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제시한 내용</w:t>
            </w:r>
          </w:p>
        </w:tc>
        <w:tc>
          <w:tcPr>
            <w:tcW w:type="dxa" w:w="234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문서 위치</w:t>
            </w:r>
          </w:p>
        </w:tc>
      </w:tr>
      <w:tr>
        <w:trPr>
          <w:cantSplit/>
        </w:trPr>
        <w:tc>
          <w:tcPr>
            <w:tcW w:type="dxa" w:w="18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기준 모델과 학습</w:t>
            </w:r>
          </w:p>
        </w:tc>
        <w:tc>
          <w:tcPr>
            <w:tcW w:type="dxa" w:w="583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역할·데이터·학습 설정·완료 및 종료 근거</w:t>
            </w:r>
          </w:p>
        </w:tc>
        <w:tc>
          <w:tcPr>
            <w:tcW w:type="dxa" w:w="234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01~03절 · S1~S4</w:t>
            </w:r>
          </w:p>
        </w:tc>
      </w:tr>
      <w:tr>
        <w:trPr>
          <w:cantSplit/>
        </w:trPr>
        <w:tc>
          <w:tcPr>
            <w:tcW w:type="dxa" w:w="18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성능 지표</w:t>
            </w:r>
          </w:p>
        </w:tc>
        <w:tc>
          <w:tcPr>
            <w:tcW w:type="dxa" w:w="583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평가 조건·전체 및 클래스별 AP·PR 곡선</w:t>
            </w:r>
          </w:p>
        </w:tc>
        <w:tc>
          <w:tcPr>
            <w:tcW w:type="dxa" w:w="234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04~05절 · S4~S6</w:t>
            </w:r>
          </w:p>
        </w:tc>
      </w:tr>
      <w:tr>
        <w:trPr>
          <w:cantSplit/>
        </w:trPr>
        <w:tc>
          <w:tcPr>
            <w:tcW w:type="dxa" w:w="18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오탐과 미탐 분석</w:t>
            </w:r>
          </w:p>
        </w:tc>
        <w:tc>
          <w:tcPr>
            <w:tcW w:type="dxa" w:w="583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혼동행렬·M1 위치 오차·M2 추가 후보</w:t>
            </w:r>
          </w:p>
        </w:tc>
        <w:tc>
          <w:tcPr>
            <w:tcW w:type="dxa" w:w="234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06~10절 · S5~S9</w:t>
            </w:r>
          </w:p>
        </w:tc>
      </w:tr>
      <w:tr>
        <w:trPr>
          <w:cantSplit/>
        </w:trPr>
        <w:tc>
          <w:tcPr>
            <w:tcW w:type="dxa" w:w="18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배포 검증·적용 범위</w:t>
            </w:r>
          </w:p>
        </w:tc>
        <w:tc>
          <w:tcPr>
            <w:tcW w:type="dxa" w:w="583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후속 Jetson 정답 비교·운영 연결·개선 계획</w:t>
            </w:r>
          </w:p>
        </w:tc>
        <w:tc>
          <w:tcPr>
            <w:tcW w:type="dxa" w:w="234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11절 · 부록 A~D · B1</w:t>
            </w:r>
          </w:p>
        </w:tc>
      </w:tr>
    </w:tbl>
    <w:p>
      <w:pPr>
        <w:spacing w:after="0"/>
      </w:pPr>
    </w:p>
    <w:p>
      <w:r>
        <w:rPr>
          <w:rFonts w:ascii="NanumGothic" w:hAnsi="NanumGothic" w:eastAsia="NanumGothic"/>
        </w:rPr>
        <w:t>본문은 Windows 학습·개발 검증을 중심으로 구성하고, 후속 Jetson 결과는 별도 조건으로 연결했다. 정밀한 박스 경계와 저신뢰 추가 후보를 분석해 개선 지점을 구체화했으며, 독립 최종시험과 제품 단위 성능은 후속 통합 검증에서 다룬다. [S5~S9, B1]</w:t>
      </w:r>
    </w:p>
    <w:p>
      <w:pPr>
        <w:pStyle w:val="Caption"/>
        <w:keepNext w:val="0"/>
      </w:pPr>
      <w:r>
        <w:rPr>
          <w:rFonts w:ascii="NanumGothic" w:hAnsi="NanumGothic" w:eastAsia="NanumGothic"/>
          <w:sz w:val="18"/>
        </w:rPr>
        <w:t>증빙: 모델 평가 ZIP v001 / 전체 데이터셋 v002 / 데이터셋 설명서 v1.2. 후속 Jetson 비교: Benchmark 보고서 v1.1 및 Benchmark 증빙 ZIP v001. 상세 파일 위치는 부록 D 참조.</w:t>
      </w:r>
    </w:p>
    <w:p>
      <w:pPr>
        <w:pStyle w:val="Heading1"/>
        <w:pageBreakBefore/>
      </w:pPr>
      <w:r>
        <w:t>01 역할을 분리한 두 검출 모델</w:t>
      </w:r>
    </w:p>
    <w:p>
      <w:r>
        <w:rPr>
          <w:rFonts w:ascii="NanumGothic" w:hAnsi="NanumGothic" w:eastAsia="NanumGothic"/>
        </w:rPr>
        <w:t>M1은 회색 파이프 두 개·배기 한 개·문양 한 개의 종류와 위치를, M2는 엔진 전체 영역을 검출한다. 같은 사진에 부품 라벨과 전체 영역 라벨을 각각 구성해, 검사 대상의 존재와 부품 구성을 나누어 표현했다. [S1~S3]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090"/>
        <w:gridCol w:w="4090"/>
      </w:tblGrid>
      <w:tr>
        <w:trPr>
          <w:cantSplit/>
          <w:tblHeader/>
        </w:trPr>
        <w:tc>
          <w:tcPr>
            <w:tcW w:type="dxa" w:w="18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구분</w:t>
            </w:r>
          </w:p>
        </w:tc>
        <w:tc>
          <w:tcPr>
            <w:tcW w:type="dxa" w:w="409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M1 부품 검출</w:t>
            </w:r>
          </w:p>
        </w:tc>
        <w:tc>
          <w:tcPr>
            <w:tcW w:type="dxa" w:w="409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M2 엔진 전체 검출</w:t>
            </w:r>
          </w:p>
        </w:tc>
      </w:tr>
      <w:tr>
        <w:trPr>
          <w:cantSplit/>
        </w:trPr>
        <w:tc>
          <w:tcPr>
            <w:tcW w:type="dxa" w:w="18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기준 모델</w:t>
            </w:r>
          </w:p>
        </w:tc>
        <w:tc>
          <w:tcPr>
            <w:tcW w:type="dxa" w:w="40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YOLO11n 검출 모델</w:t>
            </w:r>
          </w:p>
        </w:tc>
        <w:tc>
          <w:tcPr>
            <w:tcW w:type="dxa" w:w="40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YOLO11n 검출 모델</w:t>
            </w:r>
          </w:p>
        </w:tc>
      </w:tr>
      <w:tr>
        <w:trPr>
          <w:cantSplit/>
        </w:trPr>
        <w:tc>
          <w:tcPr>
            <w:tcW w:type="dxa" w:w="18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클래스</w:t>
            </w:r>
          </w:p>
        </w:tc>
        <w:tc>
          <w:tcPr>
            <w:tcW w:type="dxa" w:w="409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gray_pipe / exhaust_top / symbol_module</w:t>
            </w:r>
          </w:p>
        </w:tc>
        <w:tc>
          <w:tcPr>
            <w:tcW w:type="dxa" w:w="40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product_envelope</w:t>
            </w:r>
          </w:p>
        </w:tc>
      </w:tr>
      <w:tr>
        <w:trPr>
          <w:cantSplit/>
        </w:trPr>
        <w:tc>
          <w:tcPr>
            <w:tcW w:type="dxa" w:w="18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정상 한 제품의 정답</w:t>
            </w:r>
          </w:p>
        </w:tc>
        <w:tc>
          <w:tcPr>
            <w:tcW w:type="dxa" w:w="409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파이프 2 + 배기 1 + 문양 1</w:t>
            </w:r>
          </w:p>
        </w:tc>
        <w:tc>
          <w:tcPr>
            <w:tcW w:type="dxa" w:w="40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엔진 전체 1</w:t>
            </w:r>
          </w:p>
        </w:tc>
      </w:tr>
      <w:tr>
        <w:trPr>
          <w:cantSplit/>
        </w:trPr>
        <w:tc>
          <w:tcPr>
            <w:tcW w:type="dxa" w:w="18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학습 run</w:t>
            </w:r>
          </w:p>
        </w:tc>
        <w:tc>
          <w:tcPr>
            <w:tcW w:type="dxa" w:w="409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run_20260921T082749Z_709634</w:t>
            </w:r>
          </w:p>
        </w:tc>
        <w:tc>
          <w:tcPr>
            <w:tcW w:type="dxa" w:w="40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envelope_v004</w:t>
            </w:r>
          </w:p>
        </w:tc>
      </w:tr>
      <w:tr>
        <w:trPr>
          <w:cantSplit/>
        </w:trPr>
        <w:tc>
          <w:tcPr>
            <w:tcW w:type="dxa" w:w="18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관측 운영 패키지</w:t>
            </w:r>
          </w:p>
        </w:tc>
        <w:tc>
          <w:tcPr>
            <w:tcW w:type="dxa" w:w="40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dynamic_parts_005</w:t>
            </w:r>
          </w:p>
        </w:tc>
        <w:tc>
          <w:tcPr>
            <w:tcW w:type="dxa" w:w="409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envelope_v007_fp16</w:t>
            </w:r>
          </w:p>
        </w:tc>
      </w:tr>
      <w:tr>
        <w:trPr>
          <w:cantSplit/>
        </w:trPr>
        <w:tc>
          <w:tcPr>
            <w:tcW w:type="dxa" w:w="18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모델 출력의 의미</w:t>
            </w:r>
          </w:p>
        </w:tc>
        <w:tc>
          <w:tcPr>
            <w:tcW w:type="dxa" w:w="40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부품 후보의 클래스·박스·점수</w:t>
            </w:r>
          </w:p>
        </w:tc>
        <w:tc>
          <w:tcPr>
            <w:tcW w:type="dxa" w:w="40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엔진 영역 후보의 박스·점수</w:t>
            </w:r>
          </w:p>
        </w:tc>
      </w:tr>
    </w:tbl>
    <w:p>
      <w:pPr>
        <w:spacing w:after="0"/>
      </w:pPr>
    </w:p>
    <w:p>
      <w:pPr>
        <w:keepNext/>
        <w:spacing w:after="80"/>
        <w:jc w:val="center"/>
      </w:pPr>
      <w:r>
        <w:drawing>
          <wp:inline xmlns:a="http://schemas.openxmlformats.org/drawingml/2006/main" xmlns:pic="http://schemas.openxmlformats.org/drawingml/2006/picture">
            <wp:extent cx="6382512" cy="1904459"/>
            <wp:docPr id="1" name="Picture 1" descr="그림 1  동일 E03 D145의 기존 M1 및 M2 PT 예측. 사진 생성 confidence는 각각 0.25와 0.05이며 정량 검증 지표와 별도 호출이다. [S8, S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82512" cy="1904459"/>
                    </a:xfrm>
                    <a:prstGeom prst="rect"/>
                  </pic:spPr>
                </pic:pic>
              </a:graphicData>
            </a:graphic>
          </wp:inline>
        </w:drawing>
      </w:r>
    </w:p>
    <w:p>
      <w:pPr>
        <w:pStyle w:val="Caption"/>
        <w:keepNext w:val="0"/>
      </w:pPr>
      <w:r>
        <w:rPr>
          <w:rFonts w:ascii="NanumGothic" w:hAnsi="NanumGothic" w:eastAsia="NanumGothic"/>
        </w:rPr>
        <w:t>그림 1  동일 E03 D145의 기존 M1 및 M2 PT 예측. 사진 생성 confidence는 각각 0.25와 0.05이며 정량 검증 지표와 별도 호출이다. [S8, S9]</w:t>
      </w:r>
    </w:p>
    <w:p>
      <w:pPr>
        <w:pStyle w:val="Heading2"/>
      </w:pPr>
      <w:r>
        <w:t>검출 결과를 제품 판정에 연결하는 구조</w:t>
      </w:r>
    </w:p>
    <w:p>
      <w:r>
        <w:rPr>
          <w:rFonts w:ascii="NanumGothic" w:hAnsi="NanumGothic" w:eastAsia="NanumGothic"/>
        </w:rPr>
        <w:t>M1의 두 파이프는 gray_pipe 한 클래스로 학습하고 물리적 좌우는 후단의 자리 대응으로 구분한다. M2는 엔진 영역을 제공한다. 최종 제품 판정은 이 검출 결과에 자리 대응과 운영 판정 로직을 결합하는 구조다. 본 평가의 AP는 부품·엔진 박스 검출을 대상으로 한다. [S3, S10]</w:t>
      </w:r>
    </w:p>
    <w:p>
      <w:r>
        <w:rPr>
          <w:rFonts w:ascii="NanumGothic" w:hAnsi="NanumGothic" w:eastAsia="NanumGothic"/>
          <w:sz w:val="20"/>
        </w:rPr>
        <w:t>본 문서는 YOLO11n 기반 M1·M2와 그 운영 연결을 다룬다. 서로 다른 모델 구조·크기의 비교와 M3~M6 참고 분류기는 별도 범위다.</w:t>
      </w:r>
    </w:p>
    <w:p>
      <w:pPr>
        <w:pStyle w:val="Heading1"/>
        <w:pageBreakBefore/>
      </w:pPr>
      <w:r>
        <w:t>02 데이터 구성과 재현 가능한 학습 설정</w:t>
      </w:r>
    </w:p>
    <w:p>
      <w:r>
        <w:rPr>
          <w:rFonts w:ascii="NanumGothic" w:hAnsi="NanumGothic" w:eastAsia="NanumGothic"/>
        </w:rPr>
        <w:t>고유 원본 216장을 E01·E02 학습 144장과 E03 개발 검증 72장으로 구성했다. 두 모델의 분할을 동일하게 유지하고, 이미지 ID·capture ID·해시·기록된 origin_group_id의 train/val 중복 0을 확인했다. 전체 사진·라벨과 분할 근거는 데이터셋 v002로 제공한다. [S3, D1]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3082"/>
        <w:gridCol w:w="3082"/>
      </w:tblGrid>
      <w:tr>
        <w:trPr>
          <w:cantSplit/>
          <w:tblHeader/>
        </w:trPr>
        <w:tc>
          <w:tcPr>
            <w:tcW w:type="dxa" w:w="38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항목</w:t>
            </w:r>
          </w:p>
        </w:tc>
        <w:tc>
          <w:tcPr>
            <w:tcW w:type="dxa" w:w="308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M1</w:t>
            </w:r>
          </w:p>
        </w:tc>
        <w:tc>
          <w:tcPr>
            <w:tcW w:type="dxa" w:w="308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M2</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학습 이미지 / 정답 박스</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144장 / 384개</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144장 / 144개</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검증 이미지 / 정답 박스</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72장 / 192개</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72장 / 72개</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입력 imgsz / 학습 batch</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640 / 8</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640 / 8</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최대 epoch / patience</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100 / 20</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100 / 20</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seed / workers / AMP</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42 / 0 / false</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42 / 0 / false</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optimizer 설정 → 실행</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auto → AdamW</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auto → AdamW</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실행 초기 lr / momentum</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0.001429 / 0.9</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0.002 / 0.9</w:t>
            </w:r>
          </w:p>
        </w:tc>
      </w:tr>
    </w:tbl>
    <w:p>
      <w:pPr>
        <w:spacing w:after="0"/>
      </w:pPr>
    </w:p>
    <w:p>
      <w:pPr>
        <w:pStyle w:val="Heading2"/>
      </w:pPr>
      <w:r>
        <w:t>기록된 데이터 증강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3082"/>
        <w:gridCol w:w="3082"/>
      </w:tblGrid>
      <w:tr>
        <w:trPr>
          <w:cantSplit/>
          <w:tblHeader/>
        </w:trPr>
        <w:tc>
          <w:tcPr>
            <w:tcW w:type="dxa" w:w="38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설정</w:t>
            </w:r>
          </w:p>
        </w:tc>
        <w:tc>
          <w:tcPr>
            <w:tcW w:type="dxa" w:w="308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M1</w:t>
            </w:r>
          </w:p>
        </w:tc>
        <w:tc>
          <w:tcPr>
            <w:tcW w:type="dxa" w:w="308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M2</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degrees</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180</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translate / scale</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0.1 / 0.5</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0.2 / 0.25</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mosaic</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0.5</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flipud / fliplr</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 / 0</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 / 0</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hsv_h / hsv_s / hsv_v</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0.015 / 0.7 / 0.4</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0.015 / 0.7 / 0.4</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close_mosaic</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10 설정, mosaic=0</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10 설정</w:t>
            </w:r>
          </w:p>
        </w:tc>
      </w:tr>
    </w:tbl>
    <w:p>
      <w:pPr>
        <w:spacing w:after="0"/>
      </w:pPr>
    </w:p>
    <w:p>
      <w:r>
        <w:rPr>
          <w:rFonts w:ascii="NanumGothic" w:hAnsi="NanumGothic" w:eastAsia="NanumGothic"/>
        </w:rPr>
        <w:t>두 모델의 학습 설정·증강 구성을 원문 args와 실행 호출에 보존했다. 개별 사진의 난수 변환 이력은 별도 저장하지 않았다. M2는 57 epoch에 조기 종료했으므로 close_mosaic=10은 설정값으로만 기재했다. [S1, S2]</w:t>
      </w:r>
    </w:p>
    <w:p>
      <w:r>
        <w:rPr>
          <w:rFonts w:ascii="NanumGothic" w:hAnsi="NanumGothic" w:eastAsia="NanumGothic"/>
          <w:sz w:val="20"/>
        </w:rPr>
        <w:t>기록된 학습 환경은 Python 3.13.5, torch 2.10.0+cu128, Ultralytics 8.3.253, RTX 5070 Laptop GPU다. AMP=false는 학습 설정이며 TensorRT FP16 빌드와 별개다. [S1, S2]</w:t>
      </w:r>
    </w:p>
    <w:p>
      <w:pPr>
        <w:pStyle w:val="Heading1"/>
        <w:pageBreakBefore/>
      </w:pPr>
      <w:r>
        <w:t>03 학습 완료와 모델 선택 근거</w:t>
      </w:r>
    </w:p>
    <w:p>
      <w:pPr>
        <w:keepNext/>
        <w:spacing w:after="80"/>
        <w:jc w:val="center"/>
      </w:pPr>
      <w:r>
        <w:drawing>
          <wp:inline xmlns:a="http://schemas.openxmlformats.org/drawingml/2006/main" xmlns:pic="http://schemas.openxmlformats.org/drawingml/2006/picture">
            <wp:extent cx="6382512" cy="2728009"/>
            <wp:docPr id="2" name="Picture 2" descr="그림 2  원문 results.csv의 전체 epoch를 사용해 그린 개발 검증 곡선. 최고점 표시는 CSV의 mAP50–95 최고 행이며 M1 best.pt 선택 epoch를 확정하는 표시는 아니다. [S1, S2, S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82512" cy="2728009"/>
                    </a:xfrm>
                    <a:prstGeom prst="rect"/>
                  </pic:spPr>
                </pic:pic>
              </a:graphicData>
            </a:graphic>
          </wp:inline>
        </w:drawing>
      </w:r>
    </w:p>
    <w:p>
      <w:pPr>
        <w:pStyle w:val="Caption"/>
        <w:keepNext w:val="0"/>
      </w:pPr>
      <w:r>
        <w:rPr>
          <w:rFonts w:ascii="NanumGothic" w:hAnsi="NanumGothic" w:eastAsia="NanumGothic"/>
        </w:rPr>
        <w:t>그림 2  원문 results.csv의 전체 epoch를 사용해 그린 개발 검증 곡선. 최고점 표시는 CSV의 mAP50–95 최고 행이며 M1 best.pt 선택 epoch를 확정하는 표시는 아니다. [S1, S2, S4]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442"/>
        <w:gridCol w:w="3442"/>
      </w:tblGrid>
      <w:tr>
        <w:trPr>
          <w:cantSplit/>
          <w:tblHeader/>
        </w:trPr>
        <w:tc>
          <w:tcPr>
            <w:tcW w:type="dxa" w:w="316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항목</w:t>
            </w:r>
          </w:p>
        </w:tc>
        <w:tc>
          <w:tcPr>
            <w:tcW w:type="dxa" w:w="344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M1</w:t>
            </w:r>
          </w:p>
        </w:tc>
        <w:tc>
          <w:tcPr>
            <w:tcW w:type="dxa" w:w="344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M2</w:t>
            </w:r>
          </w:p>
        </w:tc>
      </w:tr>
      <w:tr>
        <w:trPr>
          <w:cantSplit/>
        </w:trPr>
        <w:tc>
          <w:tcPr>
            <w:tcW w:type="dxa" w:w="316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실제 학습 완료</w:t>
            </w:r>
          </w:p>
        </w:tc>
        <w:tc>
          <w:tcPr>
            <w:tcW w:type="dxa" w:w="344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100 epoch</w:t>
            </w:r>
          </w:p>
        </w:tc>
        <w:tc>
          <w:tcPr>
            <w:tcW w:type="dxa" w:w="344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57 epoch</w:t>
            </w:r>
          </w:p>
        </w:tc>
      </w:tr>
      <w:tr>
        <w:trPr>
          <w:cantSplit/>
        </w:trPr>
        <w:tc>
          <w:tcPr>
            <w:tcW w:type="dxa" w:w="316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종료 근거</w:t>
            </w:r>
          </w:p>
        </w:tc>
        <w:tc>
          <w:tcPr>
            <w:tcW w:type="dxa" w:w="344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100 epochs completed 로그</w:t>
            </w:r>
          </w:p>
        </w:tc>
        <w:tc>
          <w:tcPr>
            <w:tcW w:type="dxa" w:w="344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20 epoch 개선 없음으로 조기 종료</w:t>
            </w:r>
          </w:p>
        </w:tc>
      </w:tr>
      <w:tr>
        <w:trPr>
          <w:cantSplit/>
        </w:trPr>
        <w:tc>
          <w:tcPr>
            <w:tcW w:type="dxa" w:w="316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best.pt 선택 epoch</w:t>
            </w:r>
          </w:p>
        </w:tc>
        <w:tc>
          <w:tcPr>
            <w:tcW w:type="dxa" w:w="344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직접 선택 근거 미확인</w:t>
            </w:r>
          </w:p>
        </w:tc>
        <w:tc>
          <w:tcPr>
            <w:tcW w:type="dxa" w:w="344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37, EarlyStopping 로그 명시</w:t>
            </w:r>
          </w:p>
        </w:tc>
      </w:tr>
      <w:tr>
        <w:trPr>
          <w:cantSplit/>
        </w:trPr>
        <w:tc>
          <w:tcPr>
            <w:tcW w:type="dxa" w:w="316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CSV mAP50–95 최고</w:t>
            </w:r>
          </w:p>
        </w:tc>
        <w:tc>
          <w:tcPr>
            <w:tcW w:type="dxa" w:w="344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96 epoch / 0.66462</w:t>
            </w:r>
          </w:p>
        </w:tc>
        <w:tc>
          <w:tcPr>
            <w:tcW w:type="dxa" w:w="344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37 epoch / 0.88428</w:t>
            </w:r>
          </w:p>
        </w:tc>
      </w:tr>
      <w:tr>
        <w:trPr>
          <w:cantSplit/>
        </w:trPr>
        <w:tc>
          <w:tcPr>
            <w:tcW w:type="dxa" w:w="316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CSV 마지막 mAP50–95</w:t>
            </w:r>
          </w:p>
        </w:tc>
        <w:tc>
          <w:tcPr>
            <w:tcW w:type="dxa" w:w="344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100 epoch / 0.65689</w:t>
            </w:r>
          </w:p>
        </w:tc>
        <w:tc>
          <w:tcPr>
            <w:tcW w:type="dxa" w:w="344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57 epoch / 0.80566</w:t>
            </w:r>
          </w:p>
        </w:tc>
      </w:tr>
      <w:tr>
        <w:trPr>
          <w:cantSplit/>
        </w:trPr>
        <w:tc>
          <w:tcPr>
            <w:tcW w:type="dxa" w:w="316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CSV 마지막 누적 시간</w:t>
            </w:r>
          </w:p>
        </w:tc>
        <w:tc>
          <w:tcPr>
            <w:tcW w:type="dxa" w:w="344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650.589초</w:t>
            </w:r>
          </w:p>
        </w:tc>
        <w:tc>
          <w:tcPr>
            <w:tcW w:type="dxa" w:w="344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889.763초</w:t>
            </w:r>
          </w:p>
        </w:tc>
      </w:tr>
    </w:tbl>
    <w:p>
      <w:pPr>
        <w:spacing w:after="0"/>
      </w:pPr>
    </w:p>
    <w:p>
      <w:pPr>
        <w:pStyle w:val="Heading2"/>
      </w:pPr>
      <w:r>
        <w:t>학습 결과를 선택·검증한 과정</w:t>
      </w:r>
    </w:p>
    <w:p>
      <w:r>
        <w:rPr>
          <w:rFonts w:ascii="NanumGothic" w:hAnsi="NanumGothic" w:eastAsia="NanumGothic"/>
        </w:rPr>
        <w:t>M1은 100 epoch 학습을 완료했고, M2는 20 epoch 개선 없음에 따라 57 epoch에서 종료됐다. 대표 성능은 학습의 마지막 행이 아니라 best.pt를 다시 불러 검증한 JSON으로 제시했다. M2의 best 선택은 37 epoch로 로그에 확인되며 M1의 직접 선택 epoch는 미확인이다. [S1, S2, S4]</w:t>
      </w:r>
    </w:p>
    <w:p>
      <w:r>
        <w:rPr>
          <w:rFonts w:ascii="NanumGothic" w:hAnsi="NanumGothic" w:eastAsia="NanumGothic"/>
          <w:sz w:val="20"/>
        </w:rPr>
        <w:t>M2의 949.703388초 기록은 학습·별도 검증·72장 예측 및 저장을 포함한 작업 구간이다. 순수 학습 시간은 이 값과 구분한다. [S2, S4]</w:t>
      </w:r>
    </w:p>
    <w:p>
      <w:r>
        <w:rPr>
          <w:rFonts w:ascii="NanumGothic" w:hAnsi="NanumGothic" w:eastAsia="NanumGothic"/>
          <w:sz w:val="20"/>
        </w:rPr>
        <w:t>학습 곡선·체크포인트·검증 결과를 함께 보존해 모델 선택 근거를 추적할 수 있다. 배포 장치에서의 추가 검증 결과는 11절과 Benchmark 자료에 연결했다. [B1]</w:t>
      </w:r>
    </w:p>
    <w:p>
      <w:pPr>
        <w:pStyle w:val="Heading1"/>
        <w:pageBreakBefore/>
      </w:pPr>
      <w:r>
        <w:t>04 결과를 추적할 수 있는 평가 절차</w:t>
      </w:r>
    </w:p>
    <w:p>
      <w:r>
        <w:rPr>
          <w:rFonts w:ascii="NanumGothic" w:hAnsi="NanumGothic" w:eastAsia="NanumGothic"/>
        </w:rPr>
        <w:t>학습 중 검증, best.pt 재검증, 예측 저장과 오류 분석을 구분해 각 지표의 출처를 연결했다. 후속 Jetson 비교는 공통 입력·후처리를 고정한 별도 실험이다. [S1, S2, S7, S8, B1]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563"/>
        <w:gridCol w:w="3384"/>
        <w:gridCol w:w="2347"/>
      </w:tblGrid>
      <w:tr>
        <w:trPr>
          <w:cantSplit/>
          <w:tblHeader/>
        </w:trPr>
        <w:tc>
          <w:tcPr>
            <w:tcW w:type="dxa" w:w="175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절차</w:t>
            </w:r>
          </w:p>
        </w:tc>
        <w:tc>
          <w:tcPr>
            <w:tcW w:type="dxa" w:w="2563"/>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대상과 입력</w:t>
            </w:r>
          </w:p>
        </w:tc>
        <w:tc>
          <w:tcPr>
            <w:tcW w:type="dxa" w:w="338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확인된 조건</w:t>
            </w:r>
          </w:p>
        </w:tc>
        <w:tc>
          <w:tcPr>
            <w:tcW w:type="dxa" w:w="234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주요 결과</w:t>
            </w:r>
          </w:p>
        </w:tc>
      </w:tr>
      <w:tr>
        <w:trPr>
          <w:cantSplit/>
        </w:trPr>
        <w:tc>
          <w:tcPr>
            <w:tcW w:type="dxa" w:w="175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별도 framework val</w:t>
            </w:r>
          </w:p>
        </w:tc>
        <w:tc>
          <w:tcPr>
            <w:tcW w:type="dxa" w:w="2563"/>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M1·M2 best.pt</w:t>
              <w:br/>
              <w:t>E03 72장 / imgsz640</w:t>
            </w:r>
          </w:p>
        </w:tc>
        <w:tc>
          <w:tcPr>
            <w:tcW w:type="dxa" w:w="338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conf·NMS 실효값 미확인</w:t>
              <w:br/>
              <w:t>M1 batch 호출 미지정</w:t>
              <w:br/>
              <w:t>M2 batch8 명시</w:t>
            </w:r>
          </w:p>
        </w:tc>
        <w:tc>
          <w:tcPr>
            <w:tcW w:type="dxa" w:w="234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P·R·mAP 및</w:t>
              <w:br/>
              <w:t>검증 그림</w:t>
            </w:r>
          </w:p>
        </w:tc>
      </w:tr>
      <w:tr>
        <w:trPr>
          <w:cantSplit/>
        </w:trPr>
        <w:tc>
          <w:tcPr>
            <w:tcW w:type="dxa" w:w="175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M1 저장 predict</w:t>
            </w:r>
          </w:p>
        </w:tc>
        <w:tc>
          <w:tcPr>
            <w:tcW w:type="dxa" w:w="2563"/>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기존 best.pt</w:t>
              <w:br/>
              <w:t>E03 72장</w:t>
            </w:r>
          </w:p>
        </w:tc>
        <w:tc>
          <w:tcPr>
            <w:tcW w:type="dxa" w:w="338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conf=0.25</w:t>
              <w:br/>
              <w:t>NMS·rect 호출 미지정</w:t>
            </w:r>
          </w:p>
        </w:tc>
        <w:tc>
          <w:tcPr>
            <w:tcW w:type="dxa" w:w="234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개별 예측 사진과</w:t>
              <w:br/>
              <w:t>val_predictions.jsonl</w:t>
            </w:r>
          </w:p>
        </w:tc>
      </w:tr>
      <w:tr>
        <w:trPr>
          <w:cantSplit/>
        </w:trPr>
        <w:tc>
          <w:tcPr>
            <w:tcW w:type="dxa" w:w="175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M2 저장 predict</w:t>
            </w:r>
          </w:p>
        </w:tc>
        <w:tc>
          <w:tcPr>
            <w:tcW w:type="dxa" w:w="2563"/>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기존 best.pt</w:t>
              <w:br/>
              <w:t>E03 72장</w:t>
            </w:r>
          </w:p>
        </w:tc>
        <w:tc>
          <w:tcPr>
            <w:tcW w:type="dxa" w:w="338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conf=0.05 / NMS=0.45</w:t>
              <w:br/>
              <w:t>rect=False</w:t>
            </w:r>
          </w:p>
        </w:tc>
        <w:tc>
          <w:tcPr>
            <w:tcW w:type="dxa" w:w="234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개별 예측 사진과</w:t>
              <w:br/>
              <w:t>JSON 후보 목록</w:t>
            </w:r>
          </w:p>
        </w:tc>
      </w:tr>
      <w:tr>
        <w:trPr>
          <w:cantSplit/>
        </w:trPr>
        <w:tc>
          <w:tcPr>
            <w:tcW w:type="dxa" w:w="175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M1 사후 진단</w:t>
            </w:r>
          </w:p>
        </w:tc>
        <w:tc>
          <w:tcPr>
            <w:tcW w:type="dxa" w:w="2563"/>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기존 M1 저장 예측과</w:t>
              <w:br/>
              <w:t>정답 192개</w:t>
            </w:r>
          </w:p>
        </w:tc>
        <w:tc>
          <w:tcPr>
            <w:tcW w:type="dxa" w:w="338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conf=0.25 / GT IoU≥0.50</w:t>
              <w:br/>
              <w:t>클래스별 점수순 일대일 매칭</w:t>
            </w:r>
          </w:p>
        </w:tc>
        <w:tc>
          <w:tcPr>
            <w:tcW w:type="dxa" w:w="234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TP·FP·FN 및</w:t>
              <w:br/>
              <w:t>매칭 박스 IoU</w:t>
            </w:r>
          </w:p>
        </w:tc>
      </w:tr>
    </w:tbl>
    <w:p>
      <w:pPr>
        <w:spacing w:after="0"/>
      </w:pPr>
    </w:p>
    <w:p>
      <w:pPr>
        <w:pStyle w:val="Heading2"/>
      </w:pPr>
      <w:r>
        <w:t>세 가지 기준값의 구분</w:t>
      </w:r>
    </w:p>
    <w:p>
      <w:r>
        <w:rPr>
          <w:rFonts w:ascii="NanumGothic" w:hAnsi="NanumGothic" w:eastAsia="NanumGothic"/>
        </w:rPr>
        <w:t>confidence는 예측 후보의 점수를 거르는 값이다. NMS IoU는 중복된 예측 박스를 정리할 때 사용하는 겹침 기준이다. 정답 매칭 IoU는 예측과 정답의 위치가 얼마나 맞는지 판단하는 기준이다. 이름에 IoU가 있어도 평가 목적과 비교 대상이 다르다.</w:t>
      </w:r>
    </w:p>
    <w:p>
      <w:r>
        <w:rPr>
          <w:rFonts w:ascii="NanumGothic" w:hAnsi="NanumGothic" w:eastAsia="NanumGothic"/>
        </w:rPr>
        <w:t>기존 framework val의 실효 confidence·NMS 옵션 전체는 기록에 남아 있지 않다. 이를 보완해 후속 Jetson 비교에서는 고정 640 입력·confidence 0.25/0.001·NMS 0.45·모델 해시와 전체 예측을 함께 보존했다. 기존 Windows 수치는 그 원래 조건의 결과로 유지한다. [S1, S2, B1]</w:t>
      </w:r>
    </w:p>
    <w:p>
      <w:pPr>
        <w:pStyle w:val="Heading2"/>
      </w:pPr>
      <w:r>
        <w:t>지표가 설명하는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35"/>
      </w:tblGrid>
      <w:tr>
        <w:trPr>
          <w:cantSplit/>
          <w:tblHeader/>
        </w:trPr>
        <w:tc>
          <w:tcPr>
            <w:tcW w:type="dxa" w:w="201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지표</w:t>
            </w:r>
          </w:p>
        </w:tc>
        <w:tc>
          <w:tcPr>
            <w:tcW w:type="dxa" w:w="803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해석</w:t>
            </w:r>
          </w:p>
        </w:tc>
      </w:tr>
      <w:tr>
        <w:trPr>
          <w:cantSplit/>
        </w:trPr>
        <w:tc>
          <w:tcPr>
            <w:tcW w:type="dxa" w:w="20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Precision / Recall</w:t>
            </w:r>
          </w:p>
        </w:tc>
        <w:tc>
          <w:tcPr>
            <w:tcW w:type="dxa" w:w="80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예측의 정확성과 정답 검출 범위를 나타내는 검출 지표. 집계 수치만으로 TP·FP·FN을 역산하지 않는다.</w:t>
            </w:r>
          </w:p>
        </w:tc>
      </w:tr>
      <w:tr>
        <w:trPr>
          <w:cantSplit/>
        </w:trPr>
        <w:tc>
          <w:tcPr>
            <w:tcW w:type="dxa" w:w="20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mAP50</w:t>
            </w:r>
          </w:p>
        </w:tc>
        <w:tc>
          <w:tcPr>
            <w:tcW w:type="dxa" w:w="80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정답과 예측의 IoU 0.50 기준 AP를 클래스에 대해 평균한 결과다.</w:t>
            </w:r>
          </w:p>
        </w:tc>
      </w:tr>
      <w:tr>
        <w:trPr>
          <w:cantSplit/>
        </w:trPr>
        <w:tc>
          <w:tcPr>
            <w:tcW w:type="dxa" w:w="20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mAP50–95</w:t>
            </w:r>
          </w:p>
        </w:tc>
        <w:tc>
          <w:tcPr>
            <w:tcW w:type="dxa" w:w="80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더 엄격한 IoU 기준을 함께 반영한 AP 평균이다. 박스 위치 오차의 영향을 함께 살펴본다.</w:t>
            </w:r>
          </w:p>
        </w:tc>
      </w:tr>
      <w:tr>
        <w:trPr>
          <w:cantSplit/>
        </w:trPr>
        <w:tc>
          <w:tcPr>
            <w:tcW w:type="dxa" w:w="20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제품 PASS/FAIL</w:t>
            </w:r>
          </w:p>
        </w:tc>
        <w:tc>
          <w:tcPr>
            <w:tcW w:type="dxa" w:w="80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여러 프레임의 검출과 운영 판정 로직을 포함하는 별도 제품 단위 지표다.</w:t>
            </w:r>
          </w:p>
        </w:tc>
      </w:tr>
    </w:tbl>
    <w:p>
      <w:pPr>
        <w:spacing w:after="0"/>
      </w:pPr>
    </w:p>
    <w:p>
      <w:pPr>
        <w:pStyle w:val="Heading1"/>
        <w:pageBreakBefore/>
      </w:pPr>
      <w:r>
        <w:t>05 높은 검출 지표와 클래스별 분석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6"/>
        <w:gridCol w:w="2246"/>
        <w:gridCol w:w="2246"/>
        <w:gridCol w:w="2246"/>
        <w:gridCol w:w="2246"/>
      </w:tblGrid>
      <w:tr>
        <w:trPr>
          <w:cantSplit/>
          <w:tblHeader/>
        </w:trPr>
        <w:tc>
          <w:tcPr>
            <w:tcW w:type="dxa" w:w="106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모델</w:t>
            </w:r>
          </w:p>
        </w:tc>
        <w:tc>
          <w:tcPr>
            <w:tcW w:type="dxa" w:w="224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Precision</w:t>
            </w:r>
          </w:p>
        </w:tc>
        <w:tc>
          <w:tcPr>
            <w:tcW w:type="dxa" w:w="224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Recall</w:t>
            </w:r>
          </w:p>
        </w:tc>
        <w:tc>
          <w:tcPr>
            <w:tcW w:type="dxa" w:w="224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mAP50</w:t>
            </w:r>
          </w:p>
        </w:tc>
        <w:tc>
          <w:tcPr>
            <w:tcW w:type="dxa" w:w="224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mAP50–95</w:t>
            </w:r>
          </w:p>
        </w:tc>
      </w:tr>
      <w:tr>
        <w:trPr>
          <w:cantSplit/>
        </w:trPr>
        <w:tc>
          <w:tcPr>
            <w:tcW w:type="dxa" w:w="106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M1</w:t>
            </w:r>
          </w:p>
        </w:tc>
        <w:tc>
          <w:tcPr>
            <w:tcW w:type="dxa" w:w="224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0.99769565</w:t>
            </w:r>
          </w:p>
        </w:tc>
        <w:tc>
          <w:tcPr>
            <w:tcW w:type="dxa" w:w="224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1.00000000</w:t>
            </w:r>
          </w:p>
        </w:tc>
        <w:tc>
          <w:tcPr>
            <w:tcW w:type="dxa" w:w="224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0.99500000</w:t>
            </w:r>
          </w:p>
        </w:tc>
        <w:tc>
          <w:tcPr>
            <w:tcW w:type="dxa" w:w="224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0.66472551</w:t>
            </w:r>
          </w:p>
        </w:tc>
      </w:tr>
      <w:tr>
        <w:trPr>
          <w:cantSplit/>
        </w:trPr>
        <w:tc>
          <w:tcPr>
            <w:tcW w:type="dxa" w:w="106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M2</w:t>
            </w:r>
          </w:p>
        </w:tc>
        <w:tc>
          <w:tcPr>
            <w:tcW w:type="dxa" w:w="224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0.96040778</w:t>
            </w:r>
          </w:p>
        </w:tc>
        <w:tc>
          <w:tcPr>
            <w:tcW w:type="dxa" w:w="224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1.00000000</w:t>
            </w:r>
          </w:p>
        </w:tc>
        <w:tc>
          <w:tcPr>
            <w:tcW w:type="dxa" w:w="224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0.99500000</w:t>
            </w:r>
          </w:p>
        </w:tc>
        <w:tc>
          <w:tcPr>
            <w:tcW w:type="dxa" w:w="224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0.88426952</w:t>
            </w:r>
          </w:p>
        </w:tc>
      </w:tr>
    </w:tbl>
    <w:p>
      <w:pPr>
        <w:spacing w:after="0"/>
      </w:pPr>
    </w:p>
    <w:p>
      <w:pPr>
        <w:pStyle w:val="Caption"/>
        <w:keepNext w:val="0"/>
      </w:pPr>
      <w:r>
        <w:rPr>
          <w:rFonts w:ascii="NanumGothic" w:hAnsi="NanumGothic" w:eastAsia="NanumGothic"/>
        </w:rPr>
        <w:t>표 2  별도 best.pt E03 검증 JSON. 각 지표는 0~1 범위이며 표는 소수 8자리로 반올림했다. [S4]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440"/>
        <w:gridCol w:w="1440"/>
        <w:gridCol w:w="1181"/>
        <w:gridCol w:w="1181"/>
        <w:gridCol w:w="1181"/>
        <w:gridCol w:w="1469"/>
      </w:tblGrid>
      <w:tr>
        <w:trPr>
          <w:cantSplit/>
          <w:tblHeader/>
        </w:trPr>
        <w:tc>
          <w:tcPr>
            <w:tcW w:type="dxa" w:w="216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M1 클래스</w:t>
            </w:r>
          </w:p>
        </w:tc>
        <w:tc>
          <w:tcPr>
            <w:tcW w:type="dxa" w:w="144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포함 이미지</w:t>
            </w:r>
          </w:p>
        </w:tc>
        <w:tc>
          <w:tcPr>
            <w:tcW w:type="dxa" w:w="144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정답 박스</w:t>
            </w:r>
          </w:p>
        </w:tc>
        <w:tc>
          <w:tcPr>
            <w:tcW w:type="dxa" w:w="118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P</w:t>
            </w:r>
          </w:p>
        </w:tc>
        <w:tc>
          <w:tcPr>
            <w:tcW w:type="dxa" w:w="118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R</w:t>
            </w:r>
          </w:p>
        </w:tc>
        <w:tc>
          <w:tcPr>
            <w:tcW w:type="dxa" w:w="118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AP50</w:t>
            </w:r>
          </w:p>
        </w:tc>
        <w:tc>
          <w:tcPr>
            <w:tcW w:type="dxa" w:w="146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AP50–95</w:t>
            </w:r>
          </w:p>
        </w:tc>
      </w:tr>
      <w:tr>
        <w:trPr>
          <w:cantSplit/>
        </w:trPr>
        <w:tc>
          <w:tcPr>
            <w:tcW w:type="dxa" w:w="216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gray_pipe</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60</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96</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0.998</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1.000</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0.995</w:t>
            </w:r>
          </w:p>
        </w:tc>
        <w:tc>
          <w:tcPr>
            <w:tcW w:type="dxa" w:w="146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0.750</w:t>
            </w:r>
          </w:p>
        </w:tc>
      </w:tr>
      <w:tr>
        <w:trPr>
          <w:cantSplit/>
        </w:trPr>
        <w:tc>
          <w:tcPr>
            <w:tcW w:type="dxa" w:w="216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exhaust_top</w:t>
            </w:r>
          </w:p>
        </w:tc>
        <w:tc>
          <w:tcPr>
            <w:tcW w:type="dxa" w:w="144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48</w:t>
            </w:r>
          </w:p>
        </w:tc>
        <w:tc>
          <w:tcPr>
            <w:tcW w:type="dxa" w:w="144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48</w:t>
            </w:r>
          </w:p>
        </w:tc>
        <w:tc>
          <w:tcPr>
            <w:tcW w:type="dxa" w:w="118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0.999</w:t>
            </w:r>
          </w:p>
        </w:tc>
        <w:tc>
          <w:tcPr>
            <w:tcW w:type="dxa" w:w="118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1.000</w:t>
            </w:r>
          </w:p>
        </w:tc>
        <w:tc>
          <w:tcPr>
            <w:tcW w:type="dxa" w:w="118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0.995</w:t>
            </w:r>
          </w:p>
        </w:tc>
        <w:tc>
          <w:tcPr>
            <w:tcW w:type="dxa" w:w="146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0.571</w:t>
            </w:r>
          </w:p>
        </w:tc>
      </w:tr>
      <w:tr>
        <w:trPr>
          <w:cantSplit/>
        </w:trPr>
        <w:tc>
          <w:tcPr>
            <w:tcW w:type="dxa" w:w="216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symbol_module</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48</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48</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0.996</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1.000</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0.995</w:t>
            </w:r>
          </w:p>
        </w:tc>
        <w:tc>
          <w:tcPr>
            <w:tcW w:type="dxa" w:w="146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0.673</w:t>
            </w:r>
          </w:p>
        </w:tc>
      </w:tr>
    </w:tbl>
    <w:p>
      <w:pPr>
        <w:spacing w:after="0"/>
      </w:pPr>
    </w:p>
    <w:p>
      <w:pPr>
        <w:pStyle w:val="Caption"/>
        <w:keepNext w:val="0"/>
      </w:pPr>
      <w:r>
        <w:rPr>
          <w:rFonts w:ascii="NanumGothic" w:hAnsi="NanumGothic" w:eastAsia="NanumGothic"/>
        </w:rPr>
        <w:t>표 3  M1 콘솔의 클래스별 반올림 표시값. 한 이미지에 여러 클래스가 있으므로 포함 이미지 수를 더해 전체 이미지 수로 사용하지 않는다. [S1]</w:t>
      </w:r>
    </w:p>
    <w:p>
      <w:pPr>
        <w:keepNext/>
        <w:spacing w:after="80"/>
        <w:jc w:val="center"/>
      </w:pPr>
      <w:r>
        <w:drawing>
          <wp:inline xmlns:a="http://schemas.openxmlformats.org/drawingml/2006/main" xmlns:pic="http://schemas.openxmlformats.org/drawingml/2006/picture">
            <wp:extent cx="6382512" cy="2522122"/>
            <wp:docPr id="3" name="Picture 3" descr="그림 3  M1과 M2 별도 validation 폴더에 보존된 PR 곡선. 원래 그림을 그대로 배치했으며 새 모델 평가를 수행하지 않았다. [S5, S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82512" cy="2522122"/>
                    </a:xfrm>
                    <a:prstGeom prst="rect"/>
                  </pic:spPr>
                </pic:pic>
              </a:graphicData>
            </a:graphic>
          </wp:inline>
        </w:drawing>
      </w:r>
    </w:p>
    <w:p>
      <w:pPr>
        <w:pStyle w:val="Caption"/>
        <w:keepNext w:val="0"/>
      </w:pPr>
      <w:r>
        <w:rPr>
          <w:rFonts w:ascii="NanumGothic" w:hAnsi="NanumGothic" w:eastAsia="NanumGothic"/>
        </w:rPr>
        <w:t>그림 3  M1과 M2 별도 validation 폴더에 보존된 PR 곡선. 원래 그림을 그대로 배치했으며 새 모델 평가를 수행하지 않았다. [S5, S6]</w:t>
      </w:r>
    </w:p>
    <w:p>
      <w:pPr>
        <w:pStyle w:val="Heading2"/>
      </w:pPr>
      <w:r>
        <w:t>검출 성과와 정밀도 개선 방향</w:t>
      </w:r>
    </w:p>
    <w:p>
      <w:r>
        <w:rPr>
          <w:rFonts w:ascii="NanumGothic" w:hAnsi="NanumGothic" w:eastAsia="NanumGothic"/>
        </w:rPr>
        <w:t>두 모델 모두 E03 mAP50 0.995, Recall 1.000을 기록했다. M1은 부품 존재 검출에 높은 지표를 보였고, 더 엄격한 위치 기준인 mAP50–95는 0.66473이었다. 클래스별 분석으로 배기 부품(AP50–95 0.571)의 경계를 우선 개선할 대상으로 구체화했다. [S1, S4, S7]</w:t>
      </w:r>
    </w:p>
    <w:p>
      <w:r>
        <w:rPr>
          <w:rFonts w:ascii="NanumGothic" w:hAnsi="NanumGothic" w:eastAsia="NanumGothic"/>
          <w:sz w:val="20"/>
        </w:rPr>
        <w:t>M2는 엔진 전체 박스 검출에서 mAP50–95 0.88427을 기록했다. 부품과 엔진 전체는 크기·대상이 다른 과제이므로 모델별 역할에 맞춰 성과를 해석했다. [S3, S4]</w:t>
      </w:r>
    </w:p>
    <w:p>
      <w:pPr>
        <w:pStyle w:val="Heading1"/>
        <w:pageBreakBefore/>
      </w:pPr>
      <w:r>
        <w:t>06 검출 건수 확인과 오류 분석</w:t>
      </w:r>
    </w:p>
    <w:p>
      <w:pPr>
        <w:keepNext/>
        <w:spacing w:after="80"/>
        <w:jc w:val="center"/>
      </w:pPr>
      <w:r>
        <w:drawing>
          <wp:inline xmlns:a="http://schemas.openxmlformats.org/drawingml/2006/main" xmlns:pic="http://schemas.openxmlformats.org/drawingml/2006/picture">
            <wp:extent cx="6382512" cy="2522122"/>
            <wp:docPr id="4" name="Picture 4" descr="그림 4  보존된 혼동행렬의 숫자 표시값을 옮겨 그린 도표. 원그림의 빈 셀은 빈칸으로 두었다. 가로축은 정답, 세로축은 예측이며 원그림은 증빙에 보존되어 있다. [S5, S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82512" cy="2522122"/>
                    </a:xfrm>
                    <a:prstGeom prst="rect"/>
                  </pic:spPr>
                </pic:pic>
              </a:graphicData>
            </a:graphic>
          </wp:inline>
        </w:drawing>
      </w:r>
    </w:p>
    <w:p>
      <w:pPr>
        <w:pStyle w:val="Caption"/>
        <w:keepNext w:val="0"/>
      </w:pPr>
      <w:r>
        <w:rPr>
          <w:rFonts w:ascii="NanumGothic" w:hAnsi="NanumGothic" w:eastAsia="NanumGothic"/>
        </w:rPr>
        <w:t>그림 4  보존된 혼동행렬의 숫자 표시값을 옮겨 그린 도표. 원그림의 빈 셀은 빈칸으로 두었다. 가로축은 정답, 세로축은 예측이며 원그림은 증빙에 보존되어 있다. [S5, S6]</w:t>
      </w:r>
    </w:p>
    <w:p>
      <w:pPr>
        <w:pStyle w:val="Heading2"/>
      </w:pPr>
      <w:r>
        <w:t>M1: 고정 조건에서 정답 부품 192개 검출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35"/>
        <w:gridCol w:w="1872"/>
        <w:gridCol w:w="1872"/>
        <w:gridCol w:w="1872"/>
      </w:tblGrid>
      <w:tr>
        <w:trPr>
          <w:cantSplit/>
          <w:tblHeader/>
        </w:trPr>
        <w:tc>
          <w:tcPr>
            <w:tcW w:type="dxa" w:w="443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클래스</w:t>
            </w:r>
          </w:p>
        </w:tc>
        <w:tc>
          <w:tcPr>
            <w:tcW w:type="dxa" w:w="18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TP</w:t>
            </w:r>
          </w:p>
        </w:tc>
        <w:tc>
          <w:tcPr>
            <w:tcW w:type="dxa" w:w="18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FP</w:t>
            </w:r>
          </w:p>
        </w:tc>
        <w:tc>
          <w:tcPr>
            <w:tcW w:type="dxa" w:w="18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FN</w:t>
            </w:r>
          </w:p>
        </w:tc>
      </w:tr>
      <w:tr>
        <w:trPr>
          <w:cantSplit/>
        </w:trPr>
        <w:tc>
          <w:tcPr>
            <w:tcW w:type="dxa" w:w="44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gray_pipe</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96</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w:t>
            </w:r>
          </w:p>
        </w:tc>
      </w:tr>
      <w:tr>
        <w:trPr>
          <w:cantSplit/>
        </w:trPr>
        <w:tc>
          <w:tcPr>
            <w:tcW w:type="dxa" w:w="44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exhaust_top</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48</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w:t>
            </w:r>
          </w:p>
        </w:tc>
      </w:tr>
      <w:tr>
        <w:trPr>
          <w:cantSplit/>
        </w:trPr>
        <w:tc>
          <w:tcPr>
            <w:tcW w:type="dxa" w:w="44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symbol_module</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48</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w:t>
            </w:r>
          </w:p>
        </w:tc>
      </w:tr>
      <w:tr>
        <w:trPr>
          <w:cantSplit/>
        </w:trPr>
        <w:tc>
          <w:tcPr>
            <w:tcW w:type="dxa" w:w="44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합계</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192</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w:t>
            </w:r>
          </w:p>
        </w:tc>
      </w:tr>
    </w:tbl>
    <w:p>
      <w:pPr>
        <w:spacing w:after="0"/>
      </w:pPr>
    </w:p>
    <w:p>
      <w:r>
        <w:rPr>
          <w:rFonts w:ascii="NanumGothic" w:hAnsi="NanumGothic" w:eastAsia="NanumGothic"/>
        </w:rPr>
        <w:t>위 표는 보존 prediction_diagnostics.json의 값이다. E03 72장에 대해 confidence 0.25, 정답 매칭 IoU≥0.50, 클래스별 confidence 내림차순 일대일 대응을 적용한 기록이다. 전체 대상 부품 결품 12장은 정답 박스와 저장 예측이 모두 0개다. [S7]</w:t>
      </w:r>
    </w:p>
    <w:p>
      <w:pPr>
        <w:pStyle w:val="Heading2"/>
      </w:pPr>
      <w:r>
        <w:t>M2: 기존 검증의 추가 후보와 후속 확인</w:t>
      </w:r>
    </w:p>
    <w:p>
      <w:r>
        <w:rPr>
          <w:rFonts w:ascii="NanumGothic" w:hAnsi="NanumGothic" w:eastAsia="NanumGothic"/>
        </w:rPr>
        <w:t>기존 M2 혼동행렬에는 정답 대응 72개와 배경 쪽 추가 검출 6개가 표시된다. 수치 행렬 원본 및 이미지별 연결 목록은 이 기록에 없어, 당시 결과를 그대로 보존했다. 후속 Jetson의 고정 조건 비교에서는 PT·TRT 모두 TP72/FP0/FN0을 확인했다. [S6, S8, B1]</w:t>
      </w:r>
    </w:p>
    <w:p>
      <w:r>
        <w:rPr>
          <w:rFonts w:ascii="NanumGothic" w:hAnsi="NanumGothic" w:eastAsia="NanumGothic"/>
          <w:sz w:val="20"/>
        </w:rPr>
        <w:t>기존 framework 지표·혼동행렬·낮은 confidence 저장 예측과 후속 Jetson 비교는 별도 절차다. 조건을 함께 제시해 서로 다른 결과를 구분하며, 후속 수치를 기존 오류의 수정값이나 단일 변수 개선 효과로 대체하지 않았다. [S4, S6, S8, B1]</w:t>
      </w:r>
    </w:p>
    <w:p>
      <w:pPr>
        <w:pStyle w:val="Heading1"/>
        <w:pageBreakBefore/>
      </w:pPr>
      <w:r>
        <w:t>07 검출 성공에서 위치 정밀도 개선으로</w:t>
      </w:r>
    </w:p>
    <w:p>
      <w:pPr>
        <w:keepNext/>
        <w:spacing w:after="80"/>
        <w:jc w:val="center"/>
      </w:pPr>
      <w:r>
        <w:drawing>
          <wp:inline xmlns:a="http://schemas.openxmlformats.org/drawingml/2006/main" xmlns:pic="http://schemas.openxmlformats.org/drawingml/2006/picture">
            <wp:extent cx="6382512" cy="3603031"/>
            <wp:docPr id="5" name="Picture 5" descr="그림 5  왼쪽은 원본 사진에 정답 TXT를 시각화한 그림, 오른쪽은 기존 M1 예측 사진이다. P는 파이프, E는 배기 부품, S는 문양 부품이다. 예측을 새로 생성하지 않았다. [S7, S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82512" cy="3603031"/>
                    </a:xfrm>
                    <a:prstGeom prst="rect"/>
                  </pic:spPr>
                </pic:pic>
              </a:graphicData>
            </a:graphic>
          </wp:inline>
        </w:drawing>
      </w:r>
    </w:p>
    <w:p>
      <w:pPr>
        <w:pStyle w:val="Caption"/>
        <w:keepNext w:val="0"/>
      </w:pPr>
      <w:r>
        <w:rPr>
          <w:rFonts w:ascii="NanumGothic" w:hAnsi="NanumGothic" w:eastAsia="NanumGothic"/>
        </w:rPr>
        <w:t>그림 5  왼쪽은 원본 사진에 정답 TXT를 시각화한 그림, 오른쪽은 기존 M1 예측 사진이다. P는 파이프, E는 배기 부품, S는 문양 부품이다. 예측을 새로 생성하지 않았다. [S7,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3067"/>
        <w:gridCol w:w="5069"/>
      </w:tblGrid>
      <w:tr>
        <w:trPr>
          <w:cantSplit/>
          <w:tblHeader/>
        </w:trPr>
        <w:tc>
          <w:tcPr>
            <w:tcW w:type="dxa" w:w="191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사례</w:t>
            </w:r>
          </w:p>
        </w:tc>
        <w:tc>
          <w:tcPr>
            <w:tcW w:type="dxa" w:w="306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관측된 값</w:t>
            </w:r>
          </w:p>
        </w:tc>
        <w:tc>
          <w:tcPr>
            <w:tcW w:type="dxa" w:w="506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평가 시 해석</w:t>
            </w:r>
          </w:p>
        </w:tc>
      </w:tr>
      <w:tr>
        <w:trPr>
          <w:cantSplit/>
        </w:trPr>
        <w:tc>
          <w:tcPr>
            <w:tcW w:type="dxa" w:w="191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D156 배기</w:t>
            </w:r>
          </w:p>
        </w:tc>
        <w:tc>
          <w:tcPr>
            <w:tcW w:type="dxa" w:w="306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정답 매칭 IoU 0.6372187</w:t>
            </w:r>
          </w:p>
        </w:tc>
        <w:tc>
          <w:tcPr>
            <w:tcW w:type="dxa" w:w="506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IoU0.50 조건에서 TP지만 경계 차이가 존재</w:t>
            </w:r>
          </w:p>
        </w:tc>
      </w:tr>
      <w:tr>
        <w:trPr>
          <w:cantSplit/>
        </w:trPr>
        <w:tc>
          <w:tcPr>
            <w:tcW w:type="dxa" w:w="191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D172 배기 / 파이프</w:t>
            </w:r>
          </w:p>
        </w:tc>
        <w:tc>
          <w:tcPr>
            <w:tcW w:type="dxa" w:w="306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IoU 0.6671927 / 0.6835217</w:t>
            </w:r>
          </w:p>
        </w:tc>
        <w:tc>
          <w:tcPr>
            <w:tcW w:type="dxa" w:w="506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일부 부품의 위치 정밀도 제한</w:t>
            </w:r>
          </w:p>
        </w:tc>
      </w:tr>
      <w:tr>
        <w:trPr>
          <w:cantSplit/>
        </w:trPr>
        <w:tc>
          <w:tcPr>
            <w:tcW w:type="dxa" w:w="191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D151 배기</w:t>
            </w:r>
          </w:p>
        </w:tc>
        <w:tc>
          <w:tcPr>
            <w:tcW w:type="dxa" w:w="306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confidence 0.6511793</w:t>
            </w:r>
          </w:p>
        </w:tc>
        <w:tc>
          <w:tcPr>
            <w:tcW w:type="dxa" w:w="506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저장 사례의 상대적으로 낮은 점수</w:t>
            </w:r>
          </w:p>
        </w:tc>
      </w:tr>
    </w:tbl>
    <w:p>
      <w:pPr>
        <w:spacing w:after="0"/>
      </w:pPr>
    </w:p>
    <w:p>
      <w:r>
        <w:rPr>
          <w:rFonts w:ascii="NanumGothic" w:hAnsi="NanumGothic" w:eastAsia="NanumGothic"/>
        </w:rPr>
        <w:t>세 사례의 부품은 confidence 0.25·정답 IoU 0.50에서 모두 검출됐다. 추가로 정답·예측 경계를 비교해 배기 부품의 위치 정밀도를 다음 개선 대상으로 선정했다. D156의 정답 매칭 IoU는 0.6372187로, 검출 여부와 정밀한 위치 평가를 함께 제시한다. [S7]</w:t>
      </w:r>
    </w:p>
    <w:p>
      <w:r>
        <w:rPr>
          <w:rFonts w:ascii="NanumGothic" w:hAnsi="NanumGothic" w:eastAsia="NanumGothic"/>
          <w:sz w:val="20"/>
        </w:rPr>
        <w:t>후속 검토는 같은 사진의 라벨 경계와 예측 좌표를 대조한 뒤, 반사·가림 등 후보 요인을 분리하는 순서로 진행한다. 현재 자료에서는 특정 요인을 원인으로 확정하지 않았다.</w:t>
      </w:r>
    </w:p>
    <w:p>
      <w:pPr>
        <w:pStyle w:val="Heading1"/>
        <w:pageBreakBefore/>
      </w:pPr>
      <w:r>
        <w:t>08 저신뢰 추가 후보 분석과 Jetson 후속 검증</w:t>
      </w:r>
    </w:p>
    <w:p>
      <w:pPr>
        <w:keepNext/>
        <w:spacing w:after="80"/>
        <w:jc w:val="center"/>
      </w:pPr>
      <w:r>
        <w:drawing>
          <wp:inline xmlns:a="http://schemas.openxmlformats.org/drawingml/2006/main" xmlns:pic="http://schemas.openxmlformats.org/drawingml/2006/picture">
            <wp:extent cx="6382512" cy="1955931"/>
            <wp:docPr id="6" name="Picture 6" descr="그림 6  D172의 엔진 전체 정답과 기존 M2 예측. 전체 엔진 외에 일부 영역을 감싼 낮은 점수 후보가 함께 남아 있다. [S8, S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82512" cy="1955931"/>
                    </a:xfrm>
                    <a:prstGeom prst="rect"/>
                  </pic:spPr>
                </pic:pic>
              </a:graphicData>
            </a:graphic>
          </wp:inline>
        </w:drawing>
      </w:r>
    </w:p>
    <w:p>
      <w:pPr>
        <w:pStyle w:val="Caption"/>
        <w:keepNext w:val="0"/>
      </w:pPr>
      <w:r>
        <w:rPr>
          <w:rFonts w:ascii="NanumGothic" w:hAnsi="NanumGothic" w:eastAsia="NanumGothic"/>
        </w:rPr>
        <w:t>그림 6  D172의 엔진 전체 정답과 기존 M2 예측. 전체 엔진 외에 일부 영역을 감싼 낮은 점수 후보가 함께 남아 있다. [S8,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55"/>
      </w:tblGrid>
      <w:tr>
        <w:trPr>
          <w:cantSplit/>
          <w:tblHeader/>
        </w:trPr>
        <w:tc>
          <w:tcPr>
            <w:tcW w:type="dxa" w:w="309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항목</w:t>
            </w:r>
          </w:p>
        </w:tc>
        <w:tc>
          <w:tcPr>
            <w:tcW w:type="dxa" w:w="695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기존 저장 결과</w:t>
            </w:r>
          </w:p>
        </w:tc>
      </w:tr>
      <w:tr>
        <w:trPr>
          <w:cantSplit/>
        </w:trPr>
        <w:tc>
          <w:tcPr>
            <w:tcW w:type="dxa" w:w="30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사진과 정답</w:t>
            </w:r>
          </w:p>
        </w:tc>
        <w:tc>
          <w:tcPr>
            <w:tcW w:type="dxa" w:w="69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E03 D172, product_envelope 정답 1개</w:t>
            </w:r>
          </w:p>
        </w:tc>
      </w:tr>
      <w:tr>
        <w:trPr>
          <w:cantSplit/>
        </w:trPr>
        <w:tc>
          <w:tcPr>
            <w:tcW w:type="dxa" w:w="309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전체 엔진 후보 점수</w:t>
            </w:r>
          </w:p>
        </w:tc>
        <w:tc>
          <w:tcPr>
            <w:tcW w:type="dxa" w:w="6955"/>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0.8396399</w:t>
            </w:r>
          </w:p>
        </w:tc>
      </w:tr>
      <w:tr>
        <w:trPr>
          <w:cantSplit/>
        </w:trPr>
        <w:tc>
          <w:tcPr>
            <w:tcW w:type="dxa" w:w="30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추가 부분 영역 후보 점수</w:t>
            </w:r>
          </w:p>
        </w:tc>
        <w:tc>
          <w:tcPr>
            <w:tcW w:type="dxa" w:w="6955"/>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0.1593395</w:t>
            </w:r>
          </w:p>
        </w:tc>
      </w:tr>
      <w:tr>
        <w:trPr>
          <w:cantSplit/>
        </w:trPr>
        <w:tc>
          <w:tcPr>
            <w:tcW w:type="dxa" w:w="309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사진 저장 조건</w:t>
            </w:r>
          </w:p>
        </w:tc>
        <w:tc>
          <w:tcPr>
            <w:tcW w:type="dxa" w:w="695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Windows PT / conf=0.05 / NMS IoU=0.45 / rect=False</w:t>
            </w:r>
          </w:p>
        </w:tc>
      </w:tr>
      <w:tr>
        <w:trPr>
          <w:cantSplit/>
        </w:trPr>
        <w:tc>
          <w:tcPr>
            <w:tcW w:type="dxa" w:w="30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72장 저장 목록의 후보 수</w:t>
            </w:r>
          </w:p>
        </w:tc>
        <w:tc>
          <w:tcPr>
            <w:tcW w:type="dxa" w:w="69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후보 1개인 사진 63장, 후보 2개인 사진 9장</w:t>
            </w:r>
          </w:p>
        </w:tc>
      </w:tr>
    </w:tbl>
    <w:p>
      <w:pPr>
        <w:spacing w:after="0"/>
      </w:pPr>
    </w:p>
    <w:p>
      <w:pPr>
        <w:pStyle w:val="Heading2"/>
      </w:pPr>
      <w:r>
        <w:t>추가 후보를 구분한 분석 근거</w:t>
      </w:r>
    </w:p>
    <w:p>
      <w:r>
        <w:rPr>
          <w:rFonts w:ascii="NanumGothic" w:hAnsi="NanumGothic" w:eastAsia="NanumGothic"/>
        </w:rPr>
        <w:t>D172에서는 전체 엔진 점수 0.8396399와 부분 영역 추가 후보 점수 0.1593395를 구분해 기록했다. 이는 confidence 0.05의 기존 저장 예측이다. 72장 중 후보 2개인 9장의 목록도 남겨 추가 후보 분석에 활용할 수 있게 했다. [S8]</w:t>
      </w:r>
    </w:p>
    <w:p>
      <w:r>
        <w:rPr>
          <w:rFonts w:ascii="NanumGothic" w:hAnsi="NanumGothic" w:eastAsia="NanumGothic"/>
        </w:rPr>
        <w:t>추가 후보 점수는 운영 confidence 0.25보다 낮다. 다만 이 기존 PT 사진만으로 현재 TensorRT 결과를 대신하지 않고, 후속 Benchmark에서 동일 입력·NMS 조건으로 두 백엔드를 직접 비교했다. 기존 혼동행렬의 6개와 이 후보의 개별 연결은 미확인이다. [S6, S8, B1]</w:t>
      </w:r>
    </w:p>
    <w:p>
      <w:pPr>
        <w:pStyle w:val="Heading2"/>
      </w:pPr>
      <w:r>
        <w:t>후속 측정으로 확보한 결과</w:t>
      </w:r>
    </w:p>
    <w:p>
      <w:r>
        <w:rPr>
          <w:rFonts w:ascii="NanumGothic" w:hAnsi="NanumGothic" w:eastAsia="NanumGothic"/>
        </w:rPr>
        <w:t>Jetson의 E03 전체 72장, 고정 640 입력·confidence 0.25·NMS 0.45·정답 IoU 0.50에서 M2 PT·TensorRT 모두 TP72/FP0/FN0이었다. 전체 예측을 보존해 이미지별 대조가 가능하다. 새 조건의 비교 결과이며 threshold 변경만의 개선 효과를 검증한 실험은 아니다. [B1]</w:t>
      </w:r>
    </w:p>
    <w:p>
      <w:pPr>
        <w:pStyle w:val="Heading1"/>
        <w:pageBreakBefore/>
      </w:pPr>
      <w:r>
        <w:t>09 정상·결품 상태별 검출 사례</w:t>
      </w:r>
    </w:p>
    <w:p>
      <w:pPr>
        <w:keepNext/>
        <w:spacing w:after="80"/>
        <w:jc w:val="center"/>
      </w:pPr>
      <w:r>
        <w:drawing>
          <wp:inline xmlns:a="http://schemas.openxmlformats.org/drawingml/2006/main" xmlns:pic="http://schemas.openxmlformats.org/drawingml/2006/picture">
            <wp:extent cx="6382512" cy="3603031"/>
            <wp:docPr id="7" name="Picture 7" descr="그림 7  정상·파이프 결품·배기 결품·문양 결품의 기존 M1 예측. 모두 E03이며 confidence 0.25로 저장한 사례다. [S7, S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382512" cy="3603031"/>
                    </a:xfrm>
                    <a:prstGeom prst="rect"/>
                  </pic:spPr>
                </pic:pic>
              </a:graphicData>
            </a:graphic>
          </wp:inline>
        </w:drawing>
      </w:r>
    </w:p>
    <w:p>
      <w:pPr>
        <w:pStyle w:val="Caption"/>
        <w:keepNext w:val="0"/>
      </w:pPr>
      <w:r>
        <w:rPr>
          <w:rFonts w:ascii="NanumGothic" w:hAnsi="NanumGothic" w:eastAsia="NanumGothic"/>
        </w:rPr>
        <w:t>그림 7  정상·파이프 결품·배기 결품·문양 결품의 기존 M1 예측. 모두 E03이며 confidence 0.25로 저장한 사례다. [S7,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160"/>
        <w:gridCol w:w="6739"/>
      </w:tblGrid>
      <w:tr>
        <w:trPr>
          <w:cantSplit/>
          <w:tblHeader/>
        </w:trPr>
        <w:tc>
          <w:tcPr>
            <w:tcW w:type="dxa" w:w="115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사례</w:t>
            </w:r>
          </w:p>
        </w:tc>
        <w:tc>
          <w:tcPr>
            <w:tcW w:type="dxa" w:w="216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촬영 기록</w:t>
            </w:r>
          </w:p>
        </w:tc>
        <w:tc>
          <w:tcPr>
            <w:tcW w:type="dxa" w:w="673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확인할 내용</w:t>
            </w:r>
          </w:p>
        </w:tc>
      </w:tr>
      <w:tr>
        <w:trPr>
          <w:cantSplit/>
        </w:trPr>
        <w:tc>
          <w:tcPr>
            <w:tcW w:type="dxa" w:w="115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D145</w:t>
            </w:r>
          </w:p>
        </w:tc>
        <w:tc>
          <w:tcPr>
            <w:tcW w:type="dxa" w:w="216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정상</w:t>
            </w:r>
          </w:p>
        </w:tc>
        <w:tc>
          <w:tcPr>
            <w:tcW w:type="dxa" w:w="673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파이프 두 개, 배기 한 개, 문양 한 개 검출</w:t>
            </w:r>
          </w:p>
        </w:tc>
      </w:tr>
      <w:tr>
        <w:trPr>
          <w:cantSplit/>
        </w:trPr>
        <w:tc>
          <w:tcPr>
            <w:tcW w:type="dxa" w:w="115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D159</w:t>
            </w:r>
          </w:p>
        </w:tc>
        <w:tc>
          <w:tcPr>
            <w:tcW w:type="dxa" w:w="216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왼쪽 파이프 결품</w:t>
            </w:r>
          </w:p>
        </w:tc>
        <w:tc>
          <w:tcPr>
            <w:tcW w:type="dxa" w:w="673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남은 gray_pipe 한 개와 다른 두 클래스</w:t>
            </w:r>
          </w:p>
        </w:tc>
      </w:tr>
      <w:tr>
        <w:trPr>
          <w:cantSplit/>
        </w:trPr>
        <w:tc>
          <w:tcPr>
            <w:tcW w:type="dxa" w:w="115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D187</w:t>
            </w:r>
          </w:p>
        </w:tc>
        <w:tc>
          <w:tcPr>
            <w:tcW w:type="dxa" w:w="216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배기 부품 결품</w:t>
            </w:r>
          </w:p>
        </w:tc>
        <w:tc>
          <w:tcPr>
            <w:tcW w:type="dxa" w:w="673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exhaust_top 정답·예측 부재와 다른 부품 존재</w:t>
            </w:r>
          </w:p>
        </w:tc>
      </w:tr>
      <w:tr>
        <w:trPr>
          <w:cantSplit/>
        </w:trPr>
        <w:tc>
          <w:tcPr>
            <w:tcW w:type="dxa" w:w="115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D201</w:t>
            </w:r>
          </w:p>
        </w:tc>
        <w:tc>
          <w:tcPr>
            <w:tcW w:type="dxa" w:w="216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문양 부품 결품</w:t>
            </w:r>
          </w:p>
        </w:tc>
        <w:tc>
          <w:tcPr>
            <w:tcW w:type="dxa" w:w="673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symbol_module 정답·예측 부재와 다른 부품 존재</w:t>
            </w:r>
          </w:p>
        </w:tc>
      </w:tr>
    </w:tbl>
    <w:p>
      <w:pPr>
        <w:spacing w:after="0"/>
      </w:pPr>
    </w:p>
    <w:p>
      <w:r>
        <w:rPr>
          <w:rFonts w:ascii="NanumGothic" w:hAnsi="NanumGothic" w:eastAsia="NanumGothic"/>
        </w:rPr>
        <w:t>촬영 상태와 이미지 ID를 연결해 정상·왼쪽 파이프·배기·문양 결품에서 남은 부품의 검출을 확인했다. 좌우 파이프는 같은 클래스이므로 물리적 좌우 판정은 촬영 기준과 후단 자리 대응을 사용한다. [S3, S7]</w:t>
      </w:r>
    </w:p>
    <w:p>
      <w:r>
        <w:rPr>
          <w:rFonts w:ascii="NanumGothic" w:hAnsi="NanumGothic" w:eastAsia="NanumGothic"/>
          <w:sz w:val="20"/>
        </w:rPr>
        <w:t>이 페이지는 전체 E03 검증 결과를 설명하는 사례다. 정량 성능은 72장 전체로 제시하며, 제품 투입·LED·DB 연계는 별도의 통합 시험으로 확인한다.</w:t>
      </w:r>
    </w:p>
    <w:p>
      <w:pPr>
        <w:pStyle w:val="Heading1"/>
        <w:pageBreakBefore/>
      </w:pPr>
      <w:r>
        <w:t>10 전체 부품 결품에서도 엔진 영역 구분</w:t>
      </w:r>
    </w:p>
    <w:p>
      <w:pPr>
        <w:keepNext/>
        <w:spacing w:after="80"/>
        <w:jc w:val="center"/>
      </w:pPr>
      <w:r>
        <w:drawing>
          <wp:inline xmlns:a="http://schemas.openxmlformats.org/drawingml/2006/main" xmlns:pic="http://schemas.openxmlformats.org/drawingml/2006/picture">
            <wp:extent cx="6382512" cy="3603031"/>
            <wp:docPr id="8" name="Picture 8" descr="그림 8  D205와 D215의 기존 예측. M1은 필수 부품 박스가 없으며 M2는 남아 있는 엔진 몸체를 검출한다. M1과 M2의 사진 저장 조건은 04절과 같다. [S7, S8, S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82512" cy="3603031"/>
                    </a:xfrm>
                    <a:prstGeom prst="rect"/>
                  </pic:spPr>
                </pic:pic>
              </a:graphicData>
            </a:graphic>
          </wp:inline>
        </w:drawing>
      </w:r>
    </w:p>
    <w:p>
      <w:pPr>
        <w:pStyle w:val="Caption"/>
        <w:keepNext w:val="0"/>
      </w:pPr>
      <w:r>
        <w:rPr>
          <w:rFonts w:ascii="NanumGothic" w:hAnsi="NanumGothic" w:eastAsia="NanumGothic"/>
        </w:rPr>
        <w:t>그림 8  D205와 D215의 기존 예측. M1은 필수 부품 박스가 없으며 M2는 남아 있는 엔진 몸체를 검출한다. M1과 M2의 사진 저장 조건은 04절과 같다. [S7, S8, S9]</w:t>
      </w:r>
    </w:p>
    <w:p>
      <w:r>
        <w:rPr>
          <w:rFonts w:ascii="NanumGothic" w:hAnsi="NanumGothic" w:eastAsia="NanumGothic"/>
        </w:rPr>
        <w:t>부품이 모두 빠진 D205·D215에서도 M2는 남아 있는 엔진 몸체를 검출했고 M1은 없는 부품을 검출하지 않았다. 두 모델의 역할 분리가 실제 저장 예측에 반영된 사례다. [S3, S7, S8]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55"/>
      </w:tblGrid>
      <w:tr>
        <w:trPr>
          <w:cantSplit/>
          <w:tblHeader/>
        </w:trPr>
        <w:tc>
          <w:tcPr>
            <w:tcW w:type="dxa" w:w="309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관측</w:t>
            </w:r>
          </w:p>
        </w:tc>
        <w:tc>
          <w:tcPr>
            <w:tcW w:type="dxa" w:w="695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해석</w:t>
            </w:r>
          </w:p>
        </w:tc>
      </w:tr>
      <w:tr>
        <w:trPr>
          <w:cantSplit/>
        </w:trPr>
        <w:tc>
          <w:tcPr>
            <w:tcW w:type="dxa" w:w="30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M1 부품 박스 0개</w:t>
            </w:r>
          </w:p>
        </w:tc>
        <w:tc>
          <w:tcPr>
            <w:tcW w:type="dxa" w:w="69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해당 사진에서 필수 부품이 없는 상태</w:t>
            </w:r>
          </w:p>
        </w:tc>
      </w:tr>
      <w:tr>
        <w:trPr>
          <w:cantSplit/>
        </w:trPr>
        <w:tc>
          <w:tcPr>
            <w:tcW w:type="dxa" w:w="309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M2 엔진 전체 박스 존재</w:t>
            </w:r>
          </w:p>
        </w:tc>
        <w:tc>
          <w:tcPr>
            <w:tcW w:type="dxa" w:w="695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검사 대상 엔진의 몸체 영역은 존재</w:t>
            </w:r>
          </w:p>
        </w:tc>
      </w:tr>
      <w:tr>
        <w:trPr>
          <w:cantSplit/>
        </w:trPr>
        <w:tc>
          <w:tcPr>
            <w:tcW w:type="dxa" w:w="30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V8 스티커가 사진에 남음</w:t>
            </w:r>
          </w:p>
        </w:tc>
        <w:tc>
          <w:tcPr>
            <w:tcW w:type="dxa" w:w="69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symbol_module 탈착 부품의 존재를 뜻하지 않음</w:t>
            </w:r>
          </w:p>
        </w:tc>
      </w:tr>
      <w:tr>
        <w:trPr>
          <w:cantSplit/>
        </w:trPr>
        <w:tc>
          <w:tcPr>
            <w:tcW w:type="dxa" w:w="309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빈 벨트에 대한 성능</w:t>
            </w:r>
          </w:p>
        </w:tc>
        <w:tc>
          <w:tcPr>
            <w:tcW w:type="dxa" w:w="695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엔진 몸체가 없는 별도 입력 조건으로 후속 시험</w:t>
            </w:r>
          </w:p>
        </w:tc>
      </w:tr>
    </w:tbl>
    <w:p>
      <w:pPr>
        <w:spacing w:after="0"/>
      </w:pPr>
    </w:p>
    <w:p>
      <w:r>
        <w:rPr>
          <w:rFonts w:ascii="NanumGothic" w:hAnsi="NanumGothic" w:eastAsia="NanumGothic"/>
          <w:sz w:val="20"/>
        </w:rPr>
        <w:t>M1의 부품 부재와 M2의 엔진 존재를 각각 제공하는 구조는 결품 판정 로직에 필요한 구분을 만든다. 이 모델 출력을 제품 단위 판정·PLC·LED와 연결한 결과는 통합 테스트 자료에서 제시한다. [R1, S10]</w:t>
      </w:r>
    </w:p>
    <w:p>
      <w:pPr>
        <w:pStyle w:val="Heading1"/>
        <w:pageBreakBefore/>
      </w:pPr>
      <w:r>
        <w:t>11 학습부터 배포 검증까지의 성과</w:t>
      </w:r>
    </w:p>
    <w:p>
      <w:r>
        <w:rPr>
          <w:rFonts w:ascii="NanumGothic" w:hAnsi="NanumGothic" w:eastAsia="NanumGothic"/>
        </w:rPr>
        <w:t>M1·M2의 학습 완료, E03 검출 성능, 오류 분석과 배포 파일 연결을 확보했다. 후속 Benchmark에서는 기존에 남아 있던 Jetson 정답 기반 비교를 수행해 원본 PT와 운영 TensorRT의 고정 조건 검출 결과를 추가 확인했다. [S1~S12, B1]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355"/>
        <w:gridCol w:w="4709"/>
      </w:tblGrid>
      <w:tr>
        <w:trPr>
          <w:cantSplit/>
          <w:tblHeader/>
        </w:trPr>
        <w:tc>
          <w:tcPr>
            <w:tcW w:type="dxa" w:w="198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영역</w:t>
            </w:r>
          </w:p>
        </w:tc>
        <w:tc>
          <w:tcPr>
            <w:tcW w:type="dxa" w:w="335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완료한 성과</w:t>
            </w:r>
          </w:p>
        </w:tc>
        <w:tc>
          <w:tcPr>
            <w:tcW w:type="dxa" w:w="470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연결 근거 / 후속 범위</w:t>
            </w:r>
          </w:p>
        </w:tc>
      </w:tr>
      <w:tr>
        <w:trPr>
          <w:cantSplit/>
        </w:trPr>
        <w:tc>
          <w:tcPr>
            <w:tcW w:type="dxa" w:w="198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학습·모델 선택</w:t>
            </w:r>
          </w:p>
        </w:tc>
        <w:tc>
          <w:tcPr>
            <w:tcW w:type="dxa" w:w="33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M1 100 epoch 완료 / M2 best37·종료57</w:t>
            </w:r>
          </w:p>
        </w:tc>
        <w:tc>
          <w:tcPr>
            <w:tcW w:type="dxa" w:w="470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학습 로그·곡선 보존. M1 best 선택 epoch 직접 근거는 미확인.</w:t>
            </w:r>
          </w:p>
        </w:tc>
      </w:tr>
      <w:tr>
        <w:trPr>
          <w:cantSplit/>
        </w:trPr>
        <w:tc>
          <w:tcPr>
            <w:tcW w:type="dxa" w:w="198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개발 검증</w:t>
            </w:r>
          </w:p>
        </w:tc>
        <w:tc>
          <w:tcPr>
            <w:tcW w:type="dxa" w:w="335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M1·M2 모두 E03 mAP50 0.995</w:t>
            </w:r>
          </w:p>
        </w:tc>
        <w:tc>
          <w:tcPr>
            <w:tcW w:type="dxa" w:w="470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best.pt 재검증·클래스별 지표. 기존 val 일부 실효 옵션은 미기록.</w:t>
            </w:r>
          </w:p>
        </w:tc>
      </w:tr>
      <w:tr>
        <w:trPr>
          <w:cantSplit/>
        </w:trPr>
        <w:tc>
          <w:tcPr>
            <w:tcW w:type="dxa" w:w="198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오류 분석</w:t>
            </w:r>
          </w:p>
        </w:tc>
        <w:tc>
          <w:tcPr>
            <w:tcW w:type="dxa" w:w="33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경계 정밀도·M2 저신뢰 추가 후보 구분</w:t>
            </w:r>
          </w:p>
        </w:tc>
        <w:tc>
          <w:tcPr>
            <w:tcW w:type="dxa" w:w="470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실제 사진·예측·진단 연결. 기존 M2 추가 검출6의 개별 매칭은 미확인.</w:t>
            </w:r>
          </w:p>
        </w:tc>
      </w:tr>
      <w:tr>
        <w:trPr>
          <w:cantSplit/>
        </w:trPr>
        <w:tc>
          <w:tcPr>
            <w:tcW w:type="dxa" w:w="198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후속 Jetson 검증</w:t>
            </w:r>
          </w:p>
        </w:tc>
        <w:tc>
          <w:tcPr>
            <w:tcW w:type="dxa" w:w="335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PT·TRT의 고정 조건 TP·FP·FN 일치</w:t>
            </w:r>
          </w:p>
        </w:tc>
        <w:tc>
          <w:tcPr>
            <w:tcW w:type="dxa" w:w="470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B1의 E03 전체 정답 비교 완료. 원래 Windows 지표와 구분.</w:t>
            </w:r>
          </w:p>
        </w:tc>
      </w:tr>
      <w:tr>
        <w:trPr>
          <w:cantSplit/>
        </w:trPr>
        <w:tc>
          <w:tcPr>
            <w:tcW w:type="dxa" w:w="198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배포 모델 추적</w:t>
            </w:r>
          </w:p>
        </w:tc>
        <w:tc>
          <w:tcPr>
            <w:tcW w:type="dxa" w:w="33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PT→ONNX→TensorRT→32c4 연결</w:t>
            </w:r>
          </w:p>
        </w:tc>
        <w:tc>
          <w:tcPr>
            <w:tcW w:type="dxa" w:w="470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원본·변환·운영 해시 및 측정 조건 보존.</w:t>
            </w:r>
          </w:p>
        </w:tc>
      </w:tr>
      <w:tr>
        <w:trPr>
          <w:cantSplit/>
        </w:trPr>
        <w:tc>
          <w:tcPr>
            <w:tcW w:type="dxa" w:w="198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현장 적용 범위</w:t>
            </w:r>
          </w:p>
        </w:tc>
        <w:tc>
          <w:tcPr>
            <w:tcW w:type="dxa" w:w="3355"/>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정상·단일 결품·전체 대상 결품 모델 평가</w:t>
            </w:r>
          </w:p>
        </w:tc>
        <w:tc>
          <w:tcPr>
            <w:tcW w:type="dxa" w:w="470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실물 투입·PLC·LED·DB·장시간·환경 변화는 통합 시험 범위.</w:t>
            </w:r>
          </w:p>
        </w:tc>
      </w:tr>
      <w:tr>
        <w:trPr>
          <w:cantSplit/>
        </w:trPr>
        <w:tc>
          <w:tcPr>
            <w:tcW w:type="dxa" w:w="198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독립 시험 계획</w:t>
            </w:r>
          </w:p>
        </w:tc>
        <w:tc>
          <w:tcPr>
            <w:tcW w:type="dxa" w:w="3355"/>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E04 예약 자료를 개발 검증과 분리</w:t>
            </w:r>
          </w:p>
        </w:tc>
        <w:tc>
          <w:tcPr>
            <w:tcW w:type="dxa" w:w="470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독립 최종시험은 별도 수행할 단계.</w:t>
            </w:r>
          </w:p>
        </w:tc>
      </w:tr>
    </w:tbl>
    <w:p>
      <w:pPr>
        <w:spacing w:after="0"/>
      </w:pPr>
    </w:p>
    <w:p>
      <w:pPr>
        <w:pStyle w:val="Heading2"/>
      </w:pPr>
      <w:r>
        <w:t>후속 Jetson 검증과 다음 고도화</w:t>
      </w:r>
    </w:p>
    <w:p>
      <w:r>
        <w:rPr>
          <w:rFonts w:ascii="NanumGothic" w:hAnsi="NanumGothic" w:eastAsia="NanumGothic"/>
        </w:rPr>
        <w:t>후속 Jetson 고정 조건에서는 PT·TRT 모두 M1 TP192/FP0/FN0, M2 TP72/FP0/FN0이었다. TensorRT mAP50–95는 M1 0.640873, M2 0.836629였으며 Windows 지표와는 별도 실험으로 제시한다. 다음 단계는 부품 경계 정밀도, 현장 변수, 실물 통합 동작과 독립 시험 검증이다. [B1]</w:t>
      </w:r>
    </w:p>
    <w:p>
      <w:r>
        <w:rPr>
          <w:rFonts w:ascii="NanumGothic" w:hAnsi="NanumGothic" w:eastAsia="NanumGothic"/>
          <w:sz w:val="18"/>
        </w:rPr>
        <w:t>적용 범위: E03는 개발 검증 자료다. 이미지 중복 0과 촬영 그룹 분리는 확인했지만 독립 환경을 보증하지 않는다. M1 라벨은 사용자 승인, M2는 AI 검토 출처다. M2 AP는 전체 박스 검출이며 회전각·제품 PASS/FAIL 평가는 별도다.</w:t>
      </w:r>
    </w:p>
    <w:p>
      <w:pPr>
        <w:pStyle w:val="Heading1"/>
        <w:pageBreakBefore/>
      </w:pPr>
      <w:r>
        <w:t>부록 A 학습 모델과 운영본의 연결</w:t>
      </w:r>
    </w:p>
    <w:p>
      <w:r>
        <w:rPr>
          <w:rFonts w:ascii="NanumGothic" w:hAnsi="NanumGothic" w:eastAsia="NanumGothic"/>
        </w:rPr>
        <w:t>학습 PT→ONNX export→TensorRT build→제품 manifest→운영 릴리스를 해시 기록으로 연결했다. 기준은 engine-integrated-32c484ac6aeb07f1이며 기존 관측은 2026년 10월 19일 14:20:11 KST다. 후속 Benchmark에서도 동일 운영 모델 연결을 확인했다. [S10, B1]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35"/>
      </w:tblGrid>
      <w:tr>
        <w:trPr>
          <w:cantSplit/>
          <w:tblHeader/>
        </w:trPr>
        <w:tc>
          <w:tcPr>
            <w:tcW w:type="dxa" w:w="201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모델과 단계</w:t>
            </w:r>
          </w:p>
        </w:tc>
        <w:tc>
          <w:tcPr>
            <w:tcW w:type="dxa" w:w="803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기록된 SHA256</w:t>
            </w:r>
          </w:p>
        </w:tc>
      </w:tr>
      <w:tr>
        <w:trPr>
          <w:cantSplit/>
        </w:trPr>
        <w:tc>
          <w:tcPr>
            <w:tcW w:type="dxa" w:w="20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PT</w:t>
            </w:r>
          </w:p>
        </w:tc>
        <w:tc>
          <w:tcPr>
            <w:tcW w:type="dxa" w:w="80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42db183006ad2a4f61dc9c22e7a61a5b</w:t>
              <w:br/>
              <w:t>506cdacb5099004fc7c3b73b74bf5259</w:t>
            </w:r>
          </w:p>
        </w:tc>
      </w:tr>
      <w:tr>
        <w:trPr>
          <w:cantSplit/>
        </w:trPr>
        <w:tc>
          <w:tcPr>
            <w:tcW w:type="dxa" w:w="20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M1 ONNX</w:t>
            </w:r>
          </w:p>
        </w:tc>
        <w:tc>
          <w:tcPr>
            <w:tcW w:type="dxa" w:w="80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433b16fd1e802bdf2cb0afba6bb6487a</w:t>
              <w:br/>
              <w:t>839d94b5adc286185b93fd3953b9c296</w:t>
            </w:r>
          </w:p>
        </w:tc>
      </w:tr>
      <w:tr>
        <w:trPr>
          <w:cantSplit/>
        </w:trPr>
        <w:tc>
          <w:tcPr>
            <w:tcW w:type="dxa" w:w="20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TensorRT</w:t>
            </w:r>
          </w:p>
        </w:tc>
        <w:tc>
          <w:tcPr>
            <w:tcW w:type="dxa" w:w="80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743ce54b4d5c7b8a36addf3dbff50fa6</w:t>
              <w:br/>
              <w:t>93ec4a509b31b476f68efc69f1bf2d6c</w:t>
            </w:r>
          </w:p>
        </w:tc>
      </w:tr>
      <w:tr>
        <w:trPr>
          <w:cantSplit/>
        </w:trPr>
        <w:tc>
          <w:tcPr>
            <w:tcW w:type="dxa" w:w="20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M2 PT</w:t>
            </w:r>
          </w:p>
        </w:tc>
        <w:tc>
          <w:tcPr>
            <w:tcW w:type="dxa" w:w="80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cf117defe782e1ae8b355e0ed13c014f</w:t>
              <w:br/>
              <w:t>c6f1538aa2dcdbe0fb6cfa54200f7755</w:t>
            </w:r>
          </w:p>
        </w:tc>
      </w:tr>
      <w:tr>
        <w:trPr>
          <w:cantSplit/>
        </w:trPr>
        <w:tc>
          <w:tcPr>
            <w:tcW w:type="dxa" w:w="20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M2 ONNX</w:t>
            </w:r>
          </w:p>
        </w:tc>
        <w:tc>
          <w:tcPr>
            <w:tcW w:type="dxa" w:w="80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5cb024bb911f9357e46c12c3d2a7e4b5</w:t>
              <w:br/>
              <w:t>f19af20e5692013037c9235e0deca830</w:t>
            </w:r>
          </w:p>
        </w:tc>
      </w:tr>
      <w:tr>
        <w:trPr>
          <w:cantSplit/>
        </w:trPr>
        <w:tc>
          <w:tcPr>
            <w:tcW w:type="dxa" w:w="20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M2 TensorRT</w:t>
            </w:r>
          </w:p>
        </w:tc>
        <w:tc>
          <w:tcPr>
            <w:tcW w:type="dxa" w:w="80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c82f2658ac20d06985a647c15e551c68</w:t>
              <w:br/>
              <w:t>1e394451cfa1c53baed64f639bcebf83</w:t>
            </w:r>
          </w:p>
        </w:tc>
      </w:tr>
    </w:tbl>
    <w:p>
      <w:pPr>
        <w:spacing w:after="0"/>
      </w:pPr>
    </w:p>
    <w:p>
      <w:pPr>
        <w:pStyle w:val="Heading2"/>
      </w:pPr>
      <w:r>
        <w:t>학습 결과와 실제 배포 모델의 추적성</w:t>
      </w:r>
    </w:p>
    <w:p>
      <w:r>
        <w:rPr>
          <w:rFonts w:ascii="NanumGothic" w:hAnsi="NanumGothic" w:eastAsia="NanumGothic"/>
        </w:rPr>
        <w:t>M1은 학습 best.pt와 모델 복사본, controlled export, build, 제품·release·Jetson 관측 기록이 연결된다. M2도 학습 best.pt→export_v004→v007 build→운영 기록으로 연결된다. envelope_export.json의 내부 경로·PT·ONNX 해시도 v004 자료와 일치한다. [S10]</w:t>
      </w:r>
    </w:p>
    <w:p>
      <w:r>
        <w:rPr>
          <w:rFonts w:ascii="NanumGothic" w:hAnsi="NanumGothic" w:eastAsia="NanumGothic"/>
          <w:sz w:val="20"/>
        </w:rPr>
        <w:t>해시 연결은 평가한 학습 모델과 배포 파일을 추적하는 근거다. 운영 TensorRT의 성능은 이 연결과 별도로 후속 Benchmark에서 새로 측정했으며, 본문 11절에 요약했다. 모델 바이너리 재해싱은 해당 장치 관측 기록을 참조한다. [B1]</w:t>
      </w:r>
    </w:p>
    <w:p>
      <w:r>
        <w:rPr>
          <w:rFonts w:ascii="NanumGothic" w:hAnsi="NanumGothic" w:eastAsia="NanumGothic"/>
          <w:sz w:val="20"/>
        </w:rPr>
        <w:t>M1은 FP16+head FP32, M2는 FP16+backbone FP32 및 float32 입출력의 혼합정밀도 운영 구성을 사용한다. 상세 변환·빌드 설정과 출력 비교를 함께 보존했다. [S10, B1]</w:t>
      </w:r>
    </w:p>
    <w:p>
      <w:pPr>
        <w:pStyle w:val="Heading1"/>
        <w:pageBreakBefore/>
      </w:pPr>
      <w:r>
        <w:t>부록 B 기존 변환 대조와 후속 Benchmark</w:t>
      </w:r>
    </w:p>
    <w:p>
      <w:pPr>
        <w:pStyle w:val="Heading2"/>
      </w:pPr>
      <w:r>
        <w:t>M1의 기존 PT와 TensorRT 대조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71"/>
      </w:tblGrid>
      <w:tr>
        <w:trPr>
          <w:cantSplit/>
          <w:tblHeader/>
        </w:trPr>
        <w:tc>
          <w:tcPr>
            <w:tcW w:type="dxa" w:w="288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항목</w:t>
            </w:r>
          </w:p>
        </w:tc>
        <w:tc>
          <w:tcPr>
            <w:tcW w:type="dxa" w:w="717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보존된 조건 또는 결과</w:t>
            </w:r>
          </w:p>
        </w:tc>
      </w:tr>
      <w:tr>
        <w:trPr>
          <w:cantSplit/>
        </w:trPr>
        <w:tc>
          <w:tcPr>
            <w:tcW w:type="dxa" w:w="288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입력·실행 수</w:t>
            </w:r>
          </w:p>
        </w:tc>
        <w:tc>
          <w:tcPr>
            <w:tcW w:type="dxa" w:w="7171"/>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E03 72장 / TRT execute_count 72</w:t>
            </w:r>
          </w:p>
        </w:tc>
      </w:tr>
      <w:tr>
        <w:trPr>
          <w:cantSplit/>
        </w:trPr>
        <w:tc>
          <w:tcPr>
            <w:tcW w:type="dxa" w:w="288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비교 대상</w:t>
            </w:r>
          </w:p>
        </w:tc>
        <w:tc>
          <w:tcPr>
            <w:tcW w:type="dxa" w:w="7171"/>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PT reference와 TRT 출력 192개 박스 쌍</w:t>
            </w:r>
          </w:p>
        </w:tc>
      </w:tr>
      <w:tr>
        <w:trPr>
          <w:cantSplit/>
        </w:trPr>
        <w:tc>
          <w:tcPr>
            <w:tcW w:type="dxa" w:w="288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후처리 조건</w:t>
            </w:r>
          </w:p>
        </w:tc>
        <w:tc>
          <w:tcPr>
            <w:tcW w:type="dxa" w:w="7171"/>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confidence 0.25 / class-aware NMS IoU 0.70</w:t>
            </w:r>
          </w:p>
        </w:tc>
      </w:tr>
      <w:tr>
        <w:trPr>
          <w:cantSplit/>
        </w:trPr>
        <w:tc>
          <w:tcPr>
            <w:tcW w:type="dxa" w:w="288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통과 기준</w:t>
            </w:r>
          </w:p>
        </w:tc>
        <w:tc>
          <w:tcPr>
            <w:tcW w:type="dxa" w:w="7171"/>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클래스·개수 일치 / bbox IoU≥0.98 / 점수 차≤0.02</w:t>
            </w:r>
          </w:p>
        </w:tc>
      </w:tr>
      <w:tr>
        <w:trPr>
          <w:cantSplit/>
        </w:trPr>
        <w:tc>
          <w:tcPr>
            <w:tcW w:type="dxa" w:w="288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기록된 결과</w:t>
            </w:r>
          </w:p>
        </w:tc>
        <w:tc>
          <w:tcPr>
            <w:tcW w:type="dxa" w:w="7171"/>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72/72 PASS / 최소 IoU 0.9951727 / 최대 점수 차 0.0130441</w:t>
            </w:r>
          </w:p>
        </w:tc>
      </w:tr>
      <w:tr>
        <w:trPr>
          <w:cantSplit/>
        </w:trPr>
        <w:tc>
          <w:tcPr>
            <w:tcW w:type="dxa" w:w="288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관측 운영과의 차이</w:t>
            </w:r>
          </w:p>
        </w:tc>
        <w:tc>
          <w:tcPr>
            <w:tcW w:type="dxa" w:w="7171"/>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운영 NMS IoU는 0.45이며 보존 대조의 0.70과 다름</w:t>
            </w:r>
          </w:p>
        </w:tc>
      </w:tr>
    </w:tbl>
    <w:p>
      <w:pPr>
        <w:spacing w:after="0"/>
      </w:pPr>
    </w:p>
    <w:p>
      <w:r>
        <w:rPr>
          <w:rFonts w:ascii="NanumGothic" w:hAnsi="NanumGothic" w:eastAsia="NanumGothic"/>
        </w:rPr>
        <w:t>기존 대조에서는 같은 E03 72장·192박스 쌍이 기준을 통과했다. 원본 입력·letterbox·RGB/255·NCHW·후처리 조건을 보존했다. 정답 AP와는 다른 출력 일치 시험이며, 당시 helper·reference 파일 해시는 실행 결과에 없어 코드 바이트 동일성 확인에는 제한이 있다. [S11]</w:t>
      </w:r>
    </w:p>
    <w:p>
      <w:pPr>
        <w:pStyle w:val="Heading2"/>
      </w:pPr>
      <w:r>
        <w:t>기존 지연시간의 측정 구간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32"/>
        <w:gridCol w:w="4262"/>
      </w:tblGrid>
      <w:tr>
        <w:trPr>
          <w:cantSplit/>
          <w:tblHeader/>
        </w:trPr>
        <w:tc>
          <w:tcPr>
            <w:tcW w:type="dxa" w:w="175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기록</w:t>
            </w:r>
          </w:p>
        </w:tc>
        <w:tc>
          <w:tcPr>
            <w:tcW w:type="dxa" w:w="403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장치와 구간</w:t>
            </w:r>
          </w:p>
        </w:tc>
        <w:tc>
          <w:tcPr>
            <w:tcW w:type="dxa" w:w="426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값</w:t>
            </w:r>
          </w:p>
        </w:tc>
      </w:tr>
      <w:tr>
        <w:trPr>
          <w:cantSplit/>
        </w:trPr>
        <w:tc>
          <w:tcPr>
            <w:tcW w:type="dxa" w:w="175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PT 별도 val</w:t>
            </w:r>
          </w:p>
        </w:tc>
        <w:tc>
          <w:tcPr>
            <w:tcW w:type="dxa" w:w="403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Windows RTX5070 Laptop</w:t>
              <w:br/>
              <w:t>framework per-image</w:t>
            </w:r>
          </w:p>
        </w:tc>
        <w:tc>
          <w:tcPr>
            <w:tcW w:type="dxa" w:w="426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전처리 0.8 / 추론 6.0 / 후처리 0.7 ms</w:t>
            </w:r>
          </w:p>
        </w:tc>
      </w:tr>
      <w:tr>
        <w:trPr>
          <w:cantSplit/>
        </w:trPr>
        <w:tc>
          <w:tcPr>
            <w:tcW w:type="dxa" w:w="175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M2 PT 별도 val</w:t>
            </w:r>
          </w:p>
        </w:tc>
        <w:tc>
          <w:tcPr>
            <w:tcW w:type="dxa" w:w="403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Windows RTX5070 Laptop</w:t>
              <w:br/>
              <w:t>batch8 검증 per-image</w:t>
            </w:r>
          </w:p>
        </w:tc>
        <w:tc>
          <w:tcPr>
            <w:tcW w:type="dxa" w:w="426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전처리 0.4 / 추론 4.3 / 후처리 1.1 ms</w:t>
            </w:r>
          </w:p>
        </w:tc>
      </w:tr>
      <w:tr>
        <w:trPr>
          <w:cantSplit/>
        </w:trPr>
        <w:tc>
          <w:tcPr>
            <w:tcW w:type="dxa" w:w="175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TRT 첫 detect</w:t>
            </w:r>
          </w:p>
        </w:tc>
        <w:tc>
          <w:tcPr>
            <w:tcW w:type="dxa" w:w="403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Jetson 저장 E03</w:t>
              <w:br/>
              <w:t>detect 호출 전후 host timing</w:t>
            </w:r>
          </w:p>
        </w:tc>
        <w:tc>
          <w:tcPr>
            <w:tcW w:type="dxa" w:w="426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107.166 ms</w:t>
            </w:r>
          </w:p>
        </w:tc>
      </w:tr>
      <w:tr>
        <w:trPr>
          <w:cantSplit/>
        </w:trPr>
        <w:tc>
          <w:tcPr>
            <w:tcW w:type="dxa" w:w="175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M1 TRT 이후 71건</w:t>
            </w:r>
          </w:p>
        </w:tc>
        <w:tc>
          <w:tcPr>
            <w:tcW w:type="dxa" w:w="403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같은 detect 구간</w:t>
              <w:br/>
              <w:t>전처리·실행 완료·후처리 포함</w:t>
            </w:r>
          </w:p>
        </w:tc>
        <w:tc>
          <w:tcPr>
            <w:tcW w:type="dxa" w:w="426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p50 30.055 / p95 31.519 ms</w:t>
            </w:r>
          </w:p>
        </w:tc>
      </w:tr>
    </w:tbl>
    <w:p>
      <w:pPr>
        <w:spacing w:after="0"/>
      </w:pPr>
    </w:p>
    <w:p>
      <w:r>
        <w:rPr>
          <w:rFonts w:ascii="NanumGothic" w:hAnsi="NanumGothic" w:eastAsia="NanumGothic"/>
        </w:rPr>
        <w:t>위 기록은 장치·batch·측정 구간이 서로 다른 개발 이력이다. 동일 조건 전후 비교는 후속 Benchmark에서 같은 Jetson·고정 입력·공통 전후처리로 별도 수행했다. [B1]</w:t>
      </w:r>
    </w:p>
    <w:p>
      <w:r>
        <w:rPr>
          <w:rFonts w:ascii="NanumGothic" w:hAnsi="NanumGothic" w:eastAsia="NanumGothic"/>
          <w:sz w:val="20"/>
        </w:rPr>
        <w:t>후속 결과: TensorRT 평균 지연 M1 29.022ms·M2 30.266ms, 프로세스 RSS 관측 최대 M1 49.1%·M2 48.6% 감소. 평균 지연 변화는 각각 −0.99%·+2.67%였다. 고정 검출 건수 유지와 mAP·전체 예측은 Benchmark 보고서 및 증빙 v001에서 확인한다. [B1]</w:t>
      </w:r>
    </w:p>
    <w:p>
      <w:pPr>
        <w:pStyle w:val="Heading1"/>
        <w:pageBreakBefore/>
      </w:pPr>
      <w:r>
        <w:t>부록 C 사례 목록과 파일 검증</w:t>
      </w:r>
    </w:p>
    <w:p>
      <w:r>
        <w:rPr>
          <w:rFonts w:ascii="NanumGothic" w:hAnsi="NanumGothic" w:eastAsia="NanumGothic"/>
        </w:rPr>
        <w:t>평가 증빙에는 E03 원본 10장, 각 모델의 정답 TXT 10개 및 기존 예측 사진 10개씩을 포함한다. 원본은 공유하며 모델별 라벨·예측은 분리했다. 전체 학습·검증 입력은 데이터셋 증빙 v002에서 확인한다. [D1,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4"/>
        <w:gridCol w:w="3067"/>
        <w:gridCol w:w="5890"/>
      </w:tblGrid>
      <w:tr>
        <w:trPr>
          <w:cantSplit/>
          <w:tblHeader/>
        </w:trPr>
        <w:tc>
          <w:tcPr>
            <w:tcW w:type="dxa" w:w="109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ID</w:t>
            </w:r>
          </w:p>
        </w:tc>
        <w:tc>
          <w:tcPr>
            <w:tcW w:type="dxa" w:w="306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기록된 상태</w:t>
            </w:r>
          </w:p>
        </w:tc>
        <w:tc>
          <w:tcPr>
            <w:tcW w:type="dxa" w:w="589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검토 목적</w:t>
            </w:r>
          </w:p>
        </w:tc>
      </w:tr>
      <w:tr>
        <w:trPr>
          <w:cantSplit/>
        </w:trPr>
        <w:tc>
          <w:tcPr>
            <w:tcW w:type="dxa" w:w="109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D145</w:t>
            </w:r>
          </w:p>
        </w:tc>
        <w:tc>
          <w:tcPr>
            <w:tcW w:type="dxa" w:w="306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정상</w:t>
            </w:r>
          </w:p>
        </w:tc>
        <w:tc>
          <w:tcPr>
            <w:tcW w:type="dxa" w:w="58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부품 네 개와 엔진 전체 검출</w:t>
            </w:r>
          </w:p>
        </w:tc>
      </w:tr>
      <w:tr>
        <w:trPr>
          <w:cantSplit/>
        </w:trPr>
        <w:tc>
          <w:tcPr>
            <w:tcW w:type="dxa" w:w="109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D151</w:t>
            </w:r>
          </w:p>
        </w:tc>
        <w:tc>
          <w:tcPr>
            <w:tcW w:type="dxa" w:w="306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정상</w:t>
            </w:r>
          </w:p>
        </w:tc>
        <w:tc>
          <w:tcPr>
            <w:tcW w:type="dxa" w:w="589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배기 confidence 0.6511793</w:t>
            </w:r>
          </w:p>
        </w:tc>
      </w:tr>
      <w:tr>
        <w:trPr>
          <w:cantSplit/>
        </w:trPr>
        <w:tc>
          <w:tcPr>
            <w:tcW w:type="dxa" w:w="109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D156</w:t>
            </w:r>
          </w:p>
        </w:tc>
        <w:tc>
          <w:tcPr>
            <w:tcW w:type="dxa" w:w="306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정상</w:t>
            </w:r>
          </w:p>
        </w:tc>
        <w:tc>
          <w:tcPr>
            <w:tcW w:type="dxa" w:w="589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배기 경계 IoU 0.6372187</w:t>
            </w:r>
          </w:p>
        </w:tc>
      </w:tr>
      <w:tr>
        <w:trPr>
          <w:cantSplit/>
        </w:trPr>
        <w:tc>
          <w:tcPr>
            <w:tcW w:type="dxa" w:w="109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D159</w:t>
            </w:r>
          </w:p>
        </w:tc>
        <w:tc>
          <w:tcPr>
            <w:tcW w:type="dxa" w:w="306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왼쪽 파이프 결품</w:t>
            </w:r>
          </w:p>
        </w:tc>
        <w:tc>
          <w:tcPr>
            <w:tcW w:type="dxa" w:w="58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남은 부품 클래스와 개수</w:t>
            </w:r>
          </w:p>
        </w:tc>
      </w:tr>
      <w:tr>
        <w:trPr>
          <w:cantSplit/>
        </w:trPr>
        <w:tc>
          <w:tcPr>
            <w:tcW w:type="dxa" w:w="109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D172</w:t>
            </w:r>
          </w:p>
        </w:tc>
        <w:tc>
          <w:tcPr>
            <w:tcW w:type="dxa" w:w="306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오른쪽 파이프 결품</w:t>
            </w:r>
          </w:p>
        </w:tc>
        <w:tc>
          <w:tcPr>
            <w:tcW w:type="dxa" w:w="589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M1 경계 차이와 M2 추가 후보</w:t>
            </w:r>
          </w:p>
        </w:tc>
      </w:tr>
      <w:tr>
        <w:trPr>
          <w:cantSplit/>
        </w:trPr>
        <w:tc>
          <w:tcPr>
            <w:tcW w:type="dxa" w:w="109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D180</w:t>
            </w:r>
          </w:p>
        </w:tc>
        <w:tc>
          <w:tcPr>
            <w:tcW w:type="dxa" w:w="306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오른쪽 파이프 결품</w:t>
            </w:r>
          </w:p>
        </w:tc>
        <w:tc>
          <w:tcPr>
            <w:tcW w:type="dxa" w:w="58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다른 목표 회전 구도의 사례</w:t>
            </w:r>
          </w:p>
        </w:tc>
      </w:tr>
      <w:tr>
        <w:trPr>
          <w:cantSplit/>
        </w:trPr>
        <w:tc>
          <w:tcPr>
            <w:tcW w:type="dxa" w:w="109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D187</w:t>
            </w:r>
          </w:p>
        </w:tc>
        <w:tc>
          <w:tcPr>
            <w:tcW w:type="dxa" w:w="306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배기 부품 결품</w:t>
            </w:r>
          </w:p>
        </w:tc>
        <w:tc>
          <w:tcPr>
            <w:tcW w:type="dxa" w:w="58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배기 정답·예측 부재</w:t>
            </w:r>
          </w:p>
        </w:tc>
      </w:tr>
      <w:tr>
        <w:trPr>
          <w:cantSplit/>
        </w:trPr>
        <w:tc>
          <w:tcPr>
            <w:tcW w:type="dxa" w:w="109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D201</w:t>
            </w:r>
          </w:p>
        </w:tc>
        <w:tc>
          <w:tcPr>
            <w:tcW w:type="dxa" w:w="306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문양 부품 결품</w:t>
            </w:r>
          </w:p>
        </w:tc>
        <w:tc>
          <w:tcPr>
            <w:tcW w:type="dxa" w:w="58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문양 정답·예측 부재</w:t>
            </w:r>
          </w:p>
        </w:tc>
      </w:tr>
      <w:tr>
        <w:trPr>
          <w:cantSplit/>
        </w:trPr>
        <w:tc>
          <w:tcPr>
            <w:tcW w:type="dxa" w:w="109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D205</w:t>
            </w:r>
          </w:p>
        </w:tc>
        <w:tc>
          <w:tcPr>
            <w:tcW w:type="dxa" w:w="306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전체 대상 부품 결품</w:t>
            </w:r>
          </w:p>
        </w:tc>
        <w:tc>
          <w:tcPr>
            <w:tcW w:type="dxa" w:w="58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M1 빈 예측과 M2 엔진 존재</w:t>
            </w:r>
          </w:p>
        </w:tc>
      </w:tr>
      <w:tr>
        <w:trPr>
          <w:cantSplit/>
        </w:trPr>
        <w:tc>
          <w:tcPr>
            <w:tcW w:type="dxa" w:w="109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D215</w:t>
            </w:r>
          </w:p>
        </w:tc>
        <w:tc>
          <w:tcPr>
            <w:tcW w:type="dxa" w:w="306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전체 대상 부품 결품</w:t>
            </w:r>
          </w:p>
        </w:tc>
        <w:tc>
          <w:tcPr>
            <w:tcW w:type="dxa" w:w="58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다른 구도의 전체 결품</w:t>
            </w:r>
          </w:p>
        </w:tc>
      </w:tr>
    </w:tbl>
    <w:p>
      <w:pPr>
        <w:spacing w:after="0"/>
      </w:pPr>
    </w:p>
    <w:p>
      <w:pPr>
        <w:pStyle w:val="Heading2"/>
      </w:pPr>
      <w:r>
        <w:t>사례 파일을 찾는 방법</w:t>
      </w:r>
    </w:p>
    <w:p>
      <w:r>
        <w:rPr>
          <w:rFonts w:ascii="NanumGothic" w:hAnsi="NanumGothic" w:eastAsia="NanumGothic"/>
        </w:rPr>
        <w:t>examples/Dxxx/original에는 원본 PNG, labels/M1 및 labels/M2에는 정답 TXT, predictions/M1 및 predictions/M2에는 기존 예측 JPG가 있다. examples.csv는 각 경로와 원본 기록을 연결한다. 본문의 정답 박스 시각화는 이 TXT를 사용했고 기존 예측 사진은 새로 생성하지 않았다. [S9]</w:t>
      </w:r>
    </w:p>
    <w:p>
      <w:pPr>
        <w:pStyle w:val="Heading2"/>
      </w:pPr>
      <w:r>
        <w:t>무결성 확인</w:t>
      </w:r>
    </w:p>
    <w:p>
      <w:r>
        <w:rPr>
          <w:rFonts w:ascii="NanumGothic" w:hAnsi="NanumGothic" w:eastAsia="NanumGothic"/>
        </w:rPr>
        <w:t>모델 평가 ZIP은 manifest를 포함해 188개 파일이다. 목록에 열거된 187개 파일의 크기·SHA를 직접 대조했고 모두 일치했다. 원본 사진 10개와 예측 20개, 학습·검증 그림 61개가 포함되어 있다. ZIP과 manifest 해시는 외부 검증 JSON과도 일치했다. [S12]</w:t>
      </w:r>
    </w:p>
    <w:p>
      <w:r>
        <w:rPr>
          <w:rFonts w:ascii="NanumGothic" w:hAnsi="NanumGothic" w:eastAsia="NanumGothic"/>
          <w:sz w:val="20"/>
        </w:rPr>
        <w:t>원본 파일 무결성과 모델·평가 결과 연결을 보존했다. v1.1은 문서의 성과 전달과 후속 자료 연결을 개정한 것이며, 기존 학습 수치·모델·예측·라벨은 변경하지 않았다.</w:t>
      </w:r>
    </w:p>
    <w:p>
      <w:r>
        <w:rPr>
          <w:rFonts w:ascii="NanumGothic" w:hAnsi="NanumGothic" w:eastAsia="NanumGothic"/>
          <w:sz w:val="18"/>
        </w:rPr>
        <w:t>학습 로그의 원문 인코딩은 M1 UTF-8, M2 UTF-16이다. 본문 인용값은 원문 수치와 콘솔 반올림 값을 구분했다. 부록 참고 분류 JSON은 M3~M6의 별도 자료이며 M1·M2 검출 평가에 합산하지 않았다.</w:t>
      </w:r>
    </w:p>
    <w:p>
      <w:pPr>
        <w:pStyle w:val="Heading1"/>
        <w:pageBreakBefore/>
      </w:pPr>
      <w:r>
        <w:t>부록 D 근거 파일과 평가 연결</w:t>
      </w:r>
    </w:p>
    <w:p>
      <w:r>
        <w:rPr>
          <w:rFonts w:ascii="NanumGothic" w:hAnsi="NanumGothic" w:eastAsia="NanumGothic"/>
          <w:sz w:val="20"/>
        </w:rPr>
        <w:t>S1~S12는 모델 평가 증빙 ZIP v001의 상대경로다. 원본 PC 경로·해시는 bundle_manifest.json에 있다. D1은 전체 데이터셋, B1은 별도 Jetson Benchmark로 연결한다.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6019"/>
        <w:gridCol w:w="3312"/>
      </w:tblGrid>
      <w:tr>
        <w:trPr>
          <w:cantSplit/>
          <w:tblHeader/>
        </w:trPr>
        <w:tc>
          <w:tcPr>
            <w:tcW w:type="dxa" w:w="72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6"/>
              </w:rPr>
              <w:t>출처</w:t>
            </w:r>
          </w:p>
        </w:tc>
        <w:tc>
          <w:tcPr>
            <w:tcW w:type="dxa" w:w="601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6"/>
              </w:rPr>
              <w:t>근거 경로</w:t>
            </w:r>
          </w:p>
        </w:tc>
        <w:tc>
          <w:tcPr>
            <w:tcW w:type="dxa" w:w="331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6"/>
              </w:rPr>
              <w:t>확인 내용</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R1</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첨부 통합 프로젝트 평가표 1~2쪽</w:t>
            </w:r>
          </w:p>
        </w:tc>
        <w:tc>
          <w:tcPr>
            <w:tcW w:type="dxa" w:w="33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6"/>
              </w:rPr>
              <w:t>평가영역 3 및 5</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D1</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M1_M2_dataset_evidence_v002.zip</w:t>
              <w:br/>
              <w:t>데이터셋 설명서 v1.2</w:t>
            </w:r>
          </w:p>
        </w:tc>
        <w:tc>
          <w:tcPr>
            <w:tcW w:type="dxa" w:w="331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전체 train144·val72</w:t>
              <w:br/>
              <w:t>사진 및 모델별 라벨</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S1</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M1/training/args.yaml · results.csv</w:t>
              <w:br/>
              <w:t>M1/execution/train_engine_parts.py</w:t>
              <w:br/>
              <w:t>M1/execution/training_console_utf8.log</w:t>
            </w:r>
          </w:p>
        </w:tc>
        <w:tc>
          <w:tcPr>
            <w:tcW w:type="dxa" w:w="331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M1 학습·실행·</w:t>
              <w:br/>
              <w:t>클래스별 콘솔 결과</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S2</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M2/training/args.yaml · results.csv</w:t>
              <w:br/>
              <w:t>M2/execution/train_envelope.py</w:t>
              <w:br/>
              <w:t>M2/execution/train_console_v004.log</w:t>
            </w:r>
          </w:p>
        </w:tc>
        <w:tc>
          <w:tcPr>
            <w:tcW w:type="dxa" w:w="331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M2 학습·best37·</w:t>
              <w:br/>
              <w:t>57 종료 로그</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S3</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shared/source_index.json</w:t>
              <w:br/>
              <w:t>M1/dataset/ · M2/dataset/</w:t>
            </w:r>
          </w:p>
        </w:tc>
        <w:tc>
          <w:tcPr>
            <w:tcW w:type="dxa" w:w="33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6"/>
              </w:rPr>
              <w:t>클래스·분할·라벨</w:t>
              <w:br/>
              <w:t>원본 연결</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S4</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M1/validation_metrics.json</w:t>
              <w:br/>
              <w:t>M2/training_result.json</w:t>
              <w:br/>
              <w:t>tables/validation_metrics.csv</w:t>
            </w:r>
          </w:p>
        </w:tc>
        <w:tc>
          <w:tcPr>
            <w:tcW w:type="dxa" w:w="33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6"/>
              </w:rPr>
              <w:t>별도 PT 검증 지표</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S5</w:t>
            </w:r>
          </w:p>
        </w:tc>
        <w:tc>
          <w:tcPr>
            <w:tcW w:type="dxa" w:w="601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6"/>
              </w:rPr>
              <w:t>M1/validation/</w:t>
            </w:r>
          </w:p>
        </w:tc>
        <w:tc>
          <w:tcPr>
            <w:tcW w:type="dxa" w:w="331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M1 PR·혼동행렬·</w:t>
              <w:br/>
              <w:t>검증 배치 그림</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S6</w:t>
            </w:r>
          </w:p>
        </w:tc>
        <w:tc>
          <w:tcPr>
            <w:tcW w:type="dxa" w:w="601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6"/>
              </w:rPr>
              <w:t>M2/validation/</w:t>
            </w:r>
          </w:p>
        </w:tc>
        <w:tc>
          <w:tcPr>
            <w:tcW w:type="dxa" w:w="331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M2 PR·혼동행렬·</w:t>
              <w:br/>
              <w:t>검증 배치 그림</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S7</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M1/review/prediction_diagnostics.json</w:t>
              <w:br/>
              <w:t>M1/review/visual_review.json</w:t>
              <w:br/>
              <w:t>M1/predictions/val_predictions.jsonl</w:t>
            </w:r>
          </w:p>
        </w:tc>
        <w:tc>
          <w:tcPr>
            <w:tcW w:type="dxa" w:w="331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기존 정답 매칭</w:t>
              <w:br/>
              <w:t>TP·FP·FN·경계 사례</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S8</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M2/predictions/envelope_predictions_e03.json</w:t>
            </w:r>
          </w:p>
        </w:tc>
        <w:tc>
          <w:tcPr>
            <w:tcW w:type="dxa" w:w="33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6"/>
              </w:rPr>
              <w:t>기존 M2 후보·점수</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S9</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examples.csv · EXAMPLES_KO.md</w:t>
              <w:br/>
              <w:t>examples/Dxxx/</w:t>
            </w:r>
          </w:p>
        </w:tc>
        <w:tc>
          <w:tcPr>
            <w:tcW w:type="dxa" w:w="331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10개 사례의 원본·</w:t>
              <w:br/>
              <w:t>정답·기존 예측</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S10</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verification/model_hash_chain.json</w:t>
              <w:br/>
              <w:t>M1·M2/conversion/ · deployment/</w:t>
              <w:br/>
              <w:t>runtime/</w:t>
            </w:r>
          </w:p>
        </w:tc>
        <w:tc>
          <w:tcPr>
            <w:tcW w:type="dxa" w:w="331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변환·배포·기존</w:t>
              <w:br/>
              <w:t>Jetson 관측 연결</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S11</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M1/parity/parts_parity_v001.json</w:t>
              <w:br/>
              <w:t>M1/parity/reference/</w:t>
              <w:br/>
              <w:t>verification/parity_record_audit.json</w:t>
            </w:r>
          </w:p>
        </w:tc>
        <w:tc>
          <w:tcPr>
            <w:tcW w:type="dxa" w:w="331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변환 수치 대조·</w:t>
              <w:br/>
              <w:t>조건·지연시간·한계</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S12</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bundle_manifest.json</w:t>
              <w:br/>
              <w:t>verification/bundle_checks.json</w:t>
              <w:br/>
              <w:t>ZIP 옆 verification.json</w:t>
            </w:r>
          </w:p>
        </w:tc>
        <w:tc>
          <w:tcPr>
            <w:tcW w:type="dxa" w:w="331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187개 파일 대조·</w:t>
              <w:br/>
              <w:t>압축본 검증 기록</w:t>
            </w:r>
          </w:p>
        </w:tc>
      </w:tr>
    </w:tbl>
    <w:p>
      <w:pPr>
        <w:pStyle w:val="Caption"/>
        <w:keepNext w:val="0"/>
        <w:keepLines/>
        <w:spacing w:after="0" w:line="259" w:lineRule="auto" w:before="160"/>
      </w:pPr>
      <w:r>
        <w:rPr>
          <w:rFonts w:ascii="NanumGothic" w:hAnsi="NanumGothic" w:eastAsia="NanumGothic"/>
          <w:b w:val="0"/>
          <w:sz w:val="17"/>
        </w:rPr>
        <w:t>B1  04_엔진모형_최적화전후_Benchmark_보고서_v1.1.pdf 및 M1_M2_benchmark_evidence_v001.zip: protocol.json, accuracy_summary.csv, accuracy_by_class.csv, 전체 predictions.json, model_hashes.json 참조.</w:t>
      </w:r>
    </w:p>
    <w:sectPr w:rsidR="00FC693F" w:rsidRPr="0006063C" w:rsidSect="00034616">
      <w:footerReference w:type="default" r:id="rId9"/>
      <w:headerReference w:type="default" r:id="rId18"/>
      <w:pgSz w:w="12240" w:h="15840"/>
      <w:pgMar w:top="979" w:right="1094" w:bottom="979" w:left="1094"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51" w:val="right"/>
      </w:tabs>
    </w:pPr>
    <w:r>
      <w:rPr>
        <w:rFonts w:ascii="NanumGothic" w:hAnsi="NanumGothic" w:eastAsia="NanumGothic"/>
        <w:color w:val="444444"/>
        <w:sz w:val="17"/>
      </w:rPr>
      <w:t>엔진 모형 검사 모델 평가서</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8" w:lineRule="auto" w:after="140"/>
    </w:pPr>
    <w:rPr>
      <w:rFonts w:ascii="NanumGothic" w:hAnsi="NanumGothic" w:eastAsia="NanumGothic" w:cs="Nanum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NanumGothic" w:hAnsi="NanumGothic" w:eastAsia="NanumGothic" w:cs="Nanum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anumGothic" w:hAnsi="NanumGothic" w:eastAsia="NanumGothic" w:cs="Nanum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cs="Nanum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NanumGothic" w:hAnsi="NanumGothic" w:eastAsia="NanumGothic" w:cs="Nanum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NanumGothic" w:hAnsi="NanumGothic" w:eastAsia="NanumGothic" w:cs="NanumGothic"/>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83" w:lineRule="auto" w:after="160"/>
    </w:pPr>
    <w:rPr>
      <w:rFonts w:ascii="NanumGothic" w:hAnsi="NanumGothic" w:eastAsia="NanumGothic" w:cs="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엔진 모형 검사 모델 평가서</dc:title>
  <dc:subject>평가영역 3 Baseline 모델 및 오류 분석의 학습 결과와 검증 근거</dc:subject>
  <dc:creator>Engine Assembly Defect Inspector Project</dc:creator>
  <cp:keywords>엔진 모형, 데이터셋, YOLO, 부품 결품, 라벨, Jetson</cp:keywords>
  <dc:description>기존 측정값과 증빙을 보존하고 성과 중심으로 설명 및 자료 연결을 개정함.</dc:description>
  <cp:lastModifiedBy/>
  <cp:revision>1</cp:revision>
  <dcterms:created xsi:type="dcterms:W3CDTF">2013-12-23T23:15:00Z</dcterms:created>
  <dcterms:modified xsi:type="dcterms:W3CDTF">2013-12-23T23:15:00Z</dcterms:modified>
  <cp:category/>
</cp:coreProperties>
</file>