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264" w:lineRule="auto" w:after="120" w:before="0"/>
        <w:jc w:val="center"/>
      </w:pPr>
      <w:r>
        <w:rPr>
          <w:rFonts w:ascii="NanumGothic" w:hAnsi="NanumGothic" w:eastAsia="NanumGothic" w:cs="NanumGothic"/>
          <w:b w:val="0"/>
          <w:color w:val="566574"/>
          <w:sz w:val="17"/>
        </w:rPr>
        <w:t>ENGINE ASSEMBLY DEFECT INSPECTOR</w:t>
      </w:r>
    </w:p>
    <w:p>
      <w:pPr>
        <w:keepNext/>
        <w:widowControl/>
        <w:spacing w:before="180" w:line="264" w:lineRule="auto" w:after="120"/>
        <w:jc w:val="center"/>
      </w:pPr>
      <w:r>
        <w:rPr>
          <w:rFonts w:ascii="NanumGothic" w:hAnsi="NanumGothic" w:eastAsia="NanumGothic" w:cs="NanumGothic"/>
          <w:b/>
          <w:color w:val="17365D"/>
          <w:sz w:val="42"/>
        </w:rPr>
        <w:t>엔진 모형 조립 검사 - 문제정의서</w:t>
      </w:r>
    </w:p>
    <w:p>
      <w:pPr>
        <w:keepNext/>
        <w:widowControl/>
        <w:spacing w:line="264" w:lineRule="auto" w:after="120" w:before="0"/>
        <w:jc w:val="center"/>
      </w:pPr>
      <w:r>
        <w:rPr>
          <w:rFonts w:ascii="NanumGothic" w:hAnsi="NanumGothic" w:eastAsia="NanumGothic" w:cs="NanumGothic"/>
          <w:b w:val="0"/>
          <w:color w:val="17365D"/>
          <w:sz w:val="21"/>
        </w:rPr>
        <w:t>평가영역 1: 현장 문제·시스템 설계</w:t>
      </w:r>
    </w:p>
    <w:p>
      <w:pPr>
        <w:keepNext/>
        <w:widowControl/>
        <w:spacing w:before="0" w:line="264" w:lineRule="auto" w:after="120"/>
        <w:jc w:val="center"/>
      </w:pPr>
      <w:r>
        <w:rPr>
          <w:rFonts w:ascii="NanumGothic" w:hAnsi="NanumGothic" w:eastAsia="NanumGothic" w:cs="NanumGothic"/>
          <w:b w:val="0"/>
          <w:color w:val="566574"/>
          <w:sz w:val="18"/>
        </w:rPr>
        <w:t>평가 제출용 | 자료 기준 2026.10.20 | 문서 v1.1</w:t>
      </w:r>
    </w:p>
    <w:p>
      <w:pPr>
        <w:widowControl/>
        <w:spacing w:line="240" w:lineRule="auto" w:after="80"/>
      </w:pP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fill="D9EAF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34E68"/>
                <w:sz w:val="19"/>
              </w:rPr>
              <w:t>핵심 문제 정의</w:t>
              <w:br/>
            </w: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컨베이어로 이송되는 엔진 모형의 필수 부품 누락을 사람이 반복 확인하는 대신, 현장 카메라와 Jetson에서 새 영상을 처리해 조립 상태를 판정하고 PLC·LED·DB 이력까지 연결하는 소형 Edge AI 검사 흐름을 구현한다.</w:t>
            </w:r>
          </w:p>
        </w:tc>
      </w:tr>
    </w:tbl>
    <w:p>
      <w:pPr>
        <w:pStyle w:val="Heading1"/>
        <w:keepNext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1. 현장 문제와 사용자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164"/>
      </w:tblGrid>
      <w:tr>
        <w:trPr>
          <w:tblHeader w:val="true"/>
          <w:cantSplit/>
        </w:trPr>
        <w:tc>
          <w:tcPr>
            <w:tcW w:type="dxa" w:w="1928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164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현장 문제</w:t>
            </w:r>
          </w:p>
        </w:tc>
        <w:tc>
          <w:tcPr>
            <w:tcW w:type="dxa" w:w="816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조립형 제품의 필수 부품 누락을 반복적으로 확인해야 하며, 판정 결과뿐 아니라 어떤 부품이 빠졌는지와 검사 근거를 추적할 필요가 있다.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주 사용자</w:t>
            </w:r>
          </w:p>
        </w:tc>
        <w:tc>
          <w:tcPr>
            <w:tcW w:type="dxa" w:w="816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검사 설비 운영자가 제품 투입·설비 운전·결과 확인·이력 조회를 담당한다. 프로젝트 평가자는 데이터·판정·장치 반응·이력의 연결 근거를 검토한다.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검사 대상</w:t>
            </w:r>
          </w:p>
        </w:tc>
        <w:tc>
          <w:tcPr>
            <w:tcW w:type="dxa" w:w="816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엔진 모형의 회색 파이프 2자리, 배기 부품, 문양 부품. 현재 최종 판정은 필수 부품 존재/결품을 기준으로 한다.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현장 구성</w:t>
            </w:r>
          </w:p>
        </w:tc>
        <w:tc>
          <w:tcPr>
            <w:tcW w:type="dxa" w:w="816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PLC, 컨베이어, 포토센서, USB 카메라, Jetson Orin Nano, LED, 조회용 웹 화면.</w:t>
            </w:r>
          </w:p>
        </w:tc>
      </w:tr>
    </w:tbl>
    <w:p>
      <w:pPr>
        <w:pStyle w:val="Heading1"/>
        <w:keepNext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2. 입력·처리·출력 정의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4082"/>
      </w:tblGrid>
      <w:tr>
        <w:trPr>
          <w:tblHeader w:val="true"/>
          <w:cantSplit/>
        </w:trPr>
        <w:tc>
          <w:tcPr>
            <w:tcW w:type="dxa" w:w="1474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입력/처리</w:t>
            </w:r>
          </w:p>
        </w:tc>
        <w:tc>
          <w:tcPr>
            <w:tcW w:type="dxa" w:w="4082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감지·요청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PLC의 검사 요청과 설비 상태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검사 트랜잭션 시작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영상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고정 카메라의 새 1280×720 프레임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검사당 새 원본 3장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AI 판정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M2 엔진 검출·자세 정렬 → M1 부품 검출 → 세 프레임 자리 상태 집계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PASS/FAIL 및 결품 사유. 내부 REVIEW/ERROR는 별도 보존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저장 완료 확인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같은 요청의 원본·기본 결과·통합 최종판정 저장 및 완료 조건 확인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저장 성공과 동일 요청의 완료 확인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장치 연계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저장 성공·완료 조건 확인 후, PLC 계약에 따라 Result → Done 전달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PLC OK/NG, LED 및 다음 이송 동작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추적·조회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저장된 원본·판정·모델/설정·이벤트를 동일 검사 ID로 재조회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웹 검색·상세 조회, 검사 ID 기반 추적</w:t>
            </w:r>
          </w:p>
        </w:tc>
      </w:tr>
    </w:tbl>
    <w:p>
      <w:pPr>
        <w:pStyle w:val="Heading1"/>
        <w:keepNext/>
        <w:pageBreakBefore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3. 정상·이상 판단 기준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3515"/>
        <w:gridCol w:w="2608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입력 상태</w:t>
            </w:r>
          </w:p>
        </w:tc>
        <w:tc>
          <w:tcPr>
            <w:tcW w:type="dxa" w:w="1701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최종 판정</w:t>
            </w:r>
          </w:p>
        </w:tc>
        <w:tc>
          <w:tcPr>
            <w:tcW w:type="dxa" w:w="3515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대표 사유</w:t>
            </w:r>
          </w:p>
        </w:tc>
        <w:tc>
          <w:tcPr>
            <w:tcW w:type="dxa" w:w="2608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PLC 결과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필수 부품 모두 존재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PASS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ALL_REQUIRED_PARTS_PRESENT_3_FRAMES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0 / OK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오른쪽 파이프 결품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FAIL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RIGHT_PIPE_MISSING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1 / 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기타 필수 부품 결품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FAIL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해당 결품 자리 사유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1 / 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영상·자세·시스템 조건 미충족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REVIEW 또는 ERROR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원인 코드를 원장에 보존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완료 조건 충족 시 NG로 전달; 원판정 유지</w:t>
            </w:r>
          </w:p>
        </w:tc>
      </w:tr>
    </w:tbl>
    <w:p>
      <w:pPr>
        <w:widowControl/>
        <w:spacing w:before="80" w:after="80" w:line="276" w:lineRule="auto"/>
      </w:pPr>
      <w:r>
        <w:rPr>
          <w:rFonts w:ascii="NanumGothic" w:hAnsi="NanumGothic" w:eastAsia="NanumGothic" w:cs="NanumGothic"/>
          <w:color w:val="202D37"/>
          <w:sz w:val="19"/>
        </w:rPr>
        <w:t>PLC 결과는 같은 요청의 저장·완료 조건을 충족한 경우에만 전달한다. 저장 실패나 통신 불능을 정상적인 완료 전송으로 취급하지 않는다. [R5]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fill="EEF5FA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34E68"/>
                <w:sz w:val="19"/>
              </w:rPr>
              <w:t>현재 판정 범위</w:t>
              <w:br/>
            </w: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오조립 방향/상태 분류(M3-M6)는 참고 분석이다. 현재 제품 PASS/FAIL의 기준은 M1·M2를 이용한 필수 부품 존재·결품 검사이며, 참고 결과가 최종 판정을 바꾸지 않는다.</w:t>
            </w:r>
          </w:p>
        </w:tc>
      </w:tr>
    </w:tbl>
    <w:p>
      <w:pPr>
        <w:pStyle w:val="Heading1"/>
        <w:keepNext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4. 왜 Edge AI인가</w:t>
      </w:r>
    </w:p>
    <w:p>
      <w:pPr>
        <w:pStyle w:val="ListBullet"/>
        <w:widowControl/>
        <w:spacing w:after="80" w:line="276" w:lineRule="auto"/>
      </w:pPr>
      <w:r>
        <w:rPr>
          <w:rFonts w:ascii="NanumGothic" w:hAnsi="NanumGothic" w:eastAsia="NanumGothic" w:cs="NanumGothic"/>
          <w:color w:val="202D37"/>
          <w:sz w:val="19"/>
        </w:rPr>
        <w:t>카메라 입력과 AI 추론을 설비 옆 Jetson에서 수행해 인터넷·클라우드 왕복 없이 PLC 요청에 대응한다.</w:t>
      </w:r>
    </w:p>
    <w:p>
      <w:pPr>
        <w:pStyle w:val="ListBullet"/>
        <w:widowControl/>
        <w:spacing w:after="80" w:line="276" w:lineRule="auto"/>
      </w:pPr>
      <w:r>
        <w:rPr>
          <w:rFonts w:ascii="NanumGothic" w:hAnsi="NanumGothic" w:eastAsia="NanumGothic" w:cs="NanumGothic"/>
          <w:color w:val="202D37"/>
          <w:sz w:val="19"/>
        </w:rPr>
        <w:t>모델·전처리·판정·저장을 같은 장치에 묶어 검사 ID와 원본 사진, 설정, 결과의 추적성을 확보한다.</w:t>
      </w:r>
    </w:p>
    <w:p>
      <w:pPr>
        <w:pStyle w:val="ListBullet"/>
        <w:widowControl/>
        <w:spacing w:after="80" w:line="276" w:lineRule="auto"/>
      </w:pPr>
      <w:r>
        <w:rPr>
          <w:rFonts w:ascii="NanumGothic" w:hAnsi="NanumGothic" w:eastAsia="NanumGothic" w:cs="NanumGothic"/>
          <w:color w:val="202D37"/>
          <w:sz w:val="19"/>
        </w:rPr>
        <w:t>현장 PC는 조회 화면 역할이며 판정 수행의 필수 연산 장치가 아니다.</w:t>
      </w:r>
    </w:p>
    <w:p>
      <w:pPr>
        <w:pStyle w:val="ListBullet"/>
        <w:widowControl/>
        <w:spacing w:after="80" w:line="276" w:lineRule="auto"/>
      </w:pPr>
      <w:r>
        <w:rPr>
          <w:rFonts w:ascii="NanumGothic" w:hAnsi="NanumGothic" w:eastAsia="NanumGothic" w:cs="NanumGothic"/>
          <w:color w:val="202D37"/>
          <w:sz w:val="19"/>
        </w:rPr>
        <w:t>현재 운영 모델을 TensorRT로 변환해 Jetson에서 실행하며, 동일 장치 Benchmark에서 프로세스 RSS 관측 최대가 원본 PT 대비 M1 약 49.1%, M2 약 48.6% 낮았다.</w:t>
      </w:r>
    </w:p>
    <w:p>
      <w:pPr>
        <w:pStyle w:val="Heading1"/>
        <w:keepNext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5. 시스템 경계와 역할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7824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PLC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포토센서·컨베이어 운전 시퀀스, 검사 요청, Result/Done 수신, LED/설비 제어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Jetson Orin Nano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카메라 소유, TensorRT 추론, 3프레임 판정, DB 저장, PLC 통신, 웹 API/UI 제공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USB 카메라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검사 위치의 새 영상 공급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웹 브라우저/노트북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라인 상태·검사 사진·이력 조회. 추론 자체는 Jetson에서 수행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SQLite/파일 자산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검사 원장, 이벤트, 판정 결과, 원본·표시 이미지 추적</w:t>
            </w:r>
          </w:p>
        </w:tc>
      </w:tr>
    </w:tbl>
    <w:p>
      <w:pPr>
        <w:pStyle w:val="Heading1"/>
        <w:keepNext/>
        <w:pageBreakBefore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6. 성공 기준과 확인 결과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458"/>
        <w:gridCol w:w="5046"/>
      </w:tblGrid>
      <w:tr>
        <w:trPr>
          <w:tblHeader w:val="true"/>
          <w:cantSplit/>
        </w:trPr>
        <w:tc>
          <w:tcPr>
            <w:tcW w:type="dxa" w:w="1587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성공 기준</w:t>
            </w:r>
          </w:p>
        </w:tc>
        <w:tc>
          <w:tcPr>
            <w:tcW w:type="dxa" w:w="3458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판정 방법</w:t>
            </w:r>
          </w:p>
        </w:tc>
        <w:tc>
          <w:tcPr>
            <w:tcW w:type="dxa" w:w="5046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현재 확보 근거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정상/결품 판정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사전 투입 계획과 실제 최종 판정을 검사 ID별 대조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실물 7건: 정상 4 PASS, 오른쪽 파이프 결품 3 FAIL, 계획과 7/7 일치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새 영상 사용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검사당 서로 다른 새 원본 3장과 프레임 ID 확인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7건 원본 21장 보존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PLC 연계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요청→Result→Done→요청 해제 이벤트 연결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7건 모두 Result/Done·주기 완료 기록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DB 추적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동일 ID로 판정·사진·이벤트·조회 결과 대조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7건 COMPLETE, 상세/검색 GET 14/14 일치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장치 동작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LED·컨베이어 실제 반응 확인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실제 시험 중 운영자 직접 관찰 기록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Edge 최적화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동일 Jetson에서 PT와 TensorRT를 동일 입력으로 비교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4조건 × 3회 × 72장 × 5회 순환</w:t>
              <w:br/>
              <w:t>= 4,320개 지연 기록; RSS 약 49% 감소</w:t>
            </w:r>
          </w:p>
        </w:tc>
      </w:tr>
    </w:tbl>
    <w:p>
      <w:pPr>
        <w:widowControl/>
        <w:spacing w:before="80" w:after="80" w:line="276" w:lineRule="auto"/>
      </w:pPr>
      <w:r>
        <w:rPr>
          <w:rFonts w:ascii="NanumGothic" w:hAnsi="NanumGothic" w:eastAsia="NanumGothic" w:cs="NanumGothic"/>
          <w:color w:val="202D37"/>
          <w:sz w:val="19"/>
        </w:rPr>
        <w:t>측정 횟수는 동일 E03 72장의 반복 처리이며 예열은 제외한다. 실물 7건은 4c4b 시험본의 결과이고, 후속 운영본 32c4와는 UI 변경 기록으로 연결된다. [R3, R4]</w:t>
      </w:r>
    </w:p>
    <w:p>
      <w:pPr>
        <w:pStyle w:val="Heading1"/>
        <w:keepNext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7. 이번 프로젝트에서 해결한 범위와 제외 범위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8107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107"/>
            <w:shd w:fill="17365D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현재 결과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구현 완료 범위</w:t>
            </w:r>
          </w:p>
        </w:tc>
        <w:tc>
          <w:tcPr>
            <w:tcW w:type="dxa" w:w="810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필수 부품 존재/결품 판정, Jetson 추론, PLC Result/Done, LED·컨베이어 연계 관찰, SQLite 저장·웹 조회, ONNX/TensorRT 운영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참고 기능</w:t>
            </w:r>
          </w:p>
        </w:tc>
        <w:tc>
          <w:tcPr>
            <w:tcW w:type="dxa" w:w="810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부품별 오조립 분류는 결과에 표시할 수 있으나 최종 PASS/FAIL 기준에는 미반영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02D37"/>
                <w:sz w:val="18"/>
              </w:rPr>
              <w:t>이번 범위 밖</w:t>
            </w:r>
          </w:p>
        </w:tc>
        <w:tc>
          <w:tcPr>
            <w:tcW w:type="dxa" w:w="8107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after="0" w:before="0" w:line="269" w:lineRule="auto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푸셔 기반 자동 분류·배출, 모든 결품 유형의 현장 반복시험, 장시간 신뢰성 인증, 독립 최종 holdout 성능 인증</w:t>
            </w:r>
          </w:p>
        </w:tc>
      </w:tr>
    </w:tbl>
    <w:p>
      <w:pPr>
        <w:pStyle w:val="Heading1"/>
        <w:keepNext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8. 평가자가 확인할 핵심 성과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fill="E2F0D9"/>
            <w:vAlign w:val="center"/>
            <w:tcMar>
              <w:top w:w="85" w:type="dxa"/>
              <w:bottom w:w="85" w:type="dxa"/>
              <w:start w:w="105" w:type="dxa"/>
              <w:end w:w="105" w:type="dxa"/>
            </w:tcMar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NanumGothic" w:hAnsi="NanumGothic" w:eastAsia="NanumGothic" w:cs="NanumGothic"/>
                <w:b/>
                <w:color w:val="234E68"/>
                <w:sz w:val="19"/>
              </w:rPr>
              <w:t>구현 성과</w:t>
              <w:br/>
            </w:r>
            <w:r>
              <w:rPr>
                <w:rFonts w:ascii="NanumGothic" w:hAnsi="NanumGothic" w:eastAsia="NanumGothic" w:cs="NanumGothic"/>
                <w:b w:val="0"/>
                <w:color w:val="202D37"/>
                <w:sz w:val="18"/>
              </w:rPr>
              <w:t>모델을 학습해 Jetson에서 실행하는 데 그치지 않고, 실제 엔진 모형 7건에서 새 영상 → AI 판정 → 저장 완료 확인 → PLC 응답을 연결하고, 동일 검사 ID로 이력을 조회했다. 운영 모델의 TensorRT 변환과 동일 Jetson Benchmark로 엣지 배포 효과도 정량 검증했다.</w:t>
            </w:r>
          </w:p>
        </w:tc>
      </w:tr>
    </w:tbl>
    <w:p>
      <w:pPr>
        <w:pStyle w:val="Heading1"/>
        <w:keepNext/>
        <w:widowControl/>
      </w:pPr>
      <w:r>
        <w:rPr>
          <w:rFonts w:ascii="NanumGothic" w:hAnsi="NanumGothic" w:eastAsia="NanumGothic" w:cs="NanumGothic"/>
          <w:b/>
          <w:color w:val="17365D"/>
          <w:sz w:val="26"/>
        </w:rPr>
        <w:t>근거 자료</w:t>
      </w:r>
    </w:p>
    <w:p>
      <w:pPr>
        <w:widowControl/>
        <w:spacing w:after="40" w:line="259" w:lineRule="auto" w:before="0"/>
      </w:pPr>
      <w:r>
        <w:rPr>
          <w:rFonts w:ascii="NanumGothic" w:hAnsi="NanumGothic" w:eastAsia="NanumGothic" w:cs="NanumGothic"/>
          <w:color w:val="566574"/>
          <w:sz w:val="16"/>
        </w:rPr>
        <w:t>[R0] 프로젝트계획서_팀_이승훈_최신화_사람중심.md - 초기 문제·역할 정의</w:t>
      </w:r>
    </w:p>
    <w:p>
      <w:pPr>
        <w:widowControl/>
        <w:spacing w:after="40" w:line="259" w:lineRule="auto" w:before="0"/>
      </w:pPr>
      <w:hyperlink r:id="rId10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[R1] 02_엔진모형_데이터셋_설명서_v1.2 - 데이터·라벨 기준</w:t>
        </w:r>
      </w:hyperlink>
    </w:p>
    <w:p>
      <w:pPr>
        <w:widowControl/>
        <w:spacing w:after="40" w:line="259" w:lineRule="auto" w:before="0"/>
      </w:pPr>
      <w:hyperlink r:id="rId11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[R2] 03_엔진모형_모델_평가서_v1.1 - 모델 성능·오류 분석</w:t>
        </w:r>
      </w:hyperlink>
    </w:p>
    <w:p>
      <w:pPr>
        <w:widowControl/>
        <w:spacing w:after="40" w:line="259" w:lineRule="auto" w:before="0"/>
      </w:pPr>
      <w:hyperlink r:id="rId12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[R3] 04_엔진모형_최적화전후_Benchmark_보고서_v1.1 - 동일 Jetson 비교</w:t>
        </w:r>
      </w:hyperlink>
    </w:p>
    <w:p>
      <w:pPr>
        <w:widowControl/>
        <w:spacing w:after="40" w:line="259" w:lineRule="auto" w:before="0"/>
      </w:pPr>
      <w:hyperlink r:id="rId13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[R4] 05_엔진모형_통합테스트_결과서_v1.0 - 실물 7건·PLC·DB</w:t>
        </w:r>
      </w:hyperlink>
    </w:p>
    <w:p>
      <w:pPr>
        <w:widowControl/>
        <w:spacing w:after="40" w:line="259" w:lineRule="auto" w:before="0"/>
      </w:pPr>
      <w:hyperlink r:id="rId14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[R5] 06_엔진모형_DB_구조와_조회방식_v1.0 - 저장 확인·조회</w:t>
        </w:r>
      </w:hyperlink>
    </w:p>
    <w:p>
      <w:pPr>
        <w:widowControl/>
        <w:spacing w:after="40" w:line="259" w:lineRule="auto" w:before="0"/>
      </w:pPr>
      <w:hyperlink r:id="rId15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[R6] 07_엔진모형_Jetson_실행_ONNX_TensorRT_절차서_v1.0 - 실행·변환</w:t>
        </w:r>
      </w:hyperlink>
    </w:p>
    <w:p>
      <w:pPr>
        <w:widowControl/>
        <w:spacing w:after="40" w:line="259" w:lineRule="auto" w:before="0"/>
      </w:pPr>
      <w:r>
        <w:rPr>
          <w:rFonts w:ascii="NanumGothic" w:hAnsi="NanumGothic" w:eastAsia="NanumGothic" w:cs="NanumGothic"/>
          <w:color w:val="566574"/>
          <w:sz w:val="16"/>
        </w:rPr>
        <w:t>[R7] 통합 프로젝트 평가표 - 평가영역 1: 현장 문제·시스템 설계</w:t>
      </w:r>
    </w:p>
    <w:p>
      <w:pPr>
        <w:spacing w:before="100" w:after="20"/>
      </w:pPr>
      <w:hyperlink r:id="rId16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제출 산출물: Engine_Assembly_Runtime_Review</w:t>
        </w:r>
      </w:hyperlink>
    </w:p>
    <w:p>
      <w:pPr>
        <w:spacing w:after="0"/>
      </w:pPr>
      <w:hyperlink r:id="rId17">
        <w:r>
          <w:rPr>
            <w:rFonts w:ascii="NanumGothic" w:hAnsi="NanumGothic" w:eastAsia="NanumGothic" w:cs="NanumGothic"/>
            <w:sz w:val="16"/>
            <w:color w:val="234E68"/>
            <w:u w:val="single"/>
          </w:rPr>
          <w:t>실행·학습 코드: Engine_Assembly_Defect_Inspector</w:t>
        </w:r>
      </w:hyperlink>
    </w:p>
    <w:sectPr w:rsidR="00FC693F" w:rsidRPr="0006063C" w:rsidSect="00034616">
      <w:footerReference w:type="default" r:id="rId9"/>
      <w:headerReference w:type="default" r:id="rId18"/>
      <w:pgSz w:w="11906" w:h="16838"/>
      <w:pgMar w:top="907" w:right="907" w:bottom="850" w:left="90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 w:cs="NanumGothic"/>
        <w:color w:val="566574"/>
        <w:sz w:val="16"/>
      </w:rPr>
      <w:t xml:space="preserve">문제정의서 · v1.1  |  </w:t>
    </w:r>
    <w:r>
      <w:rPr>
        <w:rFonts w:ascii="NanumGothic" w:hAnsi="NanumGothic" w:eastAsia="NanumGothic" w:cs="NanumGothic"/>
        <w:color w:val="566574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NanumGothic" w:hAnsi="NanumGothic" w:eastAsia="NanumGothic" w:cs="NanumGothic"/>
        <w:color w:val="566574"/>
        <w:sz w:val="16"/>
      </w:rPr>
      <w:t xml:space="preserve"> / </w:t>
    </w:r>
    <w:r>
      <w:rPr>
        <w:rFonts w:ascii="NanumGothic" w:hAnsi="NanumGothic" w:eastAsia="NanumGothic" w:cs="NanumGothic"/>
        <w:color w:val="566574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566574"/>
        <w:sz w:val="14"/>
      </w:rPr>
      <w:t>ENGINE ASSEMBLY  |  PROBLEM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anumGothic" w:hAnsi="NanumGothic" w:eastAsia="NanumGothic" w:cs="NanumGothic"/>
      <w:sz w:val="19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76" w:lineRule="auto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7365D"/>
      <w:sz w:val="26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76" w:lineRule="auto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NanumGothic" w:hAnsi="NanumGothic" w:eastAsia="NanumGothic" w:cs="NanumGothic"/>
      <w:sz w:val="19"/>
      <w:lang w:val="ko-KR" w:eastAsia="ko-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tmdgns104/Engine_Assembly_Runtime_Review/blob/main/02_%EC%97%94%EC%A7%84%EB%AA%A8%ED%98%95_%EB%8D%B0%EC%9D%B4%ED%84%B0%EC%85%8B_%EC%84%A4%EB%AA%85%EC%84%9C_v1.2.pdf" TargetMode="External"/><Relationship Id="rId11" Type="http://schemas.openxmlformats.org/officeDocument/2006/relationships/hyperlink" Target="https://github.com/tmdgns104/Engine_Assembly_Runtime_Review/blob/main/03_%EC%97%94%EC%A7%84%EB%AA%A8%ED%98%95_%EB%AA%A8%EB%8D%B8_%ED%8F%89%EA%B0%80%EC%84%9C_v1.1.pdf" TargetMode="External"/><Relationship Id="rId12" Type="http://schemas.openxmlformats.org/officeDocument/2006/relationships/hyperlink" Target="https://github.com/tmdgns104/Engine_Assembly_Runtime_Review/blob/main/04_%EC%97%94%EC%A7%84%EB%AA%A8%ED%98%95_%EC%B5%9C%EC%A0%81%ED%99%94%EC%A0%84%ED%9B%84_Benchmark_%EB%B3%B4%EA%B3%A0%EC%84%9C_v1.1.pdf" TargetMode="External"/><Relationship Id="rId13" Type="http://schemas.openxmlformats.org/officeDocument/2006/relationships/hyperlink" Target="https://github.com/tmdgns104/Engine_Assembly_Runtime_Review/blob/main/05_%EC%97%94%EC%A7%84%EB%AA%A8%ED%98%95_%ED%86%B5%ED%95%A9%ED%85%8C%EC%8A%A4%ED%8A%B8_%EA%B2%B0%EA%B3%BC%EC%84%9C_v1.0.pdf" TargetMode="External"/><Relationship Id="rId14" Type="http://schemas.openxmlformats.org/officeDocument/2006/relationships/hyperlink" Target="https://github.com/tmdgns104/Engine_Assembly_Runtime_Review/blob/main/06_%EC%97%94%EC%A7%84%EB%AA%A8%ED%98%95_DB_%EA%B5%AC%EC%A1%B0%EC%99%80_%EC%A1%B0%ED%9A%8C%EB%B0%A9%EC%8B%9D_v1.0.pdf" TargetMode="External"/><Relationship Id="rId15" Type="http://schemas.openxmlformats.org/officeDocument/2006/relationships/hyperlink" Target="https://github.com/tmdgns104/Engine_Assembly_Runtime_Review/blob/main/07_%EC%97%94%EC%A7%84%EB%AA%A8%ED%98%95_Jetson_%EC%8B%A4%ED%96%89_ONNX_TensorRT_%EC%A0%88%EC%B0%A8%EC%84%9C_v1.0.pdf" TargetMode="External"/><Relationship Id="rId16" Type="http://schemas.openxmlformats.org/officeDocument/2006/relationships/hyperlink" Target="https://github.com/tmdgns104/Engine_Assembly_Runtime_Review" TargetMode="External"/><Relationship Id="rId17" Type="http://schemas.openxmlformats.org/officeDocument/2006/relationships/hyperlink" Target="https://github.com/tmdgns104/Engine_Assembly_Defect_Inspector" TargetMode="Externa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엔진 모형 조립 검사 - 문제정의서 v1.1</dc:title>
  <dc:subject>평가영역 1 / Benchmark 산식·저장 완료 순서·제출 근거 링크 개정</dc:subject>
  <dc:creator>엔진 모형 검사 프로젝트팀</dc:creator>
  <cp:keywords/>
  <dc:description>기존 제출본 v1.0의 문서 정합성 수정. 새 실험·운영 변경 없음.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