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page_1"/>
      <w:pPr>
        <w:pStyle w:val="Heading1"/>
        <w:widowControl/>
      </w:pPr>
      <w:r>
        <w:t>최적화 전후 Benchmark 보고서</w:t>
      </w:r>
      <w:bookmarkEnd w:id="1"/>
    </w:p>
    <w:p>
      <w:pPr>
        <w:widowControl/>
      </w:pPr>
      <w:r>
        <w:rPr>
          <w:b w:val="0"/>
          <w:color w:val="526171"/>
          <w:sz w:val="18"/>
        </w:rPr>
        <w:t>엔진 모형 검사 프로젝트 | 평가영역 5: 경량화·성능 Benchmark | v1.2</w:t>
      </w:r>
    </w:p>
    <w:p>
      <w:pPr>
        <w:widowControl/>
      </w:pPr>
      <w:r>
        <w:rPr>
          <w:b/>
          <w:color w:val="17324D"/>
          <w:sz w:val="26"/>
        </w:rPr>
        <w:t>프로세스 메모리 약 49% 감소 · 고정 조건 검출 결과 유지</w:t>
      </w:r>
    </w:p>
    <w:p>
      <w:pPr>
        <w:widowControl/>
      </w:pPr>
      <w:r>
        <w:rPr>
          <w:b w:val="0"/>
        </w:rPr>
        <w:t>현재 운영 중인 M1·M2를 동일 Jetson에서 원본 PyTorch FP32와 비교했다. 학습 모델의 ONNX·TensorRT 변환과 장치 실행을 연결하고, 속도·메모리·검출 성능을 함께 측정해 엣지 배포의 성과를 확인했다.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원본 사진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비교 조건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본 측정 실행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지연시간 원본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20"/>
              </w:rPr>
              <w:t>E03 72장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20"/>
              </w:rPr>
              <w:t>M1/M2 × PT/TRT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20"/>
              </w:rPr>
              <w:t>12회 (조건별 3회)</w:t>
            </w:r>
          </w:p>
        </w:tc>
        <w:tc>
          <w:tcPr>
            <w:tcW w:type="dxa" w:w="246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20"/>
              </w:rPr>
              <w:t>4,320개 구간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핵심 성과와 전후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40"/>
        <w:gridCol w:w="3940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검토 항목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 부품 검출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 엔진 전체 검출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sz w:val="18"/>
              </w:rPr>
              <w:t>프로세스 RSS 관측 최대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sz w:val="18"/>
              </w:rPr>
              <w:t>1,250.5 → 636.9 MiB</w:t>
              <w:br/>
              <w:t>약 49.1% 감소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sz w:val="18"/>
              </w:rPr>
              <w:t>1,263.8 → 649.7 MiB</w:t>
              <w:br/>
              <w:t>약 48.6% 감소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고정 조건 TP / FP / FN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PT·TRT 모두 192 / 0 / 0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PT·TRT 모두 72 / 0 / 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mAP50–95 (0~1)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0.639911 → 0.640873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0.836717 → 0.836629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평균 지연시간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29.313 → 29.022 ms</w:t>
              <w:br/>
              <w:t>약 0.99% 감소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29.480 → 30.266 ms</w:t>
              <w:br/>
              <w:t>약 2.67% 증가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처리량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34.06 → 34.41 image/s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33.87 → 33.00 image/s</w:t>
            </w:r>
          </w:p>
        </w:tc>
      </w:tr>
    </w:tbl>
    <w:p>
      <w:pPr>
        <w:widowControl/>
        <w:spacing w:after="0"/>
      </w:pPr>
    </w:p>
    <w:p>
      <w:pPr>
        <w:widowControl/>
        <w:pBdr>
          <w:left w:val="single" w:sz="16" w:color="3D718C" w:space="7"/>
        </w:pBdr>
        <w:spacing w:before="160" w:after="160"/>
        <w:ind w:left="170"/>
        <w:shd w:fill="EAF4F0"/>
      </w:pPr>
      <w:r>
        <w:rPr>
          <w:b w:val="0"/>
          <w:color w:val="143D36"/>
          <w:sz w:val="18"/>
        </w:rPr>
        <w:t>핵심 성과는 실행 메모리 효율이다. TensorRT의 RSS 관측 최대는 48.6~49.1% 감소했고, E03 고정 조건의 TP·FP·FN은 두 백엔드에서 같았다. 평균 처리 시간은 모델별 약 30ms였다. 평균 지연시간은 M1 약 1% 감소·M2 약 2.7% 증가로, 가속보다 메모리 절감 효과가 뚜렷했다.</w:t>
      </w:r>
    </w:p>
    <w:p>
      <w:pPr>
        <w:pStyle w:val="Heading2"/>
        <w:widowControl/>
      </w:pPr>
      <w:r>
        <w:t>평가항목과 실증 근거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783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평가기준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보고서 위치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원자료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ONNX·TensorRT 변환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2쪽, 15쪽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provenance/ · model_hashes.json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동일 조건의 비교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3–4쪽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protocol.json · environment_effective.json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FPS·Latency·메모리·정확도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5–11쪽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각 raw/summary CSV · accuracy.json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검증 과정·성과·개선 방향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12–14쪽</w:t>
            </w:r>
          </w:p>
        </w:tc>
        <w:tc>
          <w:tcPr>
            <w:tcW w:type="dxa" w:w="578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측정 보완·복귀·후속 계획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color w:val="526171"/>
          <w:sz w:val="16"/>
        </w:rPr>
        <w:t>근거: [R0] 평가표 1쪽 영역 5. [B01–B06] 측정 원문. 화살표는 PT → TensorRT. 지연시간은 전처리·후처리 포함; RSS는 본 측정 구간의 100ms 샘플 관측 최대. P/R 기준은 confidence 0.25, 정답 IoU 0.50.</w:t>
      </w:r>
    </w:p>
    <w:p>
      <w:pPr>
        <w:widowControl/>
      </w:pPr>
      <w:r>
        <w:br w:type="page"/>
      </w:r>
    </w:p>
    <w:p>
      <w:bookmarkStart w:id="2" w:name="page_2"/>
      <w:pPr>
        <w:pStyle w:val="Heading1"/>
        <w:widowControl/>
      </w:pPr>
      <w:r>
        <w:t>01  비교 모델과 변환 이력</w:t>
      </w:r>
      <w:bookmarkEnd w:id="2"/>
    </w:p>
    <w:p>
      <w:pPr>
        <w:widowControl/>
      </w:pPr>
      <w:r>
        <w:rPr>
          <w:b w:val="0"/>
          <w:color w:val="526171"/>
          <w:sz w:val="18"/>
        </w:rPr>
        <w:t>동일 학습 가중치의 변환·배포 이력과 실제 실행 파일을 연결해, 현재 운영 모델을 대상으로 비교했다.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912"/>
        <w:gridCol w:w="3912"/>
      </w:tblGrid>
      <w:tr>
        <w:trPr>
          <w:tblHeader/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M1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역할 / 클래스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부품 검출 / gray_pipe, exhaust_top, symbol_module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엔진 전체 검출 / product_envelope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운영 패키지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dynamic_parts_005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envelope_v007_fp16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가중치 계통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CFA8507_original_PT_fp16_head32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envelope_v004_E01_E02_144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원본 PT 파일 크기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5.20 MiB (5,456,154 B)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5.20 MiB (5,449,562 B)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ONNX 파일 크기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10.08 MiB (10,566,638 B)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10.08 MiB (10,564,980 B)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운영 plan 파일 크기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9.62 MiB (10,092,164 B)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12.93 MiB (13,556,092 B)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입력 / 출력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[1,3,640,640] / [1,7,8400]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[1,3,640,640] / [1,5,8400]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TRT 정밀도 정책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FP16 + head FP32</w:t>
              <w:br/>
              <w:t>빌드 기록의 FP32 지정 레이어 77개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FP16 + backbone FP32</w:t>
              <w:br/>
              <w:t>빌드 기록의 FP32 지정 레이어 208개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변환 단계별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확인된 설정과 증빙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 → ONNX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Ultralytics YOLO.export 8.4.146; imgsz 640, batch 1, dynamic=False, half=False, nms=False, simplify=False, opset=12. 각 export.json에 원본 PT 및 ONNX 해시를 보존했다.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ONNX → TensorRT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TensorRT 10.3.0 Builder API; workspace 1 GiB, optimization_level=3, max_aux_streams=0, TF32=False, precision_constraints=OBEY. 입력·출력은 float32이다.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파일 연결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export → build_manifest → 제품 manifest → 실제 장치 파일 관측의 SHA-256을 연결했다. 본 측정 run.json에도 실행한 PT 또는 plan 해시가 기록된다. 전체 해시는 15쪽에 기재했다.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원본 PT에도 eval·fuse·inference_mode를 적용하고, TensorRT는 배포된 native .plan을 직접 실행했다. 양쪽 모두 실제 추론 경로를 사용해 학습 모드나 불필요한 작업이 비교에 섞이지 않도록 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정밀도 구성: M1은 FP16+head FP32, M2는 FP16+backbone FP32다. 실행 메모리 감소는 이 혼합정밀도 운영 모델에서 확인한 결과다. plan 파일 크기는 PT보다 크며, 파일 용량과 실행 중 RSS는 구분한다. 빌드 당시 parity 기록과 이번 비교 시험도 각각 보존했다.</w:t>
      </w:r>
    </w:p>
    <w:p>
      <w:pPr>
        <w:widowControl/>
      </w:pPr>
      <w:r>
        <w:rPr>
          <w:b w:val="0"/>
          <w:color w:val="526171"/>
          <w:sz w:val="16"/>
        </w:rPr>
        <w:t>근거: [B02] protocol.json; [B08] provenance/M1·M2/{export,build_manifest,manifest}.json; model_hash_verification.json. 레이어 수는 빌드 설정 목록 수이며 실행 레이어별 프로파일링 결과가 아니다.</w:t>
      </w:r>
    </w:p>
    <w:p>
      <w:pPr>
        <w:widowControl/>
      </w:pPr>
      <w:r>
        <w:br w:type="page"/>
      </w:r>
    </w:p>
    <w:p>
      <w:bookmarkStart w:id="3" w:name="page_3"/>
      <w:pPr>
        <w:pStyle w:val="Heading1"/>
        <w:widowControl/>
      </w:pPr>
      <w:r>
        <w:t>02  장치와 실행 환경</w:t>
      </w:r>
      <w:bookmarkEnd w:id="3"/>
    </w:p>
    <w:p>
      <w:pPr>
        <w:widowControl/>
      </w:pPr>
      <w:r>
        <w:rPr>
          <w:b w:val="0"/>
          <w:color w:val="526171"/>
          <w:sz w:val="18"/>
        </w:rPr>
        <w:t>측정일 2026-10-19 | 채택 프로토콜 attempt002 | 기록된 실제 환경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측정 조건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장치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jetson-07 / NVIDIA Jetson Orin Nano Engineering Reference Developer Kit Super / aarch64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릴리스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engine-integrated-32c484ac6aeb07f1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운영체제 / L4T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Ubuntu 22.04 / L4T 36.4.7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Python / GPU 프레임워크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Python 3.10.12 / PyTorch 2.8.0 / CUDA 12.6 / TensorRT 10.3.0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평가·영상 라이브러리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Ultralytics 8.4.118 / NumPy 1.26.4 / OpenCV 5.0.0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전력 모드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기존 25W mode 1 유지. 전력 모드·클록 고정 설정을 변경하지 않음.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메모리 / 시스템 부하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GNOME 데스크톱은 유지. 비교하는 ML 백엔드는 순차적으로 별도 프로세스에서 적재.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입력 처리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OpenCV 스레드 1; PT torch 스레드 1; 디스크 읽기·PNG 디코딩 후 메모리에 원본 72장 준비.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 수치 설정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float32 파라미터, AMP OFF, matmul TF32 OFF, cuDNN TF32 OFF, cuDNN benchmark=False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장비 영향 통제</w:t>
            </w:r>
          </w:p>
        </w:tc>
        <w:tc>
          <w:tcPr>
            <w:tcW w:type="dxa" w:w="771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검사 서비스를 일시 정지하고 경쟁 Python/CUDA 점유자를 점검한 후 측정. PLC 운전·신규 촬영 없음.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기존 운영 환경을 활용한 실행 구성</w:t>
      </w:r>
    </w:p>
    <w:p>
      <w:pPr>
        <w:widowControl/>
      </w:pPr>
      <w:r>
        <w:rPr>
          <w:b w:val="0"/>
        </w:rPr>
        <w:t>사전 점검에서 확인한 NumPy 2.2.6과 PyTorch 간 호환 문제는 기존 NumPy 1.26.4 overlay 재사용으로 해소했다. 환경을 재설치하지 않고 운영에 사용하던 호환 경로로 측정했으며, 유효 환경과 초기 점검 기록을 함께 남겼다.</w:t>
      </w:r>
    </w:p>
    <w:p>
      <w:pPr>
        <w:widowControl/>
      </w:pPr>
      <w:r>
        <w:rPr>
          <w:b w:val="0"/>
          <w:sz w:val="17"/>
        </w:rPr>
        <w:t>재사용 경로: /home/jetson/oned_device_bench/</w:t>
        <w:br/>
        <w:t>env_candidates/numpy_compat_001/overlay</w:t>
      </w:r>
    </w:p>
    <w:p>
      <w:pPr>
        <w:pStyle w:val="Heading2"/>
        <w:widowControl/>
      </w:pPr>
      <w:r>
        <w:t>환경 기록과 비교 범위</w:t>
      </w:r>
    </w:p>
    <w:p>
      <w:pPr>
        <w:widowControl/>
      </w:pPr>
      <w:r>
        <w:rPr>
          <w:b w:val="0"/>
        </w:rPr>
        <w:t>L4T·CUDA·TensorRT 등 실제 실행 버전을 기록했다. nvidia-jetpack 메타 패키지는 미설치였고 jetson_clocks --show는 권한 제한이 있어, 동작 중 온도·클록·사용률은 tegrastats 원문으로 보완했다.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비교는 동일 장치·25W 설정에서 백엔드를 순차 실행한 조건이다. GNOME 부하와 동적 클록은 유지했으며, 반복별 변동도 결과표에 함께 제시했다.</w:t>
      </w:r>
    </w:p>
    <w:p>
      <w:pPr>
        <w:widowControl/>
      </w:pPr>
      <w:r>
        <w:rPr>
          <w:b w:val="0"/>
          <w:color w:val="526171"/>
          <w:sz w:val="16"/>
        </w:rPr>
        <w:t>근거: [B03] environment.json, environment_effective.json, telemetry_raw.jsonl; [B02] protocol.json; [B09] protocol_revisions/000_preflight_before_overlay.json 및 초기 adapter 실패 기록.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03  정상·결품 입력과 반복 측정 설계</w:t>
      </w:r>
    </w:p>
    <w:p>
      <w:pPr>
        <w:widowControl/>
      </w:pPr>
      <w:r>
        <w:rPr>
          <w:b w:val="0"/>
          <w:color w:val="526171"/>
          <w:sz w:val="18"/>
        </w:rPr>
        <w:t>정상과 다섯 결품 상태를 각 12장씩 구성한 E03 전체 72장으로 비교했다.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1417"/>
        <w:gridCol w:w="1984"/>
        <w:gridCol w:w="1984"/>
      </w:tblGrid>
      <w:tr>
        <w:trPr>
          <w:tblHeader/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촬영 상태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사진 수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 정답 박스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 정답 박스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정상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왼쪽 파이프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오른쪽 파이프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배기 부품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문양 부품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대상 부품 전체 결품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합계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192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E03 D145–D216, 원본 1280×720을 공통 letterbox로 640×640에 맞췄다. 내부 영상은 640×360, 위·아래 padding은 각각 140픽셀이다. padding 값 114, BGR→RGB, /255, float32를 적용하며 crop·증강은 하지 않았다. M1·M2의 정답 라벨은 별도다.</w:t>
      </w:r>
    </w:p>
    <w:p>
      <w:pPr>
        <w:pStyle w:val="Heading2"/>
        <w:widowControl/>
      </w:pPr>
      <w:r>
        <w:t>실행 수와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고정 내용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본 측정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4조건 × 새 프로세스 3회 × 360회 = 4,320구간. 조건당 1,080구간.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각 프로세스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모델 로드 → 첫 호출 별도 기록 → 예열 50회 → 72장 5회 순환 측정. 프로세스 사이 5초 대기.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순서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반복 1·3: M1 PT→TRT, M2 PT→TRT. 반복 2: M1 TRT→PT, M2 TRT→PT.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정확도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조건별 첫 반복에서 72장을 추가 추론. 한 raw 출력을 고정 cutoff와 mAP 경로에 각각 적용.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중단·배제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이상치 임의 삭제 없음. 최초 실패 시도는 attempt001/에 별도 보존하고, 수정 후 12회를 모두 새로 수행.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시간의 시작과 끝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측정 포함: 메모리의 원본 → 전처리 → GPU 추론 완료 → CPU 출력 → NMS·역좌표 변환 완료.</w:t>
        <w:br/>
        <w:t>측정 제외: 파일 읽기, PNG 디코딩, 모델 로드, 첫 호출, 예열, 결과 그림·로그 파일 저장.</w:t>
      </w:r>
    </w:p>
    <w:p>
      <w:pPr>
        <w:widowControl/>
      </w:pPr>
      <w:r>
        <w:rPr>
          <w:b w:val="0"/>
          <w:sz w:val="19"/>
        </w:rPr>
        <w:t>개별 지연은 perf_counter_ns의 차이로 계산하며, PT는 CUDA 동기화, TensorRT는 native 실행 스트림과 장치→호스트 전송 완료를 확인한다. 처리량은 완료 이미지 수 ÷ 측정 루프의 실제 경과시간이다. 루프의 작은 메모리 기록 비용은 포함하므로 1/평균지연과 완전히 같지는 않다.</w:t>
      </w:r>
    </w:p>
    <w:p>
      <w:pPr>
        <w:widowControl/>
      </w:pPr>
      <w:r>
        <w:rPr>
          <w:b w:val="0"/>
          <w:color w:val="526171"/>
          <w:sz w:val="16"/>
        </w:rPr>
        <w:t>근거: [B02] protocol.json; [B04] input_manifest.csv, ground_truth.json; [B05] latency_raw.csv 및 run.json. 전체 대상 결품은 엔진 몸체를 유지한 부품 결품 상태다.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04  실행 메모리 효율: RSS 약 49% 감소</w:t>
      </w:r>
    </w:p>
    <w:p>
      <w:pPr>
        <w:widowControl/>
      </w:pPr>
      <w:r>
        <w:rPr>
          <w:b w:val="0"/>
          <w:color w:val="526171"/>
          <w:sz w:val="18"/>
        </w:rPr>
        <w:t>동일 E03 입력의 모델별 실행에서 TensorRT의 프로세스 RSS 관측 최대가 약 절반으로 낮아졌다.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2721"/>
        <w:gridCol w:w="2891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RSS 관측 최대</w:t>
              <w:br/>
              <w:t>MiB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기준 대비 RSS</w:t>
              <w:br/>
              <w:t>최대 증가 MiB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시스템 사용량 추정</w:t>
              <w:br/>
              <w:t>관측 최대 MiB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PT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1,250.5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620.0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3,051.4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TRT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636.9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301.9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2,683.6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PT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1,263.8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629.1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3,072.6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TRT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649.7</w:t>
            </w:r>
          </w:p>
        </w:tc>
        <w:tc>
          <w:tcPr>
            <w:tcW w:type="dxa" w:w="272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314.6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2,683.1</w:t>
            </w:r>
          </w:p>
        </w:tc>
      </w:tr>
    </w:tbl>
    <w:p>
      <w:pPr>
        <w:widowControl/>
        <w:spacing w:after="0"/>
      </w:pP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48000"/>
            <wp:docPr id="3" name="Picture 3" descr="그림 3. 본 측정 구간 RSS의 관측 최대값. 각 백엔드 3회 중 최댓값이며, GPU 전용 메모리 값이 아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pea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1. 본 측정 구간의 프로세스 RSS 관측 최대. 백엔드별 3회 중 최댓값이며 100ms 간격으로 수집했다.</w:t>
      </w:r>
    </w:p>
    <w:p>
      <w:pPr>
        <w:widowControl/>
      </w:pPr>
      <w:r>
        <w:rPr>
          <w:b w:val="0"/>
        </w:rPr>
        <w:t>M1은 1,250.5→636.9MiB로 49.1%, M2는 1,263.8→649.7MiB로 48.6% 감소했다. 기준 대비 RSS 최대 증가량도 M1 620.0→301.9MiB, M2 629.1→314.6MiB로 낮아졌다. 단독 모델 실행에서 확인한 구체적인 자원 효율 성과다.</w:t>
      </w:r>
    </w:p>
    <w:p>
      <w:pPr>
        <w:pStyle w:val="Heading2"/>
        <w:widowControl/>
      </w:pPr>
      <w:r>
        <w:t>메모리 지표의 기준</w:t>
      </w:r>
    </w:p>
    <w:p>
      <w:pPr>
        <w:widowControl/>
      </w:pPr>
      <w:r>
        <w:rPr>
          <w:b w:val="0"/>
        </w:rPr>
        <w:t>RSS는 라이브러리와 입력 이미지를 포함한 측정 프로세스의 메모리다. 기준값은 동일 72장과 각 백엔드 라이브러리를 준비한 뒤 모델 구성 전에 기록했다. 따라서 감소율은 GPU 전용 메모리나 모델 파일 크기 대신 프로세스 RSS에 적용한다.</w:t>
      </w:r>
    </w:p>
    <w:p>
      <w:pPr>
        <w:widowControl/>
      </w:pPr>
      <w:r>
        <w:rPr>
          <w:b w:val="0"/>
        </w:rPr>
        <w:t>RSS는 /proc/self/status, 시스템 사용량 추정은 MemTotal−MemAvailable로 수집했다. 범위가 겹쳐 합산하지 않으며, 로드·예열·측정 단계별 기록은 memory_summary.csv에서 확인할 수 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100ms 샘플링의 관측 최대값을 사용했다. 샘플이 없는 짧은 단계는 미관측으로 표시했고 GPU 전용 메모리는 별도 측정하지 않았다.</w:t>
      </w:r>
    </w:p>
    <w:p>
      <w:pPr>
        <w:widowControl/>
      </w:pPr>
      <w:r>
        <w:rPr>
          <w:b w:val="0"/>
          <w:color w:val="526171"/>
          <w:sz w:val="16"/>
        </w:rPr>
        <w:t>근거: [B06] memory_raw.csv, memory_summary.csv; [B02] memory; [B13] baseline 차감 및 최대값 재계산.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05  약 30ms의 모델별 처리 시간과 속도 비교</w:t>
      </w:r>
    </w:p>
    <w:p>
      <w:pPr>
        <w:widowControl/>
      </w:pPr>
      <w:r>
        <w:rPr>
          <w:b w:val="0"/>
          <w:color w:val="526171"/>
          <w:sz w:val="18"/>
        </w:rPr>
        <w:t>원본 PT와 TensorRT의 전처리·후처리 포함 처리 시간을 비교했다. 조건당 3회·1,080구간의 전체 결과다. 단위: ms, image/s.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361"/>
        <w:gridCol w:w="1361"/>
        <w:gridCol w:w="2551"/>
        <w:gridCol w:w="1587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평균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p50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p95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최소 / 최대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처리량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PT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29.313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29.201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30.301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28.088 / 32.221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34.06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TRT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29.022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29.310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30.537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22.725 / 31.700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34.41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PT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29.480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29.529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30.042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28.566 / 30.412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33.87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TRT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30.266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30.415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30.683</w:t>
            </w:r>
          </w:p>
        </w:tc>
        <w:tc>
          <w:tcPr>
            <w:tcW w:type="dxa" w:w="255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26.053 / 31.445</w:t>
            </w:r>
          </w:p>
        </w:tc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33.00</w:t>
            </w:r>
          </w:p>
        </w:tc>
      </w:tr>
    </w:tbl>
    <w:p>
      <w:pPr>
        <w:widowControl/>
        <w:spacing w:after="0"/>
      </w:pP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77500"/>
            <wp:docPr id="1" name="Picture 1" descr="그림 1. 전체 지연시간 비교. y축은 0에서 시작한다. p95는 모든 구간을 합친 95백분위수이며, 반복별 p95의 평균이 아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2. 전체 지연시간 비교. y축은 0부터 표시했으며, p95는 전체 1,080구간의 95백분위수다.</w:t>
      </w:r>
    </w:p>
    <w:p>
      <w:pPr>
        <w:pStyle w:val="Heading2"/>
        <w:widowControl/>
      </w:pPr>
      <w:r>
        <w:t>속도와 메모리를 함께 본 해석</w:t>
      </w:r>
    </w:p>
    <w:p>
      <w:pPr>
        <w:widowControl/>
      </w:pPr>
      <w:r>
        <w:rPr>
          <w:b w:val="0"/>
        </w:rPr>
        <w:t>M1 평균 지연은 29.313→29.022ms로 0.291ms(0.99%) 줄었고 처리량은 34.41 image/s였다. p50은 29.201→29.310ms, p95는 30.301→30.537ms로 증가해 일관된 지연 개선으로 해석하지 않았다.</w:t>
      </w:r>
    </w:p>
    <w:p>
      <w:pPr>
        <w:widowControl/>
      </w:pPr>
      <w:r>
        <w:rPr>
          <w:b w:val="0"/>
        </w:rPr>
        <w:t>M2 평균 지연은 29.480→30.266ms로 0.786ms(2.67%) 늘었고 처리량은 33.00 image/s였다. 따라서 이번 적용의 주된 이점은 큰 속도 향상보다는 약 49%의 프로세스 RSS 감소와 근접한 검출 지표다.</w:t>
      </w:r>
    </w:p>
    <w:p>
      <w:pPr>
        <w:pStyle w:val="Heading2"/>
        <w:widowControl/>
      </w:pPr>
      <w:r>
        <w:t>측정 구간과 다음 개선 지점</w:t>
      </w:r>
    </w:p>
    <w:p>
      <w:pPr>
        <w:widowControl/>
      </w:pPr>
      <w:r>
        <w:rPr>
          <w:b w:val="0"/>
        </w:rPr>
        <w:t>처리량은 저장 사진을 각 모델에 개별 입력한 결과다. 실제 라인의 처리량은 자세 정렬·세 프레임 판정·DB·PLC를 포함하는 통합 시험에서 별도로 확인한다.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속도 차이의 원인을 좁히기 위한 다음 단계는 전처리·GPU·전송·후처리별 프로파일링이다. 현재는 GPU 커널 단독시간을 측정하지 않아 특정 단계의 병목을 확정하지 않았다.</w:t>
      </w:r>
    </w:p>
    <w:p>
      <w:pPr>
        <w:widowControl/>
      </w:pPr>
      <w:r>
        <w:rPr>
          <w:b w:val="0"/>
          <w:color w:val="526171"/>
          <w:sz w:val="16"/>
        </w:rPr>
        <w:t>근거: [B05] latency_raw.csv, latency_summary.csv; 각 remote_results/results/&lt;run_id&gt;/run.json. [B13] 전체 구간 재집계 결과.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06  반복 실행과 초기화 시간 기록</w:t>
      </w:r>
    </w:p>
    <w:p>
      <w:pPr>
        <w:widowControl/>
      </w:pPr>
      <w:r>
        <w:rPr>
          <w:b w:val="0"/>
          <w:color w:val="526171"/>
          <w:sz w:val="18"/>
        </w:rPr>
        <w:t>실행 순서를 교차한 12회 결과와 모델 로드·첫 호출 시간을 함께 보존했다.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474"/>
        <w:gridCol w:w="1474"/>
        <w:gridCol w:w="1474"/>
        <w:gridCol w:w="1531"/>
        <w:gridCol w:w="1474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실행 ID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평균 ms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p95 ms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image/s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로드 ms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첫 호출 ms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M1_PT_r1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29.473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30.621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33.88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1042.3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50.7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M1_TRT_r1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29.496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30.729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33.86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157.6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81.7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M2_PT_r1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29.810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30.180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33.50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1053.9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46.9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M2_TRT_r1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30.221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30.669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33.05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175.7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83.1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M1_TRT_r2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28.935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30.369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34.51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156.4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79.5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M1_PT_r2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29.074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29.743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34.35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1022.8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48.3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M2_TRT_r2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30.412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30.649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32.85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182.9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84.8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M2_PT_r2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29.038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29.438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34.39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1037.6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50.5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M1_PT_r3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29.393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30.389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33.97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1027.2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50.8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M1_TRT_r3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28.635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30.314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34.87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160.9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80.3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M2_PT_r3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29.591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29.983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33.75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1080.8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47.4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M2_TRT_r3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30.165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30.706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33.11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174.2</w:t>
            </w:r>
          </w:p>
        </w:tc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82.0</w:t>
            </w:r>
          </w:p>
        </w:tc>
      </w:tr>
    </w:tbl>
    <w:p>
      <w:pPr>
        <w:widowControl/>
        <w:spacing w:after="0"/>
      </w:pP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78428"/>
            <wp:docPr id="2" name="Picture 2" descr="그림 2. 반복별 평균 지연시간. 작은 차이를 보기 위해 y축을 28~31ms로 확대한 그림이며, 전체 크기는 그림 1에서 확인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repeti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3. 반복별 평균 지연시간. 차이를 읽기 위해 y축을 28~31ms로 확대했다. 전체 크기 비교는 그림 2를 참조한다.</w:t>
      </w:r>
    </w:p>
    <w:p>
      <w:pPr>
        <w:widowControl/>
      </w:pPr>
      <w:r>
        <w:rPr>
          <w:b w:val="0"/>
        </w:rPr>
        <w:t>조건별 새 프로세스 3회를 실행해 일회성 결과뿐 아니라 반복 편차도 확인했다. M1 TensorRT 평균은 29.496→28.935→28.635ms였고 PT에도 변동이 있었다. 조건당 1,080구간은 동일 72장의 반복 측정이다.</w:t>
      </w:r>
    </w:p>
    <w:p>
      <w:pPr>
        <w:widowControl/>
      </w:pPr>
      <w:r>
        <w:rPr>
          <w:b w:val="0"/>
          <w:sz w:val="19"/>
        </w:rPr>
        <w:t>TensorRT는 기록된 모델 로드 구간이 더 짧고 첫 호출 구간은 더 길었다. 정상상태 처리와 초기화 비용을 분리해 비교할 수 있도록 두 값을 모두 남겼다. 이는 백엔드 초기화 범위의 지표이며 앱 전체 기동시간과는 다르다.</w:t>
      </w:r>
    </w:p>
    <w:p>
      <w:pPr>
        <w:widowControl/>
      </w:pPr>
      <w:r>
        <w:rPr>
          <w:b w:val="0"/>
          <w:color w:val="526171"/>
          <w:sz w:val="16"/>
        </w:rPr>
        <w:t>근거: [B05] latency_summary.csv; [B02] measurement.order, warmup_calls, iterations. 통계적 유의성 검정과 최악 지연시간 보증은 수행하지 않았다.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07  최적화 전후 고정 조건 검출 결과</w:t>
      </w:r>
    </w:p>
    <w:p>
      <w:pPr>
        <w:widowControl/>
      </w:pPr>
      <w:r>
        <w:rPr>
          <w:b w:val="0"/>
          <w:color w:val="526171"/>
          <w:sz w:val="18"/>
        </w:rPr>
        <w:t>E03 72장 전체에서 PT·TensorRT의 고정 조건 TP·FP·FN이 일치했고 mAP도 근접했다.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97"/>
        <w:gridCol w:w="3997"/>
      </w:tblGrid>
      <w:tr>
        <w:trPr>
          <w:tblHeader/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고정 조건 P/R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mAP 비교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confidence cutoff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0.25 (코드 비교 연산 &gt;)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0.001 (코드 비교 연산 &gt;)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공통 후처리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class-aware NMS IoU 0.45; max_det 300; 단일 argmax 클래스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왼쪽과 동일. 단, 면적 0 후보 보존의 평가 전용 연결 사용 (12쪽).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정답 매칭 IoU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0.50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0.50부터 0.95까지 0.05 간격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집계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실제 TP/FP/FN에서 P/R 계산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Ultralytics 8.4.118 ap_per_class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928"/>
        <w:gridCol w:w="1361"/>
        <w:gridCol w:w="1361"/>
        <w:gridCol w:w="1701"/>
        <w:gridCol w:w="1871"/>
      </w:tblGrid>
      <w:tr>
        <w:trPr>
          <w:tblHeader/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TP/FP/FN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P@0.25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R@0.25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mAP50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mAP50–95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PT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192/0/0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0.995000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0.639911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TRT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192/0/0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0.995000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0.640873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PT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72/0/0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0.995000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0.836717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TRT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72/0/0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1.000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0.995000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0.836629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confidence 0.25·정답 IoU 0.50에서 M1은 192개, M2는 72개 정답 박스를 양쪽 모두 검출했고 FP·FN은 0이었다. 네 조건의 전체 예측 288기록을 보존해 이미지별 결과를 추적할 수 있다. 평가 단위는 E03 사진의 박스 검출이다.</w:t>
      </w:r>
    </w:p>
    <w:p>
      <w:pPr>
        <w:pStyle w:val="Heading2"/>
        <w:widowControl/>
      </w:pPr>
      <w:r>
        <w:t>클래스별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118"/>
        <w:gridCol w:w="1247"/>
        <w:gridCol w:w="1984"/>
        <w:gridCol w:w="1984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클래스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정답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TP/FP/FN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AP50–95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PT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gray_pipe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96/0/0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0.722679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PT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exhaust_top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0.548666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PT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symbol_module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0.648386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TRT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gray_pipe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96/0/0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0.722676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TRT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exhaust_top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0.551515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TRT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symbol_module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48/0/0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0.648429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PT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product_envelope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72/0/0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0.836717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TRT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product_envelope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72/0/0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0.836629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sz w:val="18"/>
        </w:rPr>
        <w:t>mAP50–95 변화는 M1 +0.0963%p, M2 −0.0088%p로 작았다. 고정 조건의 검출 건수 유지와 함께 변환 후 검출 지표가 원본에 근접했음을 보여준다. 이 비교는 개발 검증의 관측값이며 통계적 동등성 시험과는 구분한다.</w:t>
      </w:r>
    </w:p>
    <w:p>
      <w:pPr>
        <w:widowControl/>
      </w:pPr>
      <w:r>
        <w:rPr>
          <w:b w:val="0"/>
          <w:color w:val="526171"/>
          <w:sz w:val="16"/>
        </w:rPr>
        <w:t>근거: [B07] accuracy_summary.csv, accuracy_by_class.csv, 각 r1/accuracy.json 및 predictions.json. [B02] accuracy. [B13] 저장 예측의 IoU 0.50 대응·합계 재확인.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08  출력 일관성과 정밀도 개선 지점</w:t>
      </w:r>
    </w:p>
    <w:p>
      <w:pPr>
        <w:widowControl/>
      </w:pPr>
      <w:r>
        <w:rPr>
          <w:b w:val="0"/>
          <w:color w:val="526171"/>
          <w:sz w:val="18"/>
        </w:rPr>
        <w:t>동일 입력에 대한 실행 방식 간 일관성을 확인하고, 정답 경계와의 차이도 함께 분석했다.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428"/>
            <wp:docPr id="4" name="Picture 4" descr="그림 4. 정답 매칭 IoU별 클래스 평균 AP. 기존 accuracy.json의 ap_by_iou 배열을 평균해 그렸다. 두 백엔드 곡선이 가까워 일부 선은 겹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_by_io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4. 정답 매칭 IoU별 클래스 평균 AP. 기존 accuracy.json의 ap_by_iou 배열을 평균해 그렸다. 두 백엔드 곡선이 가까워 일부 선은 겹친다.</w:t>
      </w:r>
    </w:p>
    <w:p>
      <w:pPr>
        <w:widowControl/>
      </w:pPr>
      <w:r>
        <w:rPr>
          <w:b w:val="0"/>
        </w:rPr>
        <w:t>PT·TensorRT의 IoU별 AP 곡선이 근접했다. 두 백엔드 모두 엄격한 위치 기준에서 배기 부품 AP50–95가 상대적으로 낮아, 후속 정밀도 개선의 우선 대상도 공통으로 확인했다(PT 0.548666, TRT 0.551515).</w:t>
      </w:r>
    </w:p>
    <w:p>
      <w:pPr>
        <w:pStyle w:val="Heading2"/>
        <w:widowControl/>
      </w:pPr>
      <w:r>
        <w:t>PT 대 TensorRT 저장 예측 비교: confidence 0.25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2494"/>
        <w:gridCol w:w="2494"/>
      </w:tblGrid>
      <w:tr>
        <w:trPr>
          <w:tblHeader/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비교 지표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사진-모델 비교 수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72쌍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72쌍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대응되지 않은 예측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 0 / TRT 0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 0 / TRT 0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대응 박스 간 최소 IoU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0.998935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0.965331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최대 좌표 차이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0.0603 px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7.4605 px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최대 confidence 절댓값 차이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0.001611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0.000590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입력 텐서 SHA 대응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72쌍 일치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72쌍 일치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위 값은 prediction_comparison.csv의 72행씩을 집계한 결과다. 박스 좌표 차이는 원본 1280×720 좌표계의 대응 박스 모서리 차이이며, 정답과의 오차를 직접 뜻하지 않는다. 다음 두 쪽에서 정답과 두 실행 결과를 나란히 확인할 수 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확인한 성과: 72장 전체에서 박스 수·클래스 대응이 유지됐다. 좌표·confidence 차이는 위 표에 정량화했으며, 정답 경계에 대한 위치 정밀도는 AP와 별도 사례로 평가했다.</w:t>
      </w:r>
    </w:p>
    <w:p>
      <w:pPr>
        <w:widowControl/>
      </w:pPr>
      <w:r>
        <w:rPr>
          <w:b w:val="0"/>
          <w:color w:val="526171"/>
          <w:sz w:val="16"/>
        </w:rPr>
        <w:t>근거: [B07] r1/accuracy.json의 ap_by_iou; [B10] prediction_comparison.csv. [B13] 두 모델별 전체 행의 최소·최대·합계 집계.</w:t>
      </w:r>
    </w:p>
    <w:p>
      <w:pPr>
        <w:widowControl/>
      </w:pPr>
      <w:r>
        <w:br w:type="page"/>
      </w:r>
    </w:p>
    <w:p>
      <w:bookmarkStart w:id="10" w:name="page_10"/>
      <w:pPr>
        <w:pStyle w:val="Heading1"/>
        <w:widowControl/>
      </w:pPr>
      <w:r>
        <w:t>09  실제 예측 비교 사례: M1</w:t>
      </w:r>
      <w:bookmarkEnd w:id="10"/>
    </w:p>
    <w:p>
      <w:pPr>
        <w:widowControl/>
      </w:pPr>
      <w:r>
        <w:rPr>
          <w:b w:val="0"/>
          <w:color w:val="526171"/>
          <w:sz w:val="18"/>
        </w:rPr>
        <w:t>정상·결품의 정답과 두 백엔드 예측을 같은 이미지 ID로 연결해 비교했다.</w:t>
      </w:r>
    </w:p>
    <w:p>
      <w:pPr>
        <w:pStyle w:val="Heading2"/>
        <w:widowControl/>
      </w:pPr>
      <w:r>
        <w:t>사례 A. D147 / 정상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65230"/>
            <wp:docPr id="5" name="Picture 5" descr="그림 5. 정상 사진 D147의 정답과 두 실행 결과. 비교 그림의 엔진 영역만 동일하게 확대했다. 새 추론이나 라벨 수정은 하지 않았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D147_enlarg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65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5. 정상 D147의 정답·PyTorch·TensorRT. 원본 증빙의 같은 엔진 영역을 확대했다.</w:t>
      </w:r>
    </w:p>
    <w:p>
      <w:pPr>
        <w:widowControl/>
      </w:pPr>
      <w:r>
        <w:rPr>
          <w:b w:val="0"/>
        </w:rPr>
        <w:t>정상 상태의 파이프 2개·배기 1개·문양 1개를 PT·TensorRT가 모두 검출했다. 실행 방식 간 최대 좌표 차이는 0.0506px, 최소 대응 IoU는 0.999292로 이 사례의 높은 출력 일관성을 확인했다.</w:t>
      </w:r>
    </w:p>
    <w:p>
      <w:pPr>
        <w:pStyle w:val="Heading2"/>
        <w:widowControl/>
      </w:pPr>
      <w:r>
        <w:t>사례 B. D195 / 문양 부품 결품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48735"/>
            <wp:docPr id="6" name="Picture 6" descr="그림 6. D195는 촬영 기록상 문양 부품 결품이다. 남아 있는 세 부품 박스와 결품 자리의 검출 유무를 비교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D195_enlarg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48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6. D195는 촬영 기록상 문양 부품 결품이다. 남아 있는 세 부품 박스와 결품 자리의 검출 유무를 비교한다.</w:t>
      </w:r>
    </w:p>
    <w:p>
      <w:pPr>
        <w:widowControl/>
      </w:pPr>
      <w:r>
        <w:rPr>
          <w:b w:val="0"/>
        </w:rPr>
        <w:t>문양 부품이 빠진 D195에서 양쪽 모두 남은 세 부품을 검출하고, 없는 문양 부품을 추가 검출하지 않았다. M1 전체 비교 중 최대 좌표 차이가 가장 큰 사례에서도 차이는 0.0603px였다(confidence 0.25).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654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ZIP 내 확인 위치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원본·정답·예측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examples/M1/D147/ 및 examples/M1/D195/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정량 비교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prediction_comparison.csv의 해당 model·image_id 행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전체 E03 예측</w:t>
            </w:r>
          </w:p>
        </w:tc>
        <w:tc>
          <w:tcPr>
            <w:tcW w:type="dxa" w:w="765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remote_results/results/M1_PT_r1/predictions.json</w:t>
              <w:br/>
              <w:t>remote_results/results/M1_TRT_r1/predictions.json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color w:val="526171"/>
          <w:sz w:val="16"/>
        </w:rPr>
        <w:t>근거: [B10] examples.csv, examples/M1/{D147,D195}/ 및 prediction_comparison.csv. 그림 5–6의 확대 범위는 보고서 작업용 figure_provenance.json에 기록했다.</w:t>
      </w:r>
    </w:p>
    <w:p>
      <w:pPr>
        <w:widowControl/>
      </w:pPr>
      <w:r>
        <w:br w:type="page"/>
      </w:r>
    </w:p>
    <w:p>
      <w:bookmarkStart w:id="11" w:name="page_11"/>
      <w:pPr>
        <w:pStyle w:val="Heading1"/>
        <w:widowControl/>
      </w:pPr>
      <w:r>
        <w:t>10  실제 예측 비교 사례: M2와 전체 결품</w:t>
      </w:r>
      <w:bookmarkEnd w:id="11"/>
    </w:p>
    <w:p>
      <w:pPr>
        <w:widowControl/>
      </w:pPr>
      <w:r>
        <w:rPr>
          <w:b w:val="0"/>
          <w:color w:val="526171"/>
          <w:sz w:val="18"/>
        </w:rPr>
        <w:t>엔진 전체와 부품 존재를 분리한 역할이 정상·결품 사진에서 어떻게 나타나는지 확인한다.</w:t>
      </w:r>
    </w:p>
    <w:p>
      <w:pPr>
        <w:pStyle w:val="Heading2"/>
        <w:widowControl/>
      </w:pPr>
      <w:r>
        <w:t>사례 C. D160 / 엔진 전체 박스의 좌표 차이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71419"/>
            <wp:docPr id="7" name="Picture 7" descr="그림 7. D160의 엔진 전체 정답과 PT/TRT 검출. 같은 박스가 검출돼도 좌표가 완전히 동일하지 않을 수 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D160_enlarg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7. D160의 엔진 전체 정답과 PT·TensorRT 예측. 두 백엔드 모두 전체 엔진을 검출했다.</w:t>
      </w:r>
    </w:p>
    <w:p>
      <w:pPr>
        <w:widowControl/>
      </w:pPr>
      <w:r>
        <w:rPr>
          <w:b w:val="0"/>
        </w:rPr>
        <w:t>M2의 최대 좌표 차이 사례 D160에서도 양쪽 모두 정답 IoU 0.50 기준 TP였다. 백엔드 간 최대 좌표 차이는 7.4605px, 대응 박스 IoU는 0.965331이며 엔진 전체 1박스 검출은 유지됐다.</w:t>
      </w:r>
    </w:p>
    <w:p>
      <w:pPr>
        <w:pStyle w:val="Heading2"/>
        <w:widowControl/>
      </w:pPr>
      <w:r>
        <w:t>사례 D. D205 / 대상 부품 전체 결품</w:t>
      </w:r>
    </w:p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56447"/>
            <wp:docPr id="8" name="Picture 8" descr="그림 8. D205의 M1 정답과 두 실행 결과. 대상 부품이 모두 없으므로 세 패널 모두 M1 부품 박스가 없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D205_enlarg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6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</w:pPr>
      <w:r>
        <w:t>그림 8. D205의 M1 정답과 두 실행 결과. 대상 부품이 모두 없으므로 세 패널 모두 M1 부품 박스가 없다.</w:t>
      </w:r>
    </w:p>
    <w:p>
      <w:pPr>
        <w:widowControl/>
      </w:pPr>
      <w:r>
        <w:rPr>
          <w:b w:val="0"/>
        </w:rPr>
        <w:t>대상 부품이 모두 빠진 D205에서 M1은 PT·TensorRT 모두 0박스로 정답과 일치했다. 같은 사진의 M2는 두 백엔드 모두 남아 있는 엔진 몸체를 1박스로 검출했다. 부품 부재와 엔진 영역 존재를 별도로 표현하는 구조를 보여준다.</w:t>
      </w:r>
    </w:p>
    <w:p>
      <w:pPr>
        <w:widowControl/>
      </w:pPr>
      <w:r>
        <w:rPr>
          <w:b w:val="0"/>
          <w:sz w:val="18"/>
        </w:rPr>
        <w:t>증빙에는 정상·결품과 출력 차이를 보여주는 13개 모델-이미지 사례가 포함돼 있다. 모든 정량 지표는 대표 그림이 아닌 E03 전체 72장으로 집계했다. 빈 벨트·자세·제품 단위 성능은 별도 통합 평가 범위다.</w:t>
      </w:r>
    </w:p>
    <w:p>
      <w:pPr>
        <w:widowControl/>
      </w:pPr>
      <w:r>
        <w:rPr>
          <w:b w:val="0"/>
          <w:color w:val="526171"/>
          <w:sz w:val="16"/>
        </w:rPr>
        <w:t>근거: [B10] examples/M2/D160/, examples/M1/D205/; [B07] M2 PT/TRT r1/predictions.json의 D205; [B04] ground_truth.json. 전체 13개 사례 위치는 examples.csv에 연결돼 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11  측정 신뢰성 확보와 평가 경로 보완</w:t>
      </w:r>
    </w:p>
    <w:p>
      <w:pPr>
        <w:widowControl/>
      </w:pPr>
      <w:r>
        <w:rPr>
          <w:b w:val="0"/>
          <w:color w:val="526171"/>
          <w:sz w:val="18"/>
        </w:rPr>
        <w:t>측정 중 발견한 환경·평가 연결 문제를 분리하고, 고정 사례 점검 후 전체 비교를 완료했다.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969"/>
        <w:gridCol w:w="4309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발생 사실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처리 및 증빙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실행 전 환경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NumPy 2.2.6과 설치 PyTorch의 배열 변환 호환 문제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기존 NumPy 1.26.4 overlay 재사용. 설치·업그레이드 없음. 초기 사전검증 기록 보존.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attempt001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M1 PT/TRT 실행 후 M2 PT의 낮은 cutoff 평가에서 degenerate restored box 오류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M2 PT의 GPU 추론·360회 시간 측정은 끝난 상태였다. 전체 순차 비교를 중단하고 3회·1,080구간 원본 보존.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평가 전용 보완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confidence 0.001의 후보가 원본 범위로 clip된 후 면적 0이 될 수 있음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평가 전용 사본은 해당 후보를 삭제하지 않고 IoU 0의 FP 후보로 남김. PT와 TRT에 같은 코드 적용.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attempt002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변경 프로토콜 고정 후 4조건×3회를 모두 재실행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cutoff 0.25 시간 경로 및 운영 코드는 그대로. 본 보고서의 전체 결과는 두 번째 12회에서 집계.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저임계값 평가 연결의 처리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304"/>
        <w:gridCol w:w="1304"/>
        <w:gridCol w:w="1304"/>
        <w:gridCol w:w="1304"/>
      </w:tblGrid>
      <w:tr>
        <w:trPr>
          <w:tblHeader/>
          <w:cantSplit/>
        </w:trPr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낮은 cutoff native 거부가 기록된 사진-조건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 PT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M1 TRT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 PT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M2 TRT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사진 수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0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</w:t>
            </w:r>
          </w:p>
        </w:tc>
        <w:tc>
          <w:tcPr>
            <w:tcW w:type="dxa" w:w="130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72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</w:rPr>
        <w:t>confidence 0.25의 본 측정 12회는 모두 정상 종료했다. 표의 144건은 mAP용 confidence 0.001에서 native 후처리가 입력을 거부한 진단 횟수다. 평가용 보완을 양쪽에 동일 적용했으며 현장 검사 ERROR 횟수와 구분한다.</w:t>
      </w:r>
    </w:p>
    <w:p>
      <w:pPr>
        <w:pStyle w:val="Heading2"/>
        <w:widowControl/>
      </w:pPr>
      <w:r>
        <w:t>평가 연결의 고정 사례 점검</w:t>
      </w:r>
    </w:p>
    <w:p>
      <w:pPr>
        <w:widowControl/>
      </w:pPr>
      <w:r>
        <w:rPr>
          <w:b w:val="0"/>
        </w:rPr>
        <w:t>보존된 adapter_tests.json에는 CPU 고정 사례 10개 통과 기록이 있다. 정답 일치, 빈 예측, 중복 예측, 잘못된 클래스, 정답 없음, 완전 예측의 AP, letterbox·역변환, class-aware NMS, padding 영역 면적 0 후보 유지, 정상 박스의 native/평가 사본 일치를 포함한다.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mAP는 면적 0 후보를 IoU 0의 FP 후보로 보존한 평가용 경로를 사용했다. 운영 코드·confidence 0.25의 측정 경로는 유지했다. 최종 4,320구간은 보완 후 전체 재실행 결과이며 최초 중단 시도는 별도 보존했다.</w:t>
      </w:r>
    </w:p>
    <w:p>
      <w:pPr>
        <w:widowControl/>
      </w:pPr>
      <w:r>
        <w:rPr>
          <w:b w:val="0"/>
          <w:color w:val="526171"/>
          <w:sz w:val="16"/>
        </w:rPr>
        <w:t>근거: [B09] attempt001/, first_suite_failure.json, protocol_revisions/, low_cutoff_native_rejections.json; [B02] accuracy.zero_area_policy; [B12] code/test_adapter.py 및 adapter_tests.json.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12  운영본 보존과 서비스 복귀 확인</w:t>
      </w:r>
    </w:p>
    <w:p>
      <w:pPr>
        <w:widowControl/>
      </w:pPr>
      <w:r>
        <w:rPr>
          <w:b w:val="0"/>
          <w:color w:val="526171"/>
          <w:sz w:val="18"/>
        </w:rPr>
        <w:t>측정 전후의 파일 동일성과 서비스·새 영상·IPC 신호를 관측 기록으로 확인했다.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767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확인 단계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원자료에 기록된 내용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측정 전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서비스 active, PLC 운전 OFF·요청 LOW, 기존 engine-integrated-32c484ac6aeb07f1 확인.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일시 정지·측정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승인 후 운영 서비스를 정지하고 순차 측정. PLC START/STOP 명령 전송, 운영 파일 교체, 재부팅은 하지 않음.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최초 복구 문제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서비스는 시작됐지만 CAMERA_FRAME_TIMEOUT 발생. 사용자에게 같은 포트로 USB 재연결을 요청.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USB 재연결 후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새 카메라 프레임과 IPC HEALTH ready=True를 확인. 웹 ready=False 잔존은 Codex 기록에서 과거 표시로 구분.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두 번째 측정 종료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window_result.json: 17:38:07–17:43:11 KST, state=RESTORED_READY, suite·restore returncode=0.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최종 추가 관측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restore_observation_174722.json: service active, 새 프레임 연속 증가, 실제 IPC READY, 측정 프로세스 종료.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변경 여부</w:t>
            </w:r>
          </w:p>
        </w:tc>
        <w:tc>
          <w:tcPr>
            <w:tcW w:type="dxa" w:w="776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운영 릴리스·설정 해시와 모델 패키지·재사용 소스 19파일의 전후 해시 일치 기록. 같은 boot ID·25W mode 1.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복귀 확인 항목과 후속 통합 확인</w:t>
      </w:r>
    </w:p>
    <w:p>
      <w:pPr>
        <w:widowControl/>
      </w:pPr>
      <w:r>
        <w:rPr>
          <w:b w:val="0"/>
        </w:rPr>
        <w:t>최종 기록에서 서비스 active, camera_ready=True, 새 프레임 연속 증가와 IPC ready=True를 확인했다. inspection_service.ready=False 및 AREA_REFERENCE_INVALID / UNKNOWN 표시도 원자료에 남아 있어, 실제 신호 복귀와 화면 전체 정상화는 구분한다.</w:t>
      </w:r>
    </w:p>
    <w:p>
      <w:pPr>
        <w:widowControl/>
      </w:pPr>
      <w:r>
        <w:rPr>
          <w:b w:val="0"/>
        </w:rPr>
        <w:t>상태 조회 과정의 last_status_error는 원문에 보존했다. 최종 suite·restore returncode=0과 이후 추가 관측을 함께 제시해, 종료 결과와 조회 중 발생 이력을 추적할 수 있게 했다.</w:t>
      </w: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이번에 확인한 복귀 범위는 같은 운영본의 서비스 실행·영상 수신·IPC 준비 신호다. 실물 엔진 투입 후 AI 판정→LED→DB→다음 이송의 확인은 통합 테스트에서 수행할 항목으로 남긴다.</w:t>
      </w:r>
    </w:p>
    <w:p>
      <w:pPr>
        <w:widowControl/>
      </w:pPr>
      <w:r>
        <w:rPr>
          <w:b w:val="0"/>
          <w:color w:val="526171"/>
          <w:sz w:val="16"/>
        </w:rPr>
        <w:t>근거: [B11] remote_results/window_result.json, restore_observation_173405.json, restore_observation_174722.json, operating_after_verification.json. KST 시각은 원문의 UTC에 9시간을 더해 표시했다.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13  구현 성과와 다음 고도화 방향</w:t>
      </w:r>
    </w:p>
    <w:p>
      <w:pPr>
        <w:widowControl/>
      </w:pPr>
      <w:r>
        <w:rPr>
          <w:b w:val="0"/>
          <w:color w:val="526171"/>
          <w:sz w:val="18"/>
        </w:rPr>
        <w:t>학습 가중치를 실제 Jetson 운영 파일과 연결하고, 자원 효율·검출 성능·처리 시간을 실측 근거로 제시했다.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7200"/>
      </w:tblGrid>
      <w:tr>
        <w:trPr>
          <w:tblHeader/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확인한 성과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실측 근거와 의미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실행 메모리 효율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프로세스 RSS 관측 최대 M1 49.1%, M2 48.6% 감소. 라이브러리·입력까지 포함한 실행 프로세스의 자원 효율을 확인했다.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고정 조건 검출 결과 유지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E03 72장, confidence 0.25·정답 IoU 0.50에서 PT·TRT 모두 M1 TP192/FP0/FN0, M2 TP72/FP0/FN0이었다.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실제 장치 처리 성능 확인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전처리·후처리 포함 TensorRT 평균 M1 29.022ms, M2 30.266ms. 큰 가속 효과보다는 약 30ms 처리와 메모리 절감이 이번 결과다.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반복 가능한 비교 근거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4조건×3회, 4,320개 시간 기록과 전체 예측을 보존했다. 측정 조건·실행 순서·재시도 이력을 연결했다.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학습부터 운영까지 추적</w:t>
            </w:r>
          </w:p>
        </w:tc>
        <w:tc>
          <w:tcPr>
            <w:tcW w:type="dxa" w:w="720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PT→ONNX→TensorRT→운영 파일 해시를 연결하고, 운영 릴리스·설정 및 19개 파일의 전후 동일성을 확인했다.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적용 범위</w:t>
      </w:r>
    </w:p>
    <w:p>
      <w:pPr>
        <w:widowControl/>
      </w:pPr>
      <w:r>
        <w:rPr>
          <w:b w:val="0"/>
        </w:rPr>
        <w:t>E03 개발 검증 72장과 모델별 단독 호출이 대상이다. M1은 사용자 승인 라벨, M2는 AI 검토 라벨을 사용했다. 독립 최종시험·빈 벨트·다양한 현장 조건·제품 단위 판정은 후속 검증 범위다.</w:t>
      </w:r>
    </w:p>
    <w:p>
      <w:pPr>
        <w:widowControl/>
      </w:pPr>
      <w:r>
        <w:rPr>
          <w:b w:val="0"/>
        </w:rPr>
        <w:t>전처리·후처리 포함 지연과 100ms RSS 샘플을 기존 25W·동적 클록 조건에서 측정했다. GPU 커널 단독시간·전용 GPU 메모리·통계적 동등성·최악 지연 보증은 포함하지 않는다. 평균 지연시간 변화는 M1 −0.99%, M2 +2.67%이며 p95 개선도 관측되지 않았다.</w:t>
      </w:r>
    </w:p>
    <w:p>
      <w:pPr>
        <w:pStyle w:val="Heading2"/>
        <w:widowControl/>
      </w:pPr>
      <w:r>
        <w:t>다음 고도화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257"/>
      </w:tblGrid>
      <w:tr>
        <w:trPr>
          <w:tblHeader/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후속 목적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수행할 작업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속도 개선 지점 확인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전처리·GPU·전송·후처리를 나누어 프로파일링한 뒤, 실제 비용이 큰 단계부터 개선한다.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현장 통합 동작 검증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실물 정상·결품 투입, LED·이력·검사 ID 연결과 반복·현장변수 시험을 수행한다.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일반화 범위 확장</w:t>
            </w:r>
          </w:p>
        </w:tc>
        <w:tc>
          <w:tcPr>
            <w:tcW w:type="dxa" w:w="72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8"/>
              </w:rPr>
              <w:t>개발 검증과 분리된 시험 조건을 정하고, 빈 벨트·복합 결품·가림 등 현재 범위 밖의 입력을 추가 검증한다.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color w:val="526171"/>
          <w:sz w:val="16"/>
        </w:rPr>
        <w:t>근거: [B01] README_KO.md 3–8절; [B02–B11] 각 원문. 후속 항목은 보고서의 제안이며 실제 수행 결과가 아니다.</w:t>
      </w:r>
    </w:p>
    <w:p>
      <w:pPr>
        <w:widowControl/>
      </w:pPr>
      <w:r>
        <w:br w:type="page"/>
      </w:r>
    </w:p>
    <w:p>
      <w:bookmarkStart w:id="15" w:name="page_15"/>
      <w:pPr>
        <w:pStyle w:val="Heading1"/>
        <w:widowControl/>
      </w:pPr>
      <w:r>
        <w:t>부록 A  모델 식별과 자료 무결성</w:t>
      </w:r>
      <w:bookmarkEnd w:id="15"/>
    </w:p>
    <w:p>
      <w:pPr>
        <w:widowControl/>
      </w:pPr>
      <w:r>
        <w:rPr>
          <w:b w:val="0"/>
          <w:color w:val="526171"/>
          <w:sz w:val="18"/>
        </w:rPr>
        <w:t>모델·입력·프로토콜·원본 결과를 식별할 수 있도록 해시와 검증 범위를 보존했다.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107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모델 파일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SHA-256 (줄바꿈 없이 연결한 64자리)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PT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42db183006ad2a4f61dc9c22e7a61a5b</w:t>
              <w:br/>
              <w:t>506cdacb5099004fc7c3b73b74bf5259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ONNX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433b16fd1e802bdf2cb0afba6bb6487a</w:t>
              <w:br/>
              <w:t>839d94b5adc286185b93fd3953b9c296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M1 TRT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743ce54b4d5c7b8a36addf3dbff50fa6</w:t>
              <w:br/>
              <w:t>93ec4a509b31b476f68efc69f1bf2d6c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PT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cf117defe782e1ae8b355e0ed13c014f</w:t>
              <w:br/>
              <w:t>c6f1538aa2dcdbe0fb6cfa54200f7755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ONNX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5cb024bb911f9357e46c12c3d2a7e4b5</w:t>
              <w:br/>
              <w:t>f19af20e5692013037c9235e0deca830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M2 TRT</w:t>
            </w:r>
          </w:p>
        </w:tc>
        <w:tc>
          <w:tcPr>
            <w:tcW w:type="dxa" w:w="81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c82f2658ac20d06985a647c15e551c68</w:t>
              <w:br/>
              <w:t>1e394451cfa1c53baed64f639bcebf83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 w:val="0"/>
          <w:sz w:val="17"/>
        </w:rPr>
        <w:t>프로토콜 SHA-256</w:t>
        <w:br/>
        <w:t>e9d3d6b317d224afb7083dfb5185269824bfe0a62c42e531cd80d33edad41236</w:t>
      </w:r>
    </w:p>
    <w:p>
      <w:pPr>
        <w:widowControl/>
      </w:pPr>
      <w:r>
        <w:rPr>
          <w:b w:val="0"/>
          <w:sz w:val="17"/>
        </w:rPr>
        <w:t>원본 Benchmark ZIP SHA-256</w:t>
        <w:br/>
        <w:t>06321e2cb49302744181615e126d4f2d62b20e4d2c2782e8b2a29f815876cf29</w:t>
      </w:r>
    </w:p>
    <w:p>
      <w:pPr>
        <w:pStyle w:val="Heading2"/>
        <w:widowControl/>
      </w:pPr>
      <w:r>
        <w:t>문서 작성 단계에서 재확인한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검증 대상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결과와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ZIP 및 파일 목록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37,112,177바이트, 608파일. ZIP SHA·CRC 확인; manifest의 607파일 크기·SHA 및 자기 자신을 포함한 전체 파일집합 일치.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원격 수집 사본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보존된 원격 해시 기록 233개와 업로드된 로컬 사본의 크기·SHA 일치. 장치 재접속 검증은 아님.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시간·메모리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4,320개 시간의 시작/끝 차이, 반복 순서·횟수, 전체/반복별 요약, 메모리 단계별 최대·기준 차감 계산 일치.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정답·예측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144개 라벨과 pixel JSON 대응; 네 조건의 저장 예측을 IoU 0.50으로 대조해 TP/FP/FN 재확인. 입력 텐서 SHA 144쌍 일치.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mAP·예시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7"/>
              </w:rPr>
              <w:t>보존된 AP 배열·클래스표·평균 계산을 대조. mAP 평가기 자체를 재실행한 것은 아님. 예시 13개 참조·원본 해시 확인.</w:t>
            </w:r>
          </w:p>
        </w:tc>
      </w:tr>
    </w:tbl>
    <w:p>
      <w:pPr>
        <w:widowControl/>
        <w:spacing w:after="0"/>
      </w:pPr>
    </w:p>
    <w:p>
      <w:pPr>
        <w:widowControl/>
        <w:pBdr>
          <w:left w:val="single" w:sz="16" w:color="3D718C" w:space="7"/>
        </w:pBdr>
        <w:ind w:left="170"/>
      </w:pPr>
      <w:r>
        <w:rPr>
          <w:b w:val="0"/>
          <w:sz w:val="18"/>
        </w:rPr>
        <w:t>검증 파일: 이번 측정·복구의 기준은 원본 Benchmark ZIP 내부 verification.json(999바이트)이다. 이전 자산 조사 검증과 구분해 제출 묶음에 별도 보존했다.</w:t>
      </w:r>
    </w:p>
    <w:p>
      <w:pPr>
        <w:widowControl/>
      </w:pPr>
      <w:r>
        <w:rPr>
          <w:b w:val="0"/>
          <w:color w:val="526171"/>
          <w:sz w:val="16"/>
        </w:rPr>
        <w:t>근거: [B08] model_hashes.json; [B02] protocol.json; [B12] bundle_manifest.json, verification.json, ZIP 옆 무결성 JSON; [B13] reviewer_audit.json. 모델 바이너리를 이 문서 작성 환경에서 재실행하지 않았다.</w:t>
      </w:r>
    </w:p>
    <w:p>
      <w:pPr>
        <w:widowControl/>
      </w:pPr>
      <w:r>
        <w:br w:type="page"/>
      </w:r>
    </w:p>
    <w:p>
      <w:bookmarkStart w:id="16" w:name="page_16"/>
      <w:pPr>
        <w:pStyle w:val="Heading1"/>
        <w:widowControl/>
      </w:pPr>
      <w:r>
        <w:t>부록 B  평가 근거 찾아보기와 재현 안내</w:t>
      </w:r>
      <w:bookmarkEnd w:id="16"/>
    </w:p>
    <w:p>
      <w:pPr>
        <w:widowControl/>
      </w:pPr>
      <w:r>
        <w:rPr>
          <w:b w:val="0"/>
          <w:color w:val="526171"/>
          <w:sz w:val="18"/>
        </w:rPr>
        <w:t>본문의 [Bxx]는 아래 원자료 위치를 가리킨다. 경로는 원본 Benchmark ZIP의 루트 기준이다.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8901"/>
      </w:tblGrid>
      <w:tr>
        <w:trPr>
          <w:tblHeader/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17324D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자료 위치 / 확인 내용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R0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통합 프로젝트 평가표 1쪽 영역 5: ONNX·TensorRT 변환과 동일 조건 FPS·Latency·메모리·정확도 비교.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B01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README_KO.md / Codex가 작성한 원본 요약과 적용 범위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B02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protocol.json / 입력·모델·실행 순서·시간·메모리·정확도 조건, 고정 코드 해시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B03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environment.json, environment_effective.json, telemetry_raw.jsonl, telemetry_summary.json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B04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input_manifest.csv, ground_truth.json, ground_truth/M1/ 및 M2/ / E03 72장과 모델별 정답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B05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latency_raw.csv, latency_summary.csv; remote_results/results/&lt;run_id&gt;/{run.json,latency_raw.csv}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B06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memory_raw.csv, memory_summary.csv; 각 실행의 telemetry.jsonl / 단계별 메모리·온도 원문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B07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accuracy_summary.csv, accuracy_by_class.csv; remote_results/results/&lt;모델&gt;_&lt;PT|TRT&gt;_r1/{accuracy,predictions}.json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B08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provenance/M1/ 및 M2/; model_hashes.json, model_hash_verification.json / 변환·운영본 연결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B09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attempt001/, first_suite_failure.json, protocol_revisions/, low_cutoff_native_rejections.json / 실패와 보완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B10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examples.csv, examples/, prediction_comparison.csv / 13개 모델-이미지 사례와 전체 144쌍 비교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B11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remote_results/window_result.json, restore_observation_174722.json, operating_after_verification.json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B12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1F5F8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code/, source_snapshot/, adapter_tests.json, collected_evidence_verification.json, verification.json, bundle_manifest.json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B13</w:t>
            </w:r>
          </w:p>
        </w:tc>
        <w:tc>
          <w:tcPr>
            <w:tcW w:type="dxa" w:w="89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rFonts w:ascii="NanumGothic" w:hAnsi="NanumGothic" w:eastAsia="NanumGothic"/>
                <w:sz w:val="16"/>
              </w:rPr>
              <w:t>본 보고서 제출 묶음의 reviewer_audit.json / 업로드된 기록의 로컬 재집계·무결성 점검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다른 자료와 함께 제출할 때</w:t>
      </w:r>
    </w:p>
    <w:p>
      <w:pPr>
        <w:widowControl/>
      </w:pPr>
      <w:r>
        <w:rPr>
          <w:b w:val="0"/>
          <w:sz w:val="18"/>
        </w:rPr>
        <w:t>이 보고서 PDF와 M1_M2_benchmark_evidence_v001.zip을 함께 제공한다. 실제 학습·검증 사진 전체는 앞서 작성한 M1_M2_dataset_evidence_v002에 있고, 이 Benchmark ZIP에는 모든 입력·해시·정답·예측 및 대표 원본을 연결했다. 모델 바이너리와 전체 학습 데이터를 중복 포함하지 않았다.</w:t>
      </w:r>
    </w:p>
    <w:p>
      <w:pPr>
        <w:pStyle w:val="Heading2"/>
        <w:widowControl/>
      </w:pPr>
      <w:r>
        <w:t>재실행의 전제</w:t>
      </w:r>
    </w:p>
    <w:p>
      <w:pPr>
        <w:widowControl/>
      </w:pPr>
      <w:r>
        <w:rPr>
          <w:b w:val="0"/>
          <w:sz w:val="18"/>
        </w:rPr>
        <w:t>원본 모델·E03 파일을 해시로 준비하고 새 측정 폴더의 경로·프로토콜을 먼저 고정한다. 기존 호환 환경과 CPU 연결 테스트를 확인한 후, 실제 STOP·유휴 및 운영 영향 승인을 전제로 서비스 창을 사용한다. 완료·실패 어느 경우든 같은 서비스를 복구하고 새 영상·IPC를 다시 확인한다. 원래 결과 폴더를 덮어쓰거나 과거 절대경로 명령을 무검토로 실행하지 않는다.</w:t>
      </w:r>
    </w:p>
    <w:p>
      <w:pPr>
        <w:widowControl/>
      </w:pPr>
      <w:r>
        <w:rPr>
          <w:b w:val="0"/>
          <w:color w:val="526171"/>
          <w:sz w:val="18"/>
        </w:rPr>
        <w:t>문서 작성 범위: 첨부 자료를 읽고 저장된 수치·예측·파일을 대조하여 표와 그림을 작성했다. 새 GPU 추론·현장 시험·모델 변경은 수행하지 않았다. 원본 수치와 최초 실패 이력은 수정하지 않았다.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최적화 전후 비교 · v1.2   |  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>
      <w:rPr>
        <w:color w:val="526171"/>
        <w:sz w:val="16"/>
      </w:rPr>
      <w:t>ENGINE ASSEMBLY DEFECT INSPECTOR</w:t>
      <w:tab/>
      <w:t>BENCHMARK / 2026.10.19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NanumGothic" w:hAnsi="NanumGothic" w:eastAsia="NanumGothic"/>
      <w:sz w:val="20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732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8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anumGothic" w:hAnsi="NanumGothic" w:eastAsia="NanumGothic"/>
      <w:b/>
      <w:bCs/>
      <w:color w:val="52617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엔진 모형 검사 최적화 전후 Benchmark 보고서 v1.2</dc:title>
  <dc:subject>동일 Jetson의 M1·M2 PyTorch FP32 및 운영 TensorRT 비교</dc:subject>
  <dc:creator>Engine Assembly Defect Inspector Project</dc:creator>
  <cp:keywords>M1,M2,Jetson,TensorRT,Benchmark,E03,평가 산출물</cp:keywords>
  <dc:description>기존 측정값과 증빙을 보존하고 성과 중심으로 설명 및 자료 연결을 개정함.</dc:description>
  <cp:lastModifiedBy/>
  <cp:revision>3</cp:revision>
  <dcterms:created xsi:type="dcterms:W3CDTF">2013-12-23T23:15:00Z</dcterms:created>
  <dcterms:modified xsi:type="dcterms:W3CDTF">2013-12-23T23:15:00Z</dcterms:modified>
  <cp:category/>
</cp:coreProperties>
</file>