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/>
      </w:pPr>
      <w:r>
        <w:rPr>
          <w:rFonts w:ascii="NanumGothic" w:hAnsi="NanumGothic" w:eastAsia="NanumGothic" w:cs="NanumGothic"/>
          <w:b w:val="0"/>
          <w:color w:val="586673"/>
          <w:sz w:val="18"/>
        </w:rPr>
        <w:t>온디바이스 AI 기반 산업용 소프트웨어 개발 1기</w:t>
      </w:r>
    </w:p>
    <w:p>
      <w:pPr>
        <w:spacing w:after="140" w:before="0" w:line="269" w:lineRule="auto"/>
      </w:pPr>
      <w:r>
        <w:rPr>
          <w:rFonts w:ascii="NanumGothic" w:hAnsi="NanumGothic" w:eastAsia="NanumGothic" w:cs="NanumGothic"/>
          <w:b/>
          <w:color w:val="173B54"/>
          <w:sz w:val="44"/>
        </w:rPr>
        <w:t>엔진 모형 조립 검사</w:t>
        <w:br/>
        <w:t>프로젝트 기획안</w:t>
      </w:r>
    </w:p>
    <w:p>
      <w:pPr>
        <w:spacing w:after="100" w:before="0"/>
      </w:pPr>
      <w:r>
        <w:rPr>
          <w:rFonts w:ascii="NanumGothic" w:hAnsi="NanumGothic" w:eastAsia="NanumGothic" w:cs="NanumGothic"/>
          <w:b w:val="0"/>
          <w:color w:val="586673"/>
          <w:sz w:val="22"/>
        </w:rPr>
        <w:t>계획 목표 · 구현 성과 · 근거 연결</w:t>
      </w:r>
    </w:p>
    <w:p>
      <w:pPr>
        <w:spacing w:after="220" w:before="0"/>
      </w:pPr>
      <w:r>
        <w:rPr>
          <w:rFonts w:ascii="NanumGothic" w:hAnsi="NanumGothic" w:eastAsia="NanumGothic" w:cs="NanumGothic"/>
          <w:b w:val="0"/>
          <w:color w:val="586673"/>
          <w:sz w:val="17"/>
        </w:rPr>
        <w:t>평가 제출용  |  자료 기준 2026.10.20  |  문서 v1.1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EFF5F8"/>
            <w:tcMar>
              <w:top w:w="110" w:type="dxa"/>
              <w:bottom w:w="110" w:type="dxa"/>
              <w:left w:w="135" w:type="dxa"/>
              <w:right w:w="135" w:type="dxa"/>
            </w:tcMar>
          </w:tcPr>
          <w:p>
            <w:pPr>
              <w:keepNext/>
              <w:spacing w:after="60"/>
            </w:pPr>
            <w:r>
              <w:rPr>
                <w:rFonts w:ascii="NanumGothic" w:hAnsi="NanumGothic" w:eastAsia="NanumGothic" w:cs="NanumGothic"/>
                <w:b/>
                <w:color w:val="173B54"/>
                <w:sz w:val="21"/>
              </w:rPr>
              <w:t>프로젝트 목표</w:t>
            </w:r>
          </w:p>
          <w:p>
            <w:pPr>
              <w:spacing w:after="0" w:line="288" w:lineRule="auto"/>
            </w:pPr>
            <w:r>
              <w:rPr>
                <w:rFonts w:ascii="NanumGothic" w:hAnsi="NanumGothic" w:eastAsia="NanumGothic" w:cs="NanumGothic"/>
                <w:b w:val="0"/>
                <w:sz w:val="20"/>
              </w:rPr>
              <w:t>필수 부품의 존재·결품을 현장에서 판정하고, 검사에 사용한 영상과 결과를 PLC 응답·장치 동작·SQLite 이력 조회까지 연결하는 소형 온디바이스 비전 검사 시스템을 구현한다.</w:t>
            </w:r>
          </w:p>
        </w:tc>
      </w:tr>
    </w:tbl>
    <w:p>
      <w:pPr>
        <w:spacing w:after="60" w:before="0"/>
      </w:pPr>
      <w:r>
        <w:rPr>
          <w:rFonts w:ascii="NanumGothic" w:hAnsi="NanumGothic" w:eastAsia="NanumGothic" w:cs="NanumGothic"/>
          <w:b w:val="0"/>
          <w:sz w:val="2"/>
        </w:rPr>
      </w:r>
    </w:p>
    <w:p>
      <w:pPr>
        <w:pStyle w:val="Heading1"/>
      </w:pPr>
      <w:r>
        <w:t>1. 프로젝트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AD4DC"/>
          <w:left w:val="single" w:sz="4" w:color="CAD4DC"/>
          <w:bottom w:val="single" w:sz="4" w:color="CAD4DC"/>
          <w:right w:val="single" w:sz="4" w:color="CAD4DC"/>
          <w:insideH w:val="single" w:sz="4" w:color="CAD4DC"/>
          <w:insideV w:val="single" w:sz="4" w:color="CAD4DC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880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프로젝트명</w:t>
            </w:r>
          </w:p>
        </w:tc>
        <w:tc>
          <w:tcPr>
            <w:tcW w:type="dxa" w:w="7880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온디바이스 AI 기반 엔진 모형 조립 검사 시스템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팀장 / 팀 구성</w:t>
            </w:r>
          </w:p>
        </w:tc>
        <w:tc>
          <w:tcPr>
            <w:tcW w:type="dxa" w:w="7880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이승훈 / 이승훈·이규헌·주현규 3인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현장 구성</w:t>
            </w:r>
          </w:p>
        </w:tc>
        <w:tc>
          <w:tcPr>
            <w:tcW w:type="dxa" w:w="7880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PLC, 컨베이어, 포토센서, LED, USB 카메라, Jetson Orin Nano, SQLite·웹 조회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검사 대상</w:t>
            </w:r>
          </w:p>
        </w:tc>
        <w:tc>
          <w:tcPr>
            <w:tcW w:type="dxa" w:w="7880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회색 파이프 2자리, 배기 부품 1개, 문양 부품 1개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최종 판정 범위</w:t>
            </w:r>
          </w:p>
        </w:tc>
        <w:tc>
          <w:tcPr>
            <w:tcW w:type="dxa" w:w="7880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필수 부품 존재·결품. 오조립 분류는 참고 정보로 분리하며 최종 PASS/FAIL에 반영하지 않는다.</w:t>
            </w:r>
          </w:p>
        </w:tc>
      </w:tr>
    </w:tbl>
    <w:p>
      <w:pPr>
        <w:spacing w:after="40" w:before="0"/>
      </w:pPr>
      <w:r>
        <w:rPr>
          <w:rFonts w:ascii="NanumGothic" w:hAnsi="NanumGothic" w:eastAsia="NanumGothic" w:cs="NanumGothic"/>
          <w:b w:val="0"/>
          <w:sz w:val="2"/>
        </w:rPr>
      </w:r>
    </w:p>
    <w:p>
      <w:pPr>
        <w:pStyle w:val="Heading1"/>
      </w:pPr>
      <w:r>
        <w:t>2. 계획 당시 역할 분담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AD4DC"/>
          <w:left w:val="single" w:sz="4" w:color="CAD4DC"/>
          <w:bottom w:val="single" w:sz="4" w:color="CAD4DC"/>
          <w:right w:val="single" w:sz="4" w:color="CAD4DC"/>
          <w:insideH w:val="single" w:sz="4" w:color="CAD4DC"/>
          <w:insideV w:val="single" w:sz="4" w:color="CAD4DC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7483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2026.09.11 계획서에 기록된 역할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이승훈</w:t>
              <w:br/>
              <w:t>Vision·AI</w:t>
            </w:r>
          </w:p>
        </w:tc>
        <w:tc>
          <w:tcPr>
            <w:tcW w:type="dxa" w:w="7483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검사 대상·라벨 기준 정의, 모델 학습·평가, 검사 규칙 구현, ONNX/TensorRT 최적화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이규헌</w:t>
              <w:br/>
              <w:t>Edge·Automation</w:t>
            </w:r>
          </w:p>
        </w:tc>
        <w:tc>
          <w:tcPr>
            <w:tcW w:type="dxa" w:w="7483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Jetson·카메라 구성, 가상·실제 PLC 통신, 검사 요청·결과 연결, 컨베이어 이송·정지·복구 연동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주현규</w:t>
              <w:br/>
              <w:t>Data·QA·UI</w:t>
            </w:r>
          </w:p>
        </w:tc>
        <w:tc>
          <w:tcPr>
            <w:tcW w:type="dxa" w:w="7483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촬영·라벨 검수와 데이터 분할, 원본·판정·이벤트 DB 저장, 검사 화면·이력 조회, 시험·자료 정리</w:t>
            </w:r>
          </w:p>
        </w:tc>
      </w:tr>
    </w:tbl>
    <w:p>
      <w:pPr>
        <w:spacing w:after="40" w:before="0"/>
      </w:pPr>
      <w:r>
        <w:rPr>
          <w:rFonts w:ascii="NanumGothic" w:hAnsi="NanumGothic" w:eastAsia="NanumGothic" w:cs="NanumGothic"/>
          <w:b w:val="0"/>
          <w:sz w:val="2"/>
        </w:rPr>
      </w:r>
    </w:p>
    <w:p>
      <w:pPr>
        <w:spacing w:after="100" w:before="0"/>
      </w:pPr>
      <w:r>
        <w:rPr>
          <w:rFonts w:ascii="NanumGothic" w:hAnsi="NanumGothic" w:eastAsia="NanumGothic" w:cs="NanumGothic"/>
          <w:b w:val="0"/>
          <w:color w:val="586673"/>
          <w:sz w:val="17"/>
        </w:rPr>
        <w:t>역할표는 계획 원문에 기록된 분담을 보존한 것이다. 실제 개인별 코드 기여율이나 수행량을 새로 산정한 표는 아니다. [P0]</w:t>
      </w:r>
    </w:p>
    <w:p>
      <w:pPr>
        <w:spacing w:after="0" w:before="0"/>
      </w:pPr>
      <w:r>
        <w:rPr>
          <w:rFonts w:ascii="NanumGothic" w:hAnsi="NanumGothic" w:eastAsia="NanumGothic" w:cs="NanumGothic"/>
          <w:b w:val="0"/>
          <w:color w:val="586673"/>
          <w:sz w:val="17"/>
        </w:rPr>
        <w:t>내용 근거: [P0] 초기 계획, [R01] 문제정의서, [R05] 통합 테스트, [R07] Jetson 실행·변환 절차서. 자료 식별표는 4쪽에 제시한다.</w:t>
      </w:r>
    </w:p>
    <w:p>
      <w:pPr>
        <w:pStyle w:val="Heading1"/>
        <w:pageBreakBefore/>
        <w:spacing w:before="0"/>
      </w:pPr>
      <w:r>
        <w:t>3. 추진 범위와 개발 흐름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</w:rPr>
        <w:t>요구 정의에서 데이터·모델·엣지 실행·설비 연동으로 이어지는 개발 범위를 구성하고, 각 단계의 결과를 별도 자료로 연결했다.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AD4DC"/>
          <w:left w:val="single" w:sz="4" w:color="CAD4DC"/>
          <w:bottom w:val="single" w:sz="4" w:color="CAD4DC"/>
          <w:right w:val="single" w:sz="4" w:color="CAD4DC"/>
          <w:insideH w:val="single" w:sz="4" w:color="CAD4DC"/>
          <w:insideV w:val="single" w:sz="4" w:color="CAD4DC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871"/>
        <w:gridCol w:w="6746"/>
        <w:gridCol w:w="1247"/>
      </w:tblGrid>
      <w:tr>
        <w:trPr>
          <w:cantSplit/>
          <w:tblHeader/>
        </w:trPr>
        <w:tc>
          <w:tcPr>
            <w:tcW w:type="dxa" w:w="1871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6746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수행 내용</w:t>
            </w:r>
          </w:p>
        </w:tc>
        <w:tc>
          <w:tcPr>
            <w:tcW w:type="dxa" w:w="1247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근거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요구·검사 정의</w:t>
            </w:r>
          </w:p>
        </w:tc>
        <w:tc>
          <w:tcPr>
            <w:tcW w:type="dxa" w:w="6746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사용자, 입력·출력, 필수 부품 기준과 성공 기준을 정의했다.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[P0, R01]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데이터 구축</w:t>
            </w:r>
          </w:p>
        </w:tc>
        <w:tc>
          <w:tcPr>
            <w:tcW w:type="dxa" w:w="6746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실물 촬영·라벨 작성 및 검토·분할·품질 점검을 수행했다. M1·M2는 원본을 공유하고 라벨을 분리했다.</w:t>
            </w:r>
          </w:p>
        </w:tc>
        <w:tc>
          <w:tcPr>
            <w:tcW w:type="dxa" w:w="1247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[R02]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모델 학습·평가</w:t>
            </w:r>
          </w:p>
        </w:tc>
        <w:tc>
          <w:tcPr>
            <w:tcW w:type="dxa" w:w="6746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YOLO11n 기반 부품 검출 M1과 엔진 전체 검출 M2를 학습하고, 지표와 실제 오류 사례를 분석했다.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[R03]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엣지 변환·배포</w:t>
            </w:r>
          </w:p>
        </w:tc>
        <w:tc>
          <w:tcPr>
            <w:tcW w:type="dxa" w:w="6746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PT → ONNX → TensorRT → 운영 패키지의 파일 해시를 연결하고 Jetson 실행 경로를 구성했다.</w:t>
            </w:r>
          </w:p>
        </w:tc>
        <w:tc>
          <w:tcPr>
            <w:tcW w:type="dxa" w:w="1247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[R03, R07]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동일 장치 성능 비교</w:t>
            </w:r>
          </w:p>
        </w:tc>
        <w:tc>
          <w:tcPr>
            <w:tcW w:type="dxa" w:w="6746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같은 Jetson·E03 입력에서 PT와 TensorRT의 처리량, 지연시간, 메모리 및 검출 성능을 비교했다.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[R04]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실제 라인 통합</w:t>
            </w:r>
          </w:p>
        </w:tc>
        <w:tc>
          <w:tcPr>
            <w:tcW w:type="dxa" w:w="6746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PLC 요청, 새 영상, 기본·통합 판정 저장, Result/Done과 LED·컨베이어의 현장 동작을 연결했다.</w:t>
            </w:r>
          </w:p>
        </w:tc>
        <w:tc>
          <w:tcPr>
            <w:tcW w:type="dxa" w:w="1247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[R05, R06]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기록·조회·문서화</w:t>
            </w:r>
          </w:p>
        </w:tc>
        <w:tc>
          <w:tcPr>
            <w:tcW w:type="dxa" w:w="6746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원본·사유·모델·설정·이벤트를 같은 검사 ID로 저장하고, 웹 조회와 세부·종합 보고서로 연결했다.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[R06, R09, R10]</w:t>
            </w:r>
          </w:p>
        </w:tc>
      </w:tr>
    </w:tbl>
    <w:p>
      <w:pPr>
        <w:spacing w:after="40" w:before="0"/>
      </w:pPr>
      <w:r>
        <w:rPr>
          <w:rFonts w:ascii="NanumGothic" w:hAnsi="NanumGothic" w:eastAsia="NanumGothic" w:cs="NanumGothic"/>
          <w:b w:val="0"/>
          <w:sz w:val="2"/>
        </w:rPr>
      </w:r>
    </w:p>
    <w:p>
      <w:pPr>
        <w:pStyle w:val="Heading1"/>
      </w:pPr>
      <w:r>
        <w:t>4. 시스템 설계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AD4DC"/>
          <w:left w:val="single" w:sz="4" w:color="CAD4DC"/>
          <w:bottom w:val="single" w:sz="4" w:color="CAD4DC"/>
          <w:right w:val="single" w:sz="4" w:color="CAD4DC"/>
          <w:insideH w:val="single" w:sz="4" w:color="CAD4DC"/>
          <w:insideV w:val="single" w:sz="4" w:color="CAD4DC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7767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적용 내용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현장 독립 실행</w:t>
            </w:r>
          </w:p>
        </w:tc>
        <w:tc>
          <w:tcPr>
            <w:tcW w:type="dxa" w:w="776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촬영·추론·판정·저장은 Jetson에서 수행하고 노트북·브라우저는 개발 및 조회 역할로 분리한다.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검출과 제품 판정 분리</w:t>
            </w:r>
          </w:p>
        </w:tc>
        <w:tc>
          <w:tcPr>
            <w:tcW w:type="dxa" w:w="7767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M2 엔진 영역 검출·자세 정렬 후 M1 부품 검출과 자리 대응을 수행한다. 검출 mAP와 제품 PASS/FAIL은 별도 지표다.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새 영상·3프레임 확인</w:t>
            </w:r>
          </w:p>
        </w:tc>
        <w:tc>
          <w:tcPr>
            <w:tcW w:type="dxa" w:w="776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검사 요청에 속한 새 유효 원본 3장을 확보하고, 프레임별 자리 상태의 일관성으로 최종 결론을 확정한다.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저장 확인 후 PLC 전달</w:t>
            </w:r>
          </w:p>
        </w:tc>
        <w:tc>
          <w:tcPr>
            <w:tcW w:type="dxa" w:w="7767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기본 결과·원본과 통합 최종판정을 저장한다. 같은 요청의 저장 완료를 확인한 뒤 Result, Done 순서로 전달한다.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기록·버전 추적</w:t>
            </w:r>
          </w:p>
        </w:tc>
        <w:tc>
          <w:tcPr>
            <w:tcW w:type="dxa" w:w="776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inspection ID로 원본·결품 사유·이벤트를 연결하고, 모델·설정·운영 릴리스의 식별 정보를 보존한다.</w:t>
            </w:r>
          </w:p>
        </w:tc>
      </w:tr>
    </w:tbl>
    <w:p>
      <w:pPr>
        <w:spacing w:after="40" w:before="0"/>
      </w:pPr>
      <w:r>
        <w:rPr>
          <w:rFonts w:ascii="NanumGothic" w:hAnsi="NanumGothic" w:eastAsia="NanumGothic" w:cs="NanumGothic"/>
          <w:b w:val="0"/>
          <w:sz w:val="2"/>
        </w:rPr>
      </w:r>
    </w:p>
    <w:p>
      <w:pPr>
        <w:spacing w:after="0" w:before="0"/>
      </w:pPr>
      <w:r>
        <w:rPr>
          <w:rFonts w:ascii="NanumGothic" w:hAnsi="NanumGothic" w:eastAsia="NanumGothic" w:cs="NanumGothic"/>
          <w:b w:val="0"/>
          <w:color w:val="586673"/>
          <w:sz w:val="17"/>
        </w:rPr>
        <w:t>판정 정책: PASS·FAIL과 판단 보류 REVIEW·시스템 오류 ERROR를 구분한다. 오조립 참고 분석의 REVIEW는 기본 결품 판정과 별도로 기록한다. [R01, R05, R06, R07]</w:t>
      </w:r>
    </w:p>
    <w:p>
      <w:pPr>
        <w:pStyle w:val="Heading1"/>
        <w:pageBreakBefore/>
        <w:spacing w:before="0"/>
      </w:pPr>
      <w:r>
        <w:t>5. 계획 목표 대비 달성 결과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</w:rPr>
        <w:t>계획의 주요 기능을 실제 구현 결과와 연결했다. 표의 달성 표시는 아래에 명시된 데이터·장치·시험 범위를 기준으로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AD4DC"/>
          <w:left w:val="single" w:sz="4" w:color="CAD4DC"/>
          <w:bottom w:val="single" w:sz="4" w:color="CAD4DC"/>
          <w:right w:val="single" w:sz="4" w:color="CAD4DC"/>
          <w:insideH w:val="single" w:sz="4" w:color="CAD4DC"/>
          <w:insideV w:val="single" w:sz="4" w:color="CAD4DC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928"/>
        <w:gridCol w:w="6293"/>
        <w:gridCol w:w="1644"/>
      </w:tblGrid>
      <w:tr>
        <w:trPr>
          <w:cantSplit/>
          <w:tblHeader/>
        </w:trPr>
        <w:tc>
          <w:tcPr>
            <w:tcW w:type="dxa" w:w="1928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계획 목표</w:t>
            </w:r>
          </w:p>
        </w:tc>
        <w:tc>
          <w:tcPr>
            <w:tcW w:type="dxa" w:w="6293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확인된 구현·검증 결과</w:t>
            </w:r>
          </w:p>
        </w:tc>
        <w:tc>
          <w:tcPr>
            <w:tcW w:type="dxa" w:w="1644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구분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카메라 기반 부품 검사</w:t>
            </w:r>
          </w:p>
        </w:tc>
        <w:tc>
          <w:tcPr>
            <w:tcW w:type="dxa" w:w="6293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M1 부품 검출·M2 엔진 전체 검출과 새 원본 3프레임 기반 판정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구현·검증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Jetson 실행</w:t>
            </w:r>
          </w:p>
        </w:tc>
        <w:tc>
          <w:tcPr>
            <w:tcW w:type="dxa" w:w="6293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기준 운영본 32c4, native TensorRT 실행 경로 및 systemd 단일 통합 서비스</w:t>
            </w:r>
          </w:p>
        </w:tc>
        <w:tc>
          <w:tcPr>
            <w:tcW w:type="dxa" w:w="164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구현·검증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PLC·설비 연계</w:t>
            </w:r>
          </w:p>
        </w:tc>
        <w:tc>
          <w:tcPr>
            <w:tcW w:type="dxa" w:w="6293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실물 7건의 Result/Done·주기 완료 기록, LED·컨베이어 동작 운영자 관찰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시험 범위 검증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DB 저장·조회</w:t>
            </w:r>
          </w:p>
        </w:tc>
        <w:tc>
          <w:tcPr>
            <w:tcW w:type="dxa" w:w="6293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7건 COMPLETE, 원본 21장·표시 7장 보존, 같은 ID의 상세·검색 조회 14회 일치</w:t>
            </w:r>
          </w:p>
        </w:tc>
        <w:tc>
          <w:tcPr>
            <w:tcW w:type="dxa" w:w="164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구현·검증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경량화·성능 비교</w:t>
            </w:r>
          </w:p>
        </w:tc>
        <w:tc>
          <w:tcPr>
            <w:tcW w:type="dxa" w:w="6293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동일 Jetson 12회 실행·4,320개 지연 기록. TensorRT 프로세스 RSS 관측 최대 약 49% 감소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비교 검증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오조립 최종 판정</w:t>
            </w:r>
          </w:p>
        </w:tc>
        <w:tc>
          <w:tcPr>
            <w:tcW w:type="dxa" w:w="6293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참고 분류 모델·표시는 보유하되 최종 PASS/FAIL에서 분리</w:t>
            </w:r>
          </w:p>
        </w:tc>
        <w:tc>
          <w:tcPr>
            <w:tcW w:type="dxa" w:w="164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범위 조정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푸셔 자동 분류·배출</w:t>
            </w:r>
          </w:p>
        </w:tc>
        <w:tc>
          <w:tcPr>
            <w:tcW w:type="dxa" w:w="6293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현재 PLC·설비는 푸셔 없는 이송·검사 구성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범위 제외</w:t>
            </w:r>
          </w:p>
        </w:tc>
      </w:tr>
    </w:tbl>
    <w:p>
      <w:pPr>
        <w:spacing w:after="40" w:before="0"/>
      </w:pPr>
      <w:r>
        <w:rPr>
          <w:rFonts w:ascii="NanumGothic" w:hAnsi="NanumGothic" w:eastAsia="NanumGothic" w:cs="NanumGothic"/>
          <w:b w:val="0"/>
          <w:sz w:val="2"/>
        </w:rPr>
      </w:r>
    </w:p>
    <w:p>
      <w:pPr>
        <w:pStyle w:val="Heading1"/>
      </w:pPr>
      <w:r>
        <w:t>6. 주요 성과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AD4DC"/>
          <w:left w:val="single" w:sz="4" w:color="CAD4DC"/>
          <w:bottom w:val="single" w:sz="4" w:color="CAD4DC"/>
          <w:right w:val="single" w:sz="4" w:color="CAD4DC"/>
          <w:insideH w:val="single" w:sz="4" w:color="CAD4DC"/>
          <w:insideV w:val="single" w:sz="4" w:color="CAD4DC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814"/>
        <w:gridCol w:w="6803"/>
        <w:gridCol w:w="1247"/>
      </w:tblGrid>
      <w:tr>
        <w:trPr>
          <w:cantSplit/>
          <w:tblHeader/>
        </w:trPr>
        <w:tc>
          <w:tcPr>
            <w:tcW w:type="dxa" w:w="1814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6803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확인 결과</w:t>
            </w:r>
          </w:p>
        </w:tc>
        <w:tc>
          <w:tcPr>
            <w:tcW w:type="dxa" w:w="1247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근거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데이터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고유 원본 216장. M1·M2 각각 학습 144장 / E03 개발 검증 72장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[R02]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모델 개발 검증</w:t>
            </w:r>
          </w:p>
        </w:tc>
        <w:tc>
          <w:tcPr>
            <w:tcW w:type="dxa" w:w="6803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M1 mAP50 0.995 / mAP50–95 0.66473</w:t>
              <w:br/>
              <w:t>M2 mAP50 0.995 / mAP50–95 0.88427</w:t>
            </w:r>
          </w:p>
        </w:tc>
        <w:tc>
          <w:tcPr>
            <w:tcW w:type="dxa" w:w="1247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[R03]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Jetson Benchmark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4개 조건 × 3회 독립 실행 × 72장 × 5회 순환</w:t>
              <w:br/>
              <w:t>= 총 4,320개 지연시간 기록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[R04]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메모리 효율</w:t>
            </w:r>
          </w:p>
        </w:tc>
        <w:tc>
          <w:tcPr>
            <w:tcW w:type="dxa" w:w="6803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TensorRT 프로세스 RSS 관측 최대 감소율:</w:t>
              <w:br/>
              <w:t>M1 약 49.1%, M2 약 48.6%</w:t>
            </w:r>
          </w:p>
        </w:tc>
        <w:tc>
          <w:tcPr>
            <w:tcW w:type="dxa" w:w="1247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[R04]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실물 통합시험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정상 4건 PASS + 오른쪽 파이프 결품 3건 FAIL.</w:t>
              <w:br/>
              <w:t>사전 계획과 7/7 일치, 7/7 저장·통신 완료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[R05]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9"/>
              </w:rPr>
              <w:t>이력 추적</w:t>
            </w:r>
          </w:p>
        </w:tc>
        <w:tc>
          <w:tcPr>
            <w:tcW w:type="dxa" w:w="6803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원본 21장 + 표시 7장, 동일 ID 상세·검색 14/14 일치</w:t>
            </w:r>
          </w:p>
        </w:tc>
        <w:tc>
          <w:tcPr>
            <w:tcW w:type="dxa" w:w="1247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9"/>
              </w:rPr>
              <w:t>[R05, R06]</w:t>
            </w:r>
          </w:p>
        </w:tc>
      </w:tr>
    </w:tbl>
    <w:p>
      <w:pPr>
        <w:spacing w:after="40" w:before="0"/>
      </w:pPr>
      <w:r>
        <w:rPr>
          <w:rFonts w:ascii="NanumGothic" w:hAnsi="NanumGothic" w:eastAsia="NanumGothic" w:cs="NanumGothic"/>
          <w:b w:val="0"/>
          <w:sz w:val="2"/>
        </w:rPr>
      </w:r>
    </w:p>
    <w:p>
      <w:pPr>
        <w:spacing w:after="0" w:before="0"/>
      </w:pPr>
      <w:r>
        <w:rPr>
          <w:rFonts w:ascii="NanumGothic" w:hAnsi="NanumGothic" w:eastAsia="NanumGothic" w:cs="NanumGothic"/>
          <w:b w:val="0"/>
          <w:color w:val="586673"/>
          <w:sz w:val="17"/>
        </w:rPr>
        <w:t>해석 범위: 모델 지표는 Windows PT의 E03 개발 검증, 메모리는 동일 Jetson 비교의 프로세스 RSS 관측값이다. 7/7은 실제 반복시험의 계획 대비 판정 일치이며 전체 라인의 일반 정확도나 장시간 신뢰성 추정치가 아니다. 결품 3건의 FAIL은 의도한 결품 검출 성과다. [R03–R05]</w:t>
      </w:r>
    </w:p>
    <w:p>
      <w:pPr>
        <w:pStyle w:val="Heading1"/>
        <w:pageBreakBefore/>
        <w:spacing w:before="0"/>
      </w:pPr>
      <w:r>
        <w:t>7. 위험 관리와 적용한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AD4DC"/>
          <w:left w:val="single" w:sz="4" w:color="CAD4DC"/>
          <w:bottom w:val="single" w:sz="4" w:color="CAD4DC"/>
          <w:right w:val="single" w:sz="4" w:color="CAD4DC"/>
          <w:insideH w:val="single" w:sz="4" w:color="CAD4DC"/>
          <w:insideV w:val="single" w:sz="4" w:color="CAD4DC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268"/>
        <w:gridCol w:w="7597"/>
      </w:tblGrid>
      <w:tr>
        <w:trPr>
          <w:cantSplit/>
          <w:tblHeader/>
        </w:trPr>
        <w:tc>
          <w:tcPr>
            <w:tcW w:type="dxa" w:w="2268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위험</w:t>
            </w:r>
          </w:p>
        </w:tc>
        <w:tc>
          <w:tcPr>
            <w:tcW w:type="dxa" w:w="7597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대응 및 확인 결과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데이터 분할·출처 혼동</w:t>
            </w:r>
          </w:p>
        </w:tc>
        <w:tc>
          <w:tcPr>
            <w:tcW w:type="dxa" w:w="759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이미지 ID·촬영 그룹·SHA로 출처를 관리했다. train/val 동일 이미지 SHA 교집합 0을 확인했다. [R02]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카메라·환경 불안정</w:t>
            </w:r>
          </w:p>
        </w:tc>
        <w:tc>
          <w:tcPr>
            <w:tcW w:type="dxa" w:w="7597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새 프레임·준비 신호·오류 코드를 구분해 기록하고, Benchmark 후 USB 재연결·서비스 복귀 관측을 보존했다. [R04]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검출·제품·장치 결과 혼동</w:t>
            </w:r>
          </w:p>
        </w:tc>
        <w:tc>
          <w:tcPr>
            <w:tcW w:type="dxa" w:w="7597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개발 검증, 제품 판정, PLC 송신·요청 해제, 실물 동작 관찰을 서로 다른 근거로 구분했다. [R03–R06]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버전 불일치·근거 누락</w:t>
            </w:r>
          </w:p>
        </w:tc>
        <w:tc>
          <w:tcPr>
            <w:tcW w:type="dxa" w:w="7597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모델·설정·릴리스 해시와 검사 ID로 원본·판정·DB·통신 기록을 연결했다. [R05–R07]</w:t>
            </w:r>
          </w:p>
        </w:tc>
      </w:tr>
    </w:tbl>
    <w:p>
      <w:pPr>
        <w:spacing w:after="40" w:before="0"/>
      </w:pPr>
      <w:r>
        <w:rPr>
          <w:rFonts w:ascii="NanumGothic" w:hAnsi="NanumGothic" w:eastAsia="NanumGothic" w:cs="NanumGothic"/>
          <w:b w:val="0"/>
          <w:sz w:val="2"/>
        </w:rPr>
      </w:r>
    </w:p>
    <w:p>
      <w:pPr>
        <w:pStyle w:val="Heading1"/>
      </w:pPr>
      <w:r>
        <w:t>8. 운영 기준과 검증 범위</w:t>
      </w:r>
    </w:p>
    <w:p>
      <w:pPr>
        <w:spacing w:after="80" w:before="0"/>
      </w:pPr>
      <w:r>
        <w:rPr>
          <w:rFonts w:ascii="NanumGothic" w:hAnsi="NanumGothic" w:eastAsia="NanumGothic" w:cs="NanumGothic"/>
          <w:b w:val="0"/>
          <w:sz w:val="18"/>
        </w:rPr>
        <w:t>실물 7건은 engine-integrated-4c4b935f8ab0404a에서 수행됐다. 후속 UI 운영본은 engine-integrated-32c484ac6aeb07f1이며, 시험본과 UI 변경 범위를 구분한다. 최종 판정은 필수 부품 존재·결품이고, 실제 반복시험의 대상은 정상과 오른쪽 파이프 결품이다. [R05, R07]</w:t>
      </w:r>
    </w:p>
    <w:p>
      <w:pPr>
        <w:pStyle w:val="Heading1"/>
      </w:pPr>
      <w:r>
        <w:t>9. 제출 산출물과 근거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AD4DC"/>
          <w:left w:val="single" w:sz="4" w:color="CAD4DC"/>
          <w:bottom w:val="single" w:sz="4" w:color="CAD4DC"/>
          <w:right w:val="single" w:sz="4" w:color="CAD4DC"/>
          <w:insideH w:val="single" w:sz="4" w:color="CAD4DC"/>
          <w:insideV w:val="single" w:sz="4" w:color="CAD4DC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964"/>
        <w:gridCol w:w="5556"/>
        <w:gridCol w:w="3345"/>
      </w:tblGrid>
      <w:tr>
        <w:trPr>
          <w:cantSplit/>
          <w:tblHeader/>
        </w:trPr>
        <w:tc>
          <w:tcPr>
            <w:tcW w:type="dxa" w:w="964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5556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참조 문서 / 자료 기준</w:t>
            </w:r>
          </w:p>
        </w:tc>
        <w:tc>
          <w:tcPr>
            <w:tcW w:type="dxa" w:w="3345"/>
            <w:vAlign w:val="center"/>
            <w:shd w:fill="173B54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확인할 내용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P0</w:t>
            </w:r>
          </w:p>
        </w:tc>
        <w:tc>
          <w:tcPr>
            <w:tcW w:type="dxa" w:w="5556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프로젝트계획서_팀_이승훈_최신화_사람중심.md</w:t>
              <w:br/>
              <w:t>2026.09.11 계획 원문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초기 목표·역할 분담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R01</w:t>
            </w:r>
          </w:p>
        </w:tc>
        <w:tc>
          <w:tcPr>
            <w:tcW w:type="dxa" w:w="5556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01 문제정의서 · v1.1</w:t>
            </w:r>
          </w:p>
        </w:tc>
        <w:tc>
          <w:tcPr>
            <w:tcW w:type="dxa" w:w="3345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현장 문제·입출력·성공 기준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R02</w:t>
            </w:r>
          </w:p>
        </w:tc>
        <w:tc>
          <w:tcPr>
            <w:tcW w:type="dxa" w:w="5556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02 데이터셋 설명서 · v1.2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전체 데이터·라벨·분할·검토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R03</w:t>
            </w:r>
          </w:p>
        </w:tc>
        <w:tc>
          <w:tcPr>
            <w:tcW w:type="dxa" w:w="5556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03 모델 평가서 · v1.1</w:t>
            </w:r>
          </w:p>
        </w:tc>
        <w:tc>
          <w:tcPr>
            <w:tcW w:type="dxa" w:w="3345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학습·검출 지표·오류 분석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R04</w:t>
            </w:r>
          </w:p>
        </w:tc>
        <w:tc>
          <w:tcPr>
            <w:tcW w:type="dxa" w:w="5556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04 최적화 전후 Benchmark 보고서 · v1.1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동일 Jetson 성능 비교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R05</w:t>
            </w:r>
          </w:p>
        </w:tc>
        <w:tc>
          <w:tcPr>
            <w:tcW w:type="dxa" w:w="5556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05 통합 테스트 결과서 · v1.0</w:t>
            </w:r>
          </w:p>
        </w:tc>
        <w:tc>
          <w:tcPr>
            <w:tcW w:type="dxa" w:w="3345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실물 7건·PLC·장치 관찰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R06</w:t>
            </w:r>
          </w:p>
        </w:tc>
        <w:tc>
          <w:tcPr>
            <w:tcW w:type="dxa" w:w="5556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06 DB 구조·조회 방식 설명서 · v1.0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저장 구조·동일 ID 재조회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R07</w:t>
            </w:r>
          </w:p>
        </w:tc>
        <w:tc>
          <w:tcPr>
            <w:tcW w:type="dxa" w:w="5556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07 Jetson 실행·ONNX/TensorRT 절차서 · v1.1</w:t>
            </w:r>
          </w:p>
        </w:tc>
        <w:tc>
          <w:tcPr>
            <w:tcW w:type="dxa" w:w="3345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실행·변환·저장 후 PLC 전달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R09</w:t>
            </w:r>
          </w:p>
        </w:tc>
        <w:tc>
          <w:tcPr>
            <w:tcW w:type="dxa" w:w="5556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09 GitHub README · v1.0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프로젝트 개요·소스 탐색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/>
                <w:color w:val="173B54"/>
                <w:sz w:val="18"/>
              </w:rPr>
              <w:t>R10</w:t>
            </w:r>
          </w:p>
        </w:tc>
        <w:tc>
          <w:tcPr>
            <w:tcW w:type="dxa" w:w="5556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10 최종 결과보고서 · v1.1</w:t>
            </w:r>
          </w:p>
        </w:tc>
        <w:tc>
          <w:tcPr>
            <w:tcW w:type="dxa" w:w="3345"/>
            <w:vAlign w:val="center"/>
            <w:shd w:fill="F4F7F9"/>
          </w:tcPr>
          <w:p>
            <w:pPr>
              <w:keepNext w:val="0"/>
              <w:keepLines/>
              <w:spacing w:before="0" w:after="0" w:line="283" w:lineRule="auto"/>
            </w:pPr>
            <w:r>
              <w:rPr>
                <w:rFonts w:ascii="NanumGothic" w:hAnsi="NanumGothic" w:eastAsia="NanumGothic" w:cs="NanumGothic"/>
                <w:b w:val="0"/>
                <w:color w:val="202D36"/>
                <w:sz w:val="18"/>
              </w:rPr>
              <w:t>전체 구현·성과의 종합 설명</w:t>
            </w:r>
          </w:p>
        </w:tc>
      </w:tr>
    </w:tbl>
    <w:p>
      <w:pPr>
        <w:spacing w:after="40" w:before="0"/>
      </w:pPr>
      <w:r>
        <w:rPr>
          <w:rFonts w:ascii="NanumGothic" w:hAnsi="NanumGothic" w:eastAsia="NanumGothic" w:cs="NanumGothic"/>
          <w:b w:val="0"/>
          <w:sz w:val="2"/>
        </w:rPr>
      </w:r>
    </w:p>
    <w:p>
      <w:pPr>
        <w:spacing w:after="80" w:before="0"/>
      </w:pPr>
      <w:r>
        <w:rPr>
          <w:rFonts w:ascii="NanumGothic" w:hAnsi="NanumGothic" w:eastAsia="NanumGothic" w:cs="NanumGothic"/>
          <w:b w:val="0"/>
          <w:color w:val="586673"/>
          <w:sz w:val="17"/>
        </w:rPr>
        <w:t>문서 버전은 본 기획안 작성에 사용한 자료 기준이다. 평가 근거 소스 커밋은 cfaa372eece0cd6a7dc659cc316c256fb4b6af76이다.</w:t>
      </w:r>
    </w:p>
    <w:p>
      <w:pPr>
        <w:spacing w:after="60" w:before="0"/>
      </w:pPr>
      <w:r>
        <w:rPr>
          <w:rFonts w:ascii="NanumGothic" w:hAnsi="NanumGothic" w:eastAsia="NanumGothic" w:cs="NanumGothic"/>
          <w:b w:val="0"/>
        </w:rPr>
      </w:r>
      <w:hyperlink r:id="rId11">
        <w:r>
          <w:rPr>
            <w:rFonts w:ascii="NanumGothic" w:hAnsi="NanumGothic" w:eastAsia="NanumGothic" w:cs="NanumGothic"/>
            <w:color w:val="173B54"/>
            <w:sz w:val="17"/>
            <w:u w:val="single"/>
          </w:rPr>
          <w:t>실행·학습 코드: Engine_Assembly_Defect_Inspector</w:t>
        </w:r>
      </w:hyperlink>
    </w:p>
    <w:p>
      <w:pPr>
        <w:spacing w:after="60" w:before="0"/>
      </w:pPr>
      <w:r>
        <w:rPr>
          <w:rFonts w:ascii="NanumGothic" w:hAnsi="NanumGothic" w:eastAsia="NanumGothic" w:cs="NanumGothic"/>
          <w:b w:val="0"/>
        </w:rPr>
      </w:r>
      <w:hyperlink r:id="rId12">
        <w:r>
          <w:rPr>
            <w:rFonts w:ascii="NanumGothic" w:hAnsi="NanumGothic" w:eastAsia="NanumGothic" w:cs="NanumGothic"/>
            <w:color w:val="173B54"/>
            <w:sz w:val="17"/>
            <w:u w:val="single"/>
          </w:rPr>
          <w:t>제출 문서·기존 증빙: Engine_Assembly_Runtime_Review</w:t>
        </w:r>
      </w:hyperlink>
    </w:p>
    <w:p>
      <w:pPr>
        <w:pStyle w:val="Heading1"/>
      </w:pPr>
      <w:r>
        <w:t>10. 프로젝트 가치</w:t>
      </w:r>
    </w:p>
    <w:p>
      <w:pPr>
        <w:spacing w:after="0" w:before="0"/>
      </w:pPr>
      <w:r>
        <w:rPr>
          <w:rFonts w:ascii="NanumGothic" w:hAnsi="NanumGothic" w:eastAsia="NanumGothic" w:cs="NanumGothic"/>
          <w:b w:val="0"/>
          <w:sz w:val="19"/>
        </w:rPr>
        <w:t>데이터 수집·라벨·학습에서 Jetson TensorRT 실행, PLC 응답과 실물 장치 관찰, SQLite 이력 조회까지 연결했다. 모델·설정·검사 ID를 보존하여 구현 결과와 판정 근거를 추적할 수 있게 한 것이 본 프로젝트의 핵심 성과다. [R02–R07, R10]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  <w:spacing w:after="0"/>
    </w:pPr>
    <w:r>
      <w:rPr>
        <w:rFonts w:ascii="NanumGothic" w:hAnsi="NanumGothic" w:eastAsia="NanumGothic" w:cs="NanumGothic"/>
        <w:b w:val="0"/>
        <w:color w:val="586673"/>
        <w:sz w:val="16"/>
      </w:rPr>
      <w:t>프로젝트 기획안 · v1.1</w:t>
    </w:r>
    <w:r>
      <w:rPr>
        <w:rFonts w:ascii="NanumGothic" w:hAnsi="NanumGothic" w:eastAsia="NanumGothic" w:cs="NanumGothic"/>
        <w:b w:val="0"/>
        <w:sz w:val="16"/>
      </w:rPr>
      <w:tab/>
    </w:r>
    <w:r>
      <w:rPr>
        <w:rFonts w:ascii="NanumGothic" w:hAnsi="NanumGothic" w:eastAsia="NanumGothic" w:cs="NanumGothic"/>
        <w:b w:val="0"/>
        <w:color w:val="586673"/>
        <w:sz w:val="16"/>
      </w:rPr>
    </w:r>
    <w:fldSimple w:instr="PAGE">
      <w:r>
        <w:t>1</w:t>
      </w:r>
    </w:fldSimple>
    <w:r>
      <w:rPr>
        <w:rFonts w:ascii="NanumGothic" w:hAnsi="NanumGothic" w:eastAsia="NanumGothic" w:cs="NanumGothic"/>
        <w:b w:val="0"/>
        <w:color w:val="586673"/>
        <w:sz w:val="16"/>
      </w:rPr>
      <w:t xml:space="preserve"> / </w:t>
    </w:r>
    <w:r>
      <w:rPr>
        <w:rFonts w:ascii="NanumGothic" w:hAnsi="NanumGothic" w:eastAsia="NanumGothic" w:cs="NanumGothic"/>
        <w:b w:val="0"/>
        <w:color w:val="586673"/>
        <w:sz w:val="16"/>
      </w:rPr>
    </w:r>
    <w:fldSimple w:instr="NUMPAGES">
      <w:r>
        <w:t>4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anumGothic" w:hAnsi="NanumGothic" w:eastAsia="NanumGothic" w:cs="NanumGothic"/>
        <w:b/>
        <w:color w:val="173B54"/>
        <w:sz w:val="16"/>
      </w:rPr>
      <w:t>ENGINE ASSEMBLY DEFECT INSPECTOR</w:t>
    </w:r>
    <w:r>
      <w:rPr>
        <w:rFonts w:ascii="NanumGothic" w:hAnsi="NanumGothic" w:eastAsia="NanumGothic" w:cs="NanumGothic"/>
        <w:b w:val="0"/>
        <w:color w:val="586673"/>
        <w:sz w:val="16"/>
      </w:rPr>
      <w:t xml:space="preserve">  /  PROJECT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NanumGothic" w:hAnsi="NanumGothic" w:eastAsia="NanumGothic" w:cs="NanumGothic"/>
      <w:color w:val="202D36"/>
      <w:sz w:val="20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anumGothic" w:hAnsi="NanumGothic" w:eastAsia="NanumGothic" w:cs="NanumGothic"/>
      <w:lang w:val="ko-KR"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anumGothic" w:hAnsi="NanumGothic" w:eastAsia="NanumGothic" w:cs="NanumGothic"/>
      <w:lang w:val="ko-KR" w:eastAsia="ko-KR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anumGothic" w:hAnsi="NanumGothic" w:eastAsia="NanumGothic" w:cs="NanumGothic"/>
      <w:lang w:val="ko-KR" w:eastAsia="ko-KR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anumGothic" w:hAnsi="NanumGothic" w:eastAsia="NanumGothic" w:cs="NanumGothic"/>
      <w:lang w:val="ko-KR"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64" w:lineRule="auto"/>
      <w:outlineLvl w:val="0"/>
    </w:pPr>
    <w:rPr>
      <w:rFonts w:cstheme="majorBidi" w:ascii="NanumGothic" w:hAnsi="NanumGothic" w:eastAsia="NanumGothic" w:cs="NanumGothic"/>
      <w:b/>
      <w:bCs/>
      <w:color w:val="173B54"/>
      <w:sz w:val="27"/>
      <w:szCs w:val="28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64" w:lineRule="auto"/>
      <w:outlineLvl w:val="1"/>
    </w:pPr>
    <w:rPr>
      <w:rFonts w:cstheme="majorBidi" w:ascii="NanumGothic" w:hAnsi="NanumGothic" w:eastAsia="NanumGothic" w:cs="NanumGothic"/>
      <w:b/>
      <w:bCs/>
      <w:color w:val="173B54"/>
      <w:sz w:val="23"/>
      <w:szCs w:val="26"/>
      <w:lang w:val="ko-KR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NanumGothic" w:hAnsi="NanumGothic" w:eastAsia="NanumGothic" w:cs="NanumGothic"/>
      <w:b/>
      <w:bCs/>
      <w:color w:val="4F81BD" w:themeColor="accent1"/>
      <w:lang w:val="ko-KR"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NanumGothic" w:hAnsi="NanumGothic" w:eastAsia="NanumGothic" w:cs="NanumGothic"/>
      <w:b/>
      <w:bCs/>
      <w:i/>
      <w:iCs/>
      <w:color w:val="4F81BD" w:themeColor="accent1"/>
      <w:lang w:val="ko-KR"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NanumGothic" w:hAnsi="NanumGothic" w:eastAsia="NanumGothic" w:cs="NanumGothic"/>
      <w:color w:val="243F60" w:themeColor="accent1" w:themeShade="7F"/>
      <w:lang w:val="ko-KR"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NanumGothic" w:hAnsi="NanumGothic" w:eastAsia="NanumGothic" w:cs="NanumGothic"/>
      <w:i/>
      <w:iCs/>
      <w:color w:val="243F60" w:themeColor="accent1" w:themeShade="7F"/>
      <w:lang w:val="ko-KR"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NanumGothic" w:hAnsi="NanumGothic" w:eastAsia="NanumGothic" w:cs="NanumGothic"/>
      <w:i/>
      <w:iCs/>
      <w:color w:val="404040" w:themeColor="text1" w:themeTint="BF"/>
      <w:lang w:val="ko-KR"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NanumGothic" w:hAnsi="NanumGothic" w:eastAsia="NanumGothic" w:cs="NanumGothic"/>
      <w:color w:val="4F81BD" w:themeColor="accent1"/>
      <w:sz w:val="20"/>
      <w:szCs w:val="20"/>
      <w:lang w:val="ko-KR"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NanumGothic" w:hAnsi="NanumGothic" w:eastAsia="NanumGothic" w:cs="NanumGothic"/>
      <w:i/>
      <w:iCs/>
      <w:color w:val="404040" w:themeColor="text1" w:themeTint="BF"/>
      <w:sz w:val="20"/>
      <w:szCs w:val="20"/>
      <w:lang w:val="ko-KR" w:eastAsia="ko-KR"/>
    </w:rPr>
  </w:style>
  <w:style w:type="character" w:default="1" w:styleId="DefaultParagraphFont">
    <w:name w:val="Default Paragraph Font"/>
    <w:uiPriority w:val="1"/>
    <w:semiHidden/>
    <w:unhideWhenUsed/>
    <w:rPr>
      <w:rFonts w:ascii="NanumGothic" w:hAnsi="NanumGothic" w:eastAsia="NanumGothic" w:cs="NanumGothic"/>
      <w:lang w:val="ko-KR" w:eastAsia="ko-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anumGothic" w:hAnsi="NanumGothic" w:eastAsia="NanumGothic" w:cs="NanumGothic"/>
      <w:lang w:val="ko-KR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NanumGothic" w:hAnsi="NanumGothic" w:eastAsia="NanumGothic" w:cs="NanumGothic"/>
      <w:b/>
      <w:bCs/>
      <w:color w:val="365F91" w:themeColor="accent1" w:themeShade="BF"/>
      <w:sz w:val="28"/>
      <w:szCs w:val="28"/>
      <w:lang w:val="ko-KR" w:eastAsia="ko-KR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NanumGothic" w:hAnsi="NanumGothic" w:eastAsia="NanumGothic" w:cs="NanumGothic"/>
      <w:b/>
      <w:bCs/>
      <w:color w:val="4F81BD" w:themeColor="accent1"/>
      <w:sz w:val="26"/>
      <w:szCs w:val="26"/>
      <w:lang w:val="ko-KR"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NanumGothic" w:hAnsi="NanumGothic" w:eastAsia="NanumGothic" w:cs="NanumGothic"/>
      <w:b/>
      <w:bCs/>
      <w:color w:val="4F81BD" w:themeColor="accent1"/>
      <w:lang w:val="ko-KR" w:eastAsia="ko-K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NanumGothic" w:hAnsi="NanumGothic" w:eastAsia="NanumGothic" w:cs="NanumGothic"/>
      <w:color w:val="173B54"/>
      <w:spacing w:val="5"/>
      <w:kern w:val="28"/>
      <w:sz w:val="52"/>
      <w:szCs w:val="52"/>
      <w:lang w:val="ko-KR" w:eastAsia="ko-K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NanumGothic" w:hAnsi="NanumGothic" w:eastAsia="NanumGothic" w:cs="NanumGothic"/>
      <w:color w:val="17365D" w:themeColor="text2" w:themeShade="BF"/>
      <w:spacing w:val="5"/>
      <w:kern w:val="28"/>
      <w:sz w:val="52"/>
      <w:szCs w:val="52"/>
      <w:lang w:val="ko-KR" w:eastAsia="ko-K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NanumGothic" w:hAnsi="NanumGothic" w:eastAsia="NanumGothic" w:cs="NanumGothic"/>
      <w:i/>
      <w:iCs/>
      <w:color w:val="173B54"/>
      <w:spacing w:val="15"/>
      <w:sz w:val="24"/>
      <w:szCs w:val="24"/>
      <w:lang w:val="ko-KR"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NanumGothic" w:hAnsi="NanumGothic" w:eastAsia="NanumGothic" w:cs="NanumGothic"/>
      <w:i/>
      <w:iCs/>
      <w:color w:val="4F81BD" w:themeColor="accent1"/>
      <w:spacing w:val="15"/>
      <w:sz w:val="24"/>
      <w:szCs w:val="24"/>
      <w:lang w:val="ko-KR" w:eastAsia="ko-KR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anumGothic" w:hAnsi="NanumGothic" w:eastAsia="NanumGothic" w:cs="NanumGothic"/>
      <w:lang w:val="ko-KR" w:eastAsia="ko-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Gothic" w:hAnsi="NanumGothic" w:eastAsia="NanumGothic" w:cs="NanumGothic"/>
      <w:lang w:val="ko-KR" w:eastAsia="ko-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anumGothic" w:hAnsi="NanumGothic" w:eastAsia="NanumGothic" w:cs="NanumGothic"/>
      <w:lang w:val="ko-KR" w:eastAsia="ko-KR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anumGothic" w:hAnsi="NanumGothic" w:eastAsia="NanumGothic" w:cs="NanumGothic"/>
      <w:lang w:val="ko-KR" w:eastAsia="ko-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anumGothic" w:hAnsi="NanumGothic" w:eastAsia="NanumGothic" w:cs="NanumGothic"/>
      <w:lang w:val="ko-KR" w:eastAsia="ko-K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anumGothic" w:hAnsi="NanumGothic" w:eastAsia="NanumGothic" w:cs="NanumGothic"/>
      <w:sz w:val="16"/>
      <w:szCs w:val="16"/>
      <w:lang w:val="ko-KR" w:eastAsia="ko-KR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anumGothic" w:hAnsi="NanumGothic" w:eastAsia="NanumGothic" w:cs="NanumGothic"/>
      <w:sz w:val="16"/>
      <w:szCs w:val="16"/>
      <w:lang w:val="ko-KR" w:eastAsia="ko-KR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anumGothic" w:hAnsi="NanumGothic" w:eastAsia="NanumGothic" w:cs="NanumGothic"/>
      <w:lang w:val="ko-KR" w:eastAsia="ko-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anumGothic" w:hAnsi="NanumGothic" w:eastAsia="NanumGothic" w:cs="NanumGothic"/>
      <w:lang w:val="ko-KR" w:eastAsia="ko-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anumGothic" w:hAnsi="NanumGothic" w:eastAsia="NanumGothic" w:cs="NanumGothic"/>
      <w:lang w:val="ko-KR" w:eastAsia="ko-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 w:cs="NanumGothic"/>
      <w:lang w:val="ko-KR" w:eastAsia="ko-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" w:hAnsi="NanumGothic" w:eastAsia="NanumGothic" w:cs="NanumGothic"/>
      <w:lang w:val="ko-KR" w:eastAsia="ko-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anumGothic" w:hAnsi="NanumGothic" w:eastAsia="NanumGothic" w:cs="NanumGothic"/>
      <w:lang w:val="ko-KR" w:eastAsia="ko-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 w:cs="NanumGothic"/>
      <w:lang w:val="ko-KR" w:eastAsia="ko-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Gothic" w:hAnsi="NanumGothic" w:eastAsia="NanumGothic" w:cs="NanumGothic"/>
      <w:lang w:val="ko-KR" w:eastAsia="ko-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anumGothic" w:hAnsi="NanumGothic" w:eastAsia="NanumGothic" w:cs="NanumGothic"/>
      <w:lang w:val="ko-KR" w:eastAsia="ko-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anumGothic" w:hAnsi="NanumGothic" w:eastAsia="NanumGothic" w:cs="NanumGothic"/>
      <w:lang w:val="ko-KR" w:eastAsia="ko-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anumGothic" w:hAnsi="NanumGothic" w:eastAsia="NanumGothic" w:cs="NanumGothic"/>
      <w:lang w:val="ko-KR" w:eastAsia="ko-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anumGothic" w:hAnsi="NanumGothic" w:eastAsia="NanumGothic" w:cs="NanumGothic"/>
      <w:lang w:val="ko-KR" w:eastAsia="ko-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Gothic" w:hAnsi="NanumGothic" w:eastAsia="NanumGothic" w:cs="NanumGothic"/>
      <w:sz w:val="20"/>
      <w:szCs w:val="20"/>
      <w:lang w:val="ko-KR" w:eastAsia="ko-K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anumGothic" w:hAnsi="NanumGothic" w:eastAsia="NanumGothic" w:cs="NanumGothic"/>
      <w:sz w:val="20"/>
      <w:szCs w:val="20"/>
      <w:lang w:val="ko-KR" w:eastAsia="ko-KR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anumGothic" w:hAnsi="NanumGothic" w:eastAsia="NanumGothic" w:cs="NanumGothic"/>
      <w:i/>
      <w:iCs/>
      <w:color w:val="000000" w:themeColor="text1"/>
      <w:lang w:val="ko-KR" w:eastAsia="ko-KR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anumGothic" w:hAnsi="NanumGothic" w:eastAsia="NanumGothic" w:cs="NanumGothic"/>
      <w:i/>
      <w:iCs/>
      <w:color w:val="000000" w:themeColor="text1"/>
      <w:lang w:val="ko-KR" w:eastAsia="ko-K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NanumGothic" w:hAnsi="NanumGothic" w:eastAsia="NanumGothic" w:cs="NanumGothic"/>
      <w:b/>
      <w:bCs/>
      <w:i/>
      <w:iCs/>
      <w:color w:val="4F81BD" w:themeColor="accent1"/>
      <w:lang w:val="ko-KR" w:eastAsia="ko-K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NanumGothic" w:hAnsi="NanumGothic" w:eastAsia="NanumGothic" w:cs="NanumGothic"/>
      <w:color w:val="243F60" w:themeColor="accent1" w:themeShade="7F"/>
      <w:lang w:val="ko-KR" w:eastAsia="ko-K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NanumGothic" w:hAnsi="NanumGothic" w:eastAsia="NanumGothic" w:cs="NanumGothic"/>
      <w:i/>
      <w:iCs/>
      <w:color w:val="243F60" w:themeColor="accent1" w:themeShade="7F"/>
      <w:lang w:val="ko-KR" w:eastAsia="ko-K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NanumGothic" w:hAnsi="NanumGothic" w:eastAsia="NanumGothic" w:cs="NanumGothic"/>
      <w:i/>
      <w:iCs/>
      <w:color w:val="404040" w:themeColor="text1" w:themeTint="BF"/>
      <w:lang w:val="ko-KR" w:eastAsia="ko-K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NanumGothic" w:hAnsi="NanumGothic" w:eastAsia="NanumGothic" w:cs="NanumGothic"/>
      <w:color w:val="4F81BD" w:themeColor="accent1"/>
      <w:sz w:val="20"/>
      <w:szCs w:val="20"/>
      <w:lang w:val="ko-KR" w:eastAsia="ko-K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NanumGothic" w:hAnsi="NanumGothic" w:eastAsia="NanumGothic" w:cs="NanumGothic"/>
      <w:i/>
      <w:iCs/>
      <w:color w:val="404040" w:themeColor="text1" w:themeTint="BF"/>
      <w:sz w:val="20"/>
      <w:szCs w:val="20"/>
      <w:lang w:val="ko-KR" w:eastAsia="ko-KR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anumGothic" w:hAnsi="NanumGothic" w:eastAsia="NanumGothic" w:cs="NanumGothic"/>
      <w:b/>
      <w:bCs/>
      <w:color w:val="4F81BD" w:themeColor="accent1"/>
      <w:sz w:val="18"/>
      <w:szCs w:val="18"/>
      <w:lang w:val="ko-KR" w:eastAsia="ko-KR"/>
    </w:rPr>
  </w:style>
  <w:style w:type="character" w:styleId="Strong">
    <w:name w:val="Strong"/>
    <w:basedOn w:val="DefaultParagraphFont"/>
    <w:uiPriority w:val="22"/>
    <w:qFormat/>
    <w:rsid w:val="00FC693F"/>
    <w:rPr>
      <w:rFonts w:ascii="NanumGothic" w:hAnsi="NanumGothic" w:eastAsia="NanumGothic" w:cs="NanumGothic"/>
      <w:b/>
      <w:bCs/>
      <w:lang w:val="ko-KR" w:eastAsia="ko-KR"/>
    </w:rPr>
  </w:style>
  <w:style w:type="character" w:styleId="Emphasis">
    <w:name w:val="Emphasis"/>
    <w:basedOn w:val="DefaultParagraphFont"/>
    <w:uiPriority w:val="20"/>
    <w:qFormat/>
    <w:rsid w:val="00FC693F"/>
    <w:rPr>
      <w:rFonts w:ascii="NanumGothic" w:hAnsi="NanumGothic" w:eastAsia="NanumGothic" w:cs="NanumGothic"/>
      <w:i/>
      <w:iCs/>
      <w:lang w:val="ko-KR" w:eastAsia="ko-K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anumGothic" w:hAnsi="NanumGothic" w:eastAsia="NanumGothic" w:cs="NanumGothic"/>
      <w:b/>
      <w:bCs/>
      <w:i/>
      <w:iCs/>
      <w:color w:val="4F81BD" w:themeColor="accent1"/>
      <w:lang w:val="ko-KR"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anumGothic" w:hAnsi="NanumGothic" w:eastAsia="NanumGothic" w:cs="NanumGothic"/>
      <w:b/>
      <w:bCs/>
      <w:i/>
      <w:iCs/>
      <w:color w:val="4F81BD" w:themeColor="accent1"/>
      <w:lang w:val="ko-KR" w:eastAsia="ko-KR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anumGothic" w:hAnsi="NanumGothic" w:eastAsia="NanumGothic" w:cs="NanumGothic"/>
      <w:i/>
      <w:iCs/>
      <w:color w:val="808080" w:themeColor="text1" w:themeTint="7F"/>
      <w:lang w:val="ko-KR" w:eastAsia="ko-KR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anumGothic" w:hAnsi="NanumGothic" w:eastAsia="NanumGothic" w:cs="NanumGothic"/>
      <w:b/>
      <w:bCs/>
      <w:i/>
      <w:iCs/>
      <w:color w:val="4F81BD" w:themeColor="accent1"/>
      <w:lang w:val="ko-KR" w:eastAsia="ko-KR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anumGothic" w:hAnsi="NanumGothic" w:eastAsia="NanumGothic" w:cs="NanumGothic"/>
      <w:smallCaps/>
      <w:color w:val="C0504D" w:themeColor="accent2"/>
      <w:u w:val="single"/>
      <w:lang w:val="ko-KR" w:eastAsia="ko-KR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anumGothic" w:hAnsi="NanumGothic" w:eastAsia="NanumGothic" w:cs="NanumGothic"/>
      <w:b/>
      <w:bCs/>
      <w:smallCaps/>
      <w:color w:val="C0504D" w:themeColor="accent2"/>
      <w:spacing w:val="5"/>
      <w:u w:val="single"/>
      <w:lang w:val="ko-KR" w:eastAsia="ko-KR"/>
    </w:rPr>
  </w:style>
  <w:style w:type="character" w:styleId="BookTitle">
    <w:name w:val="Book Title"/>
    <w:basedOn w:val="DefaultParagraphFont"/>
    <w:uiPriority w:val="33"/>
    <w:qFormat/>
    <w:rsid w:val="00FC693F"/>
    <w:rPr>
      <w:rFonts w:ascii="NanumGothic" w:hAnsi="NanumGothic" w:eastAsia="NanumGothic" w:cs="NanumGothic"/>
      <w:b/>
      <w:bCs/>
      <w:smallCaps/>
      <w:spacing w:val="5"/>
      <w:lang w:val="ko-KR" w:eastAsia="ko-KR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anumGothic" w:hAnsi="NanumGothic" w:eastAsia="NanumGothic" w:cs="NanumGothic"/>
      <w:lang w:val="ko-KR" w:eastAsia="ko-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mdgns104/Engine_Assembly_Defect_Inspector" TargetMode="External"/><Relationship Id="rId12" Type="http://schemas.openxmlformats.org/officeDocument/2006/relationships/hyperlink" Target="https://github.com/tmdgns104/Engine_Assembly_Runtime_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온디바이스 AI 기반 엔진 모형 조립 검사 시스템 - 프로젝트 기획안</dc:title>
  <dc:subject>평가 제출용: 계획 목표, 구현 성과, 검증 범위 및 근거 연결</dc:subject>
  <dc:creator>엔진 모형 조립 검사 프로젝트팀</dc:creator>
  <cp:keywords>프로젝트 기획안, Jetson, PLC, TensorRT, 엔진 모형, v1.1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