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D61E0" w:rsidRDefault="00904C3A">
      <w:pPr>
        <w:jc w:val="center"/>
      </w:pPr>
      <w:r>
        <w:t>How to Use the DSM 5</w:t>
      </w:r>
    </w:p>
    <w:p w14:paraId="00000002" w14:textId="77777777" w:rsidR="002D61E0" w:rsidRDefault="00904C3A">
      <w:r>
        <w:t xml:space="preserve">This document is not intended to be an exhaustive set of instructions for using the DSM 5. Rather, it is a quick, basic guide on how to approach using the DSM 5 and its related tools. </w:t>
      </w:r>
    </w:p>
    <w:p w14:paraId="00000003" w14:textId="77777777" w:rsidR="002D61E0" w:rsidRDefault="00904C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Using a diagnostic interview, determine the client’s primary area of complaint (e.g. depression, anxiety, sexual dysfunction, sleep issues, etc.) </w:t>
      </w:r>
    </w:p>
    <w:p w14:paraId="00000004" w14:textId="77777777" w:rsidR="002D61E0" w:rsidRDefault="00904C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As a starting point in your intake process you also include the Crosscutting Tools provided by the APA. See the measure online at </w:t>
      </w:r>
      <w:hyperlink r:id="rId8">
        <w:r>
          <w:rPr>
            <w:color w:val="0563C1"/>
            <w:u w:val="single"/>
          </w:rPr>
          <w:t>https://www.psychiatry.org/psychiatrists/practice/dsm/educational-resources/assessment-measures</w:t>
        </w:r>
      </w:hyperlink>
      <w:r>
        <w:rPr>
          <w:color w:val="000000"/>
        </w:rPr>
        <w:t xml:space="preserve"> </w:t>
      </w:r>
    </w:p>
    <w:p w14:paraId="00000005" w14:textId="77777777" w:rsidR="002D61E0" w:rsidRDefault="002D61E0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hanging="720"/>
        <w:rPr>
          <w:color w:val="000000"/>
        </w:rPr>
      </w:pPr>
    </w:p>
    <w:p w14:paraId="00000006" w14:textId="77777777" w:rsidR="002D61E0" w:rsidRDefault="00904C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Read about the primary area of complaint. </w:t>
      </w:r>
    </w:p>
    <w:p w14:paraId="00000007" w14:textId="77777777" w:rsidR="002D61E0" w:rsidRDefault="00904C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Start with the Diagnostic Features. Consider if the symptoms and experiences described in the DSM fit with those described by your client. </w:t>
      </w:r>
    </w:p>
    <w:p w14:paraId="00000008" w14:textId="77777777" w:rsidR="002D61E0" w:rsidRDefault="00904C3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bookmarkStart w:id="0" w:name="_gjdgxs" w:colFirst="0" w:colLast="0"/>
      <w:bookmarkEnd w:id="0"/>
      <w:r>
        <w:rPr>
          <w:color w:val="000000"/>
        </w:rPr>
        <w:t>If so, focus on the Diagnostic Criteria. Be sure you understand the specific requirements for a diagnosis of that disorder. Remember each disorder has different criteria and you must be sure a client meets the appropriate number of criteria for a diagnosis.</w:t>
      </w:r>
    </w:p>
    <w:p w14:paraId="00000009" w14:textId="77777777" w:rsidR="002D61E0" w:rsidRDefault="00904C3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If the client meets criteria move on to differential diagnosis.</w:t>
      </w:r>
    </w:p>
    <w:p w14:paraId="0000000A" w14:textId="77777777" w:rsidR="002D61E0" w:rsidRDefault="00904C3A">
      <w:pPr>
        <w:pBdr>
          <w:top w:val="nil"/>
          <w:left w:val="nil"/>
          <w:bottom w:val="nil"/>
          <w:right w:val="nil"/>
          <w:between w:val="nil"/>
        </w:pBdr>
        <w:spacing w:after="0"/>
        <w:ind w:left="2160" w:hanging="720"/>
        <w:rPr>
          <w:color w:val="000000"/>
        </w:rPr>
      </w:pPr>
      <w:r>
        <w:rPr>
          <w:color w:val="000000"/>
        </w:rPr>
        <w:t>According to First (2014), the steps in the process of differential diagnosis are ruling out malingering (faking symptoms), rule out substance related symptoms/causes, rule out medical related causes, determine the primary disorder, explore adjustment disorder, and finally determine if the client meets full criteria for a mental disorder.</w:t>
      </w:r>
    </w:p>
    <w:p w14:paraId="0000000B" w14:textId="77777777" w:rsidR="002D61E0" w:rsidRDefault="002D61E0">
      <w:pPr>
        <w:pBdr>
          <w:top w:val="nil"/>
          <w:left w:val="nil"/>
          <w:bottom w:val="nil"/>
          <w:right w:val="nil"/>
          <w:between w:val="nil"/>
        </w:pBdr>
        <w:spacing w:after="0"/>
        <w:ind w:left="2160" w:hanging="720"/>
        <w:rPr>
          <w:color w:val="000000"/>
        </w:rPr>
      </w:pPr>
    </w:p>
    <w:p w14:paraId="0000000C" w14:textId="77777777" w:rsidR="002D61E0" w:rsidRDefault="00904C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If not, move on the next possible condition and repeat.</w:t>
      </w:r>
    </w:p>
    <w:p w14:paraId="0000000D" w14:textId="77777777" w:rsidR="002D61E0" w:rsidRDefault="00904C3A">
      <w:r>
        <w:t xml:space="preserve">Additional considerations to be aware of are cultural differences in presentation of </w:t>
      </w:r>
      <w:proofErr w:type="gramStart"/>
      <w:r>
        <w:t>symptoms, and</w:t>
      </w:r>
      <w:proofErr w:type="gramEnd"/>
      <w:r>
        <w:t xml:space="preserve"> understanding prevalence rates for disorder. This information is included for each disorder in the DSM. </w:t>
      </w:r>
    </w:p>
    <w:sectPr w:rsidR="002D61E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17D02"/>
    <w:multiLevelType w:val="multilevel"/>
    <w:tmpl w:val="FBA0EE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1E0"/>
    <w:rsid w:val="002D61E0"/>
    <w:rsid w:val="006A4727"/>
    <w:rsid w:val="0090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39BF294-962E-494C-B750-1E5A26EE5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sychiatry.org/psychiatrists/practice/dsm/educational-resources/assessment-measure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F1C514F2470F47BBE9A39D3BFF1A44" ma:contentTypeVersion="6" ma:contentTypeDescription="Create a new document." ma:contentTypeScope="" ma:versionID="92f882936bc6c4f7b6804b301a0e4e94">
  <xsd:schema xmlns:xsd="http://www.w3.org/2001/XMLSchema" xmlns:xs="http://www.w3.org/2001/XMLSchema" xmlns:p="http://schemas.microsoft.com/office/2006/metadata/properties" xmlns:ns2="aa022c95-b0c9-4854-a6bd-c8943b78f00d" xmlns:ns3="106ab463-31ea-48ea-8cd2-0818acc8a6ff" targetNamespace="http://schemas.microsoft.com/office/2006/metadata/properties" ma:root="true" ma:fieldsID="1c982fe715fe1cbaec6fc14a875a9e4e" ns2:_="" ns3:_="">
    <xsd:import namespace="aa022c95-b0c9-4854-a6bd-c8943b78f00d"/>
    <xsd:import namespace="106ab463-31ea-48ea-8cd2-0818acc8a6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022c95-b0c9-4854-a6bd-c8943b78f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6ab463-31ea-48ea-8cd2-0818acc8a6f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F7AB48-65D0-4F2F-90B6-490C2BA62E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60C70F-7529-4989-82D5-C4C97490668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DC33346-ED08-49CE-B00F-EB1B217C13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022c95-b0c9-4854-a6bd-c8943b78f00d"/>
    <ds:schemaRef ds:uri="106ab463-31ea-48ea-8cd2-0818acc8a6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Robert Campbell</cp:lastModifiedBy>
  <cp:revision>2</cp:revision>
  <dcterms:created xsi:type="dcterms:W3CDTF">2022-01-21T23:48:00Z</dcterms:created>
  <dcterms:modified xsi:type="dcterms:W3CDTF">2022-01-21T23:48:00Z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0x01010008F1C514F2470F47BBE9A39D3BFF1A44</vt:lpwstr>
  </property>
  <property fmtid="{D5CDD505-2E9C-101B-9397-08002B2CF9AE}" pid="3" name="Order">
    <vt:r8>34100</vt:r8>
  </property>
  <property fmtid="{D5CDD505-2E9C-101B-9397-08002B2CF9AE}" pid="4" name="ComplianceAssetId">
    <vt:lpwstr/>
  </property>
  <property fmtid="{D5CDD505-2E9C-101B-9397-08002B2CF9AE}" pid="5" name="_SourceUrl">
    <vt:lpwstr/>
  </property>
  <property fmtid="{D5CDD505-2E9C-101B-9397-08002B2CF9AE}" pid="6" name="_SharedFileIndex">
    <vt:lpwstr/>
  </property>
</Properties>
</file>