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Payment</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TMF676</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June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text is a replacement of the ${conformance.variables.intro} template variable used in the template in this location.</w:t>
      </w:r>
      <w:proofErr w:type="spellStart"/>
      <w:proofErr w:type="spellEnd"/>
      <w:r>
        <w:rPr>
          <w:lang w:eastAsia="it-IT"/>
        </w:rPr>
        <w:br/>
        <w:t/>
      </w:r>
      <w:r>
        <w:rPr>
          <w:lang w:eastAsia="it-IT"/>
        </w:rPr>
        <w:br/>
        <w:t>Multiple lines can be added as needed.</w:t>
      </w:r>
      <w:r>
        <w:rPr>
          <w:lang w:eastAsia="it-IT"/>
        </w:rPr>
        <w:br/>
        <w:t/>
      </w:r>
      <w:r>
        <w:rPr>
          <w:lang w:eastAsia="it-IT"/>
        </w:rPr>
        <w:br/>
        <w:t>See https://yaml-multiline.info/ for details on how to format multi-line text with YAML.</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Payment</w:t>
            </w:r>
          </w:p>
        </w:tc>
        <w:tc>
          <w:p>
            <w:pPr>
              <w:spacing w:before="120" w:after="120"/>
            </w:pPr>
            <w:r>
              <w:t>GET &amp; POST operations are mandatories.</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4508F8FD" w14:textId="77777777" w:rsidR="00E935AA" w:rsidRPr="00196630" w:rsidRDefault="00E935AA" w:rsidP="000B0587">
      <w:pPr>
        <w:pStyle w:val="ListParagraph"/>
        <w:numPr>
          <w:ilvl w:val="0"/>
          <w:numId w:val="13"/>
        </w:numPr>
      </w:pPr>
      <w:r w:rsidRPr="00196630">
        <w:t>For the polymorphic support attributes (names start with @), the following general rules apply, and so are not repeated in the tables:</w:t>
      </w:r>
    </w:p>
    <w:p w14:paraId="0444E7E4" w14:textId="16A1CA6B" w:rsidR="00E935AA" w:rsidRPr="00196630" w:rsidRDefault="00E935AA" w:rsidP="000B0587">
      <w:pPr>
        <w:pStyle w:val="ListParagraph"/>
        <w:numPr>
          <w:ilvl w:val="0"/>
          <w:numId w:val="13"/>
        </w:numPr>
      </w:pPr>
      <w:r w:rsidRPr="00196630">
        <w:t xml:space="preserve">None of the @ attributes are mandatory in input if the actual type of the resource matches the basic type. If the actual type of the resource differs, @type must be populated with the actual type. </w:t>
      </w:r>
    </w:p>
    <w:p w14:paraId="6280D178" w14:textId="77777777" w:rsidR="00E935AA" w:rsidRPr="00196630" w:rsidRDefault="00E935AA" w:rsidP="000B0587">
      <w:pPr>
        <w:pStyle w:val="ListParagraph"/>
        <w:numPr>
          <w:ilvl w:val="0"/>
          <w:numId w:val="13"/>
        </w:numPr>
      </w:pPr>
      <w:r w:rsidRPr="00196630">
        <w:t>@type is mandatory in output</w:t>
      </w:r>
    </w:p>
    <w:p w14:paraId="02F0D8EA" w14:textId="3E012DBD" w:rsidR="00E935AA" w:rsidRPr="00196630" w:rsidRDefault="00E935AA" w:rsidP="000B0587">
      <w:pPr>
        <w:pStyle w:val="ListParagraph"/>
        <w:numPr>
          <w:ilvl w:val="1"/>
          <w:numId w:val="10"/>
        </w:numPr>
      </w:pPr>
      <w:r w:rsidRPr="00196630">
        <w:t>If @type is not the basic type of the resource, then @schemaLocation and @baseType are mandatory in output, otherwise they are optional in output.</w:t>
      </w:r>
    </w:p>
    <w:p w14:paraId="55ACFE83" w14:textId="4E434133" w:rsidR="00E935AA" w:rsidRPr="00196630" w:rsidRDefault="00E935AA" w:rsidP="000B0587">
      <w:pPr>
        <w:pStyle w:val="ListParagraph"/>
        <w:numPr>
          <w:ilvl w:val="1"/>
          <w:numId w:val="10"/>
        </w:numPr>
      </w:pPr>
      <w:r w:rsidRPr="00196630">
        <w:t>If the type of a referred entity is not the basic type of the resource, then @referredType is mandatory in output, otherwise it is optional</w:t>
      </w:r>
    </w:p>
    <w:p>
      <w:pPr>
        <w:pStyle w:val="Heading2"/>
        <w:keepNext w:val="on"/>
      </w:pPr>
      <w:r>
        <w:t>Hub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callback</w:t>
            </w:r>
          </w:p>
        </w:tc>
        <w:tc>
          <w:p>
            <w:pPr>
              <w:spacing w:before="120" w:after="120"/>
            </w:pPr>
            <w:r>
              <w:t>M</w:t>
            </w:r>
          </w:p>
        </w:tc>
      </w:tr>
      <w:tr>
        <w:tc>
          <w:tcPr>
            <w:gridSpan w:val="21"/>
          </w:tcPr>
          <w:p>
            <w:pPr>
              <w:spacing w:before="120" w:after="120"/>
            </w:pPr>
            <w:r>
              <w:t>id</w:t>
            </w:r>
          </w:p>
        </w:tc>
        <w:tc>
          <w:p>
            <w:pPr>
              <w:spacing w:before="120" w:after="120"/>
            </w:pPr>
            <w:r>
              <w:t>M</w:t>
            </w:r>
          </w:p>
        </w:tc>
      </w:tr>
    </w:tbl>
    <w:p>
      <w:pPr>
        <w:pStyle w:val="Heading2"/>
        <w:keepNext w:val="on"/>
      </w:pPr>
      <w:r>
        <w:t>Payment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br/>
            </w:r>
            <w:r>
              <w:t>O (otherwise)</w:t>
            </w:r>
          </w:p>
        </w:tc>
      </w:tr>
      <w:tr>
        <w:tc>
          <w:tcPr>
            <w:gridSpan w:val="21"/>
          </w:tcPr>
          <w:p>
            <w:pPr>
              <w:spacing w:before="120" w:after="120"/>
            </w:pPr>
            <w:r>
              <w:t>id</w:t>
            </w:r>
          </w:p>
        </w:tc>
        <w:tc>
          <w:p>
            <w:pPr>
              <w:spacing w:before="120" w:after="120"/>
            </w:pPr>
            <w:r>
              <w:t>M (in response messages)</w:t>
              <w:br/>
            </w:r>
            <w:r>
              <w:t>O (otherwise)</w:t>
            </w:r>
          </w:p>
        </w:tc>
      </w:tr>
      <w:tr>
        <w:tc>
          <w:tcPr>
            <w:gridSpan w:val="21"/>
          </w:tcPr>
          <w:p>
            <w:pPr>
              <w:spacing w:before="120" w:after="120"/>
            </w:pPr>
            <w:r>
              <w:t>status</w:t>
            </w:r>
          </w:p>
        </w:tc>
        <w:tc>
          <w:p>
            <w:pPr>
              <w:spacing w:before="120" w:after="120"/>
            </w:pPr>
            <w:r>
              <w:t>M (in response messages)</w:t>
              <w:br/>
            </w:r>
            <w:r>
              <w:t>O (otherwise)</w:t>
            </w:r>
          </w:p>
        </w:tc>
      </w:tr>
      <w:tr>
        <w:tc>
          <w:tcPr>
            <w:gridSpan w:val="21"/>
          </w:tcPr>
          <w:p>
            <w:pPr>
              <w:spacing w:before="120" w:after="120"/>
            </w:pPr>
            <w:r>
              <w:t>statusDate</w:t>
            </w:r>
          </w:p>
        </w:tc>
        <w:tc>
          <w:p>
            <w:pPr>
              <w:spacing w:before="120" w:after="120"/>
            </w:pPr>
            <w:r>
              <w:t>M (in response messages)</w:t>
              <w:br/>
            </w:r>
            <w:r>
              <w:t>O (otherwise)</w:t>
            </w:r>
          </w:p>
        </w:tc>
      </w:tr>
      <w:tr>
        <w:tc>
          <w:tcPr>
            <w:gridSpan w:val="21"/>
          </w:tcPr>
          <w:p>
            <w:pPr>
              <w:spacing w:before="120" w:after="120"/>
            </w:pPr>
            <w:r>
              <w:t>account</w:t>
            </w:r>
          </w:p>
        </w:tc>
        <w:tc>
          <w:p>
            <w:pPr>
              <w:spacing w:before="120" w:after="120"/>
            </w:pPr>
            <w:r>
              <w:t>M</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amount</w:t>
            </w:r>
          </w:p>
        </w:tc>
        <w:tc>
          <w:p>
            <w:pPr>
              <w:spacing w:before="120" w:after="120"/>
            </w:pPr>
            <w:r>
              <w:t>M</w:t>
            </w:r>
          </w:p>
        </w:tc>
      </w:tr>
      <w:tr>
        <w:tc>
          <w:p/>
        </w:tc>
        <w:tc>
          <w:tcPr>
            <w:gridSpan w:val="20"/>
          </w:tcPr>
          <w:p>
            <w:pPr>
              <w:spacing w:before="120" w:after="120"/>
            </w:pPr>
            <w:r>
              <w:t>unit</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paymentMethod</w:t>
            </w:r>
          </w:p>
        </w:tc>
        <w:tc>
          <w:p>
            <w:pPr>
              <w:spacing w:before="120" w:after="120"/>
            </w:pPr>
            <w:r>
              <w:t>M</w:t>
            </w:r>
          </w:p>
        </w:tc>
      </w:tr>
      <w:tr>
        <w:tc>
          <w:tcPr>
            <w:gridSpan w:val="21"/>
          </w:tcPr>
          <w:p>
            <w:pPr>
              <w:spacing w:before="120" w:after="120"/>
            </w:pPr>
            <w:r>
              <w:t>paymentMethod.account</w:t>
            </w:r>
          </w:p>
        </w:tc>
        <w:tc>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paymentMethod.relatedParty</w:t>
            </w:r>
          </w:p>
        </w:tc>
        <w:tc>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totalAmount</w:t>
            </w:r>
          </w:p>
        </w:tc>
        <w:tc>
          <w:p>
            <w:pPr>
              <w:spacing w:before="120" w:after="120"/>
            </w:pPr>
            <w:r>
              <w:t>M</w:t>
            </w:r>
          </w:p>
        </w:tc>
      </w:tr>
      <w:tr>
        <w:tc>
          <w:p/>
        </w:tc>
        <w:tc>
          <w:tcPr>
            <w:gridSpan w:val="20"/>
          </w:tcPr>
          <w:p>
            <w:pPr>
              <w:spacing w:before="120" w:after="120"/>
            </w:pPr>
            <w:r>
              <w:t>unit</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payer</w:t>
            </w:r>
          </w:p>
        </w:tc>
        <w:tc>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paymentItem.amount</w:t>
            </w:r>
          </w:p>
        </w:tc>
        <w:tc>
          <w:p/>
        </w:tc>
      </w:tr>
      <w:tr>
        <w:tc>
          <w:p/>
        </w:tc>
        <w:tc>
          <w:tcPr>
            <w:gridSpan w:val="20"/>
          </w:tcPr>
          <w:p>
            <w:pPr>
              <w:spacing w:before="120" w:after="120"/>
            </w:pPr>
            <w:r>
              <w:t>unit</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paymentItem.item</w:t>
            </w:r>
          </w:p>
        </w:tc>
        <w:tc>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paymentItem.taxAmount</w:t>
            </w:r>
          </w:p>
        </w:tc>
        <w:tc>
          <w:p/>
        </w:tc>
      </w:tr>
      <w:tr>
        <w:tc>
          <w:p/>
        </w:tc>
        <w:tc>
          <w:tcPr>
            <w:gridSpan w:val="20"/>
          </w:tcPr>
          <w:p>
            <w:pPr>
              <w:spacing w:before="120" w:after="120"/>
            </w:pPr>
            <w:r>
              <w:t>unit</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paymentItem.totalAmount</w:t>
            </w:r>
          </w:p>
        </w:tc>
        <w:tc>
          <w:p/>
        </w:tc>
      </w:tr>
      <w:tr>
        <w:tc>
          <w:p/>
        </w:tc>
        <w:tc>
          <w:tcPr>
            <w:gridSpan w:val="20"/>
          </w:tcPr>
          <w:p>
            <w:pPr>
              <w:spacing w:before="120" w:after="120"/>
            </w:pPr>
            <w:r>
              <w:t>unit</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taxAmount</w:t>
            </w:r>
          </w:p>
        </w:tc>
        <w:tc>
          <w:p/>
        </w:tc>
      </w:tr>
      <w:tr>
        <w:tc>
          <w:p/>
        </w:tc>
        <w:tc>
          <w:tcPr>
            <w:gridSpan w:val="20"/>
          </w:tcPr>
          <w:p>
            <w:pPr>
              <w:spacing w:before="120" w:after="120"/>
            </w:pPr>
            <w:r>
              <w:t>unit</w:t>
            </w:r>
          </w:p>
        </w:tc>
        <w:tc>
          <w:p>
            <w:pPr>
              <w:spacing w:before="120" w:after="120"/>
            </w:pPr>
            <w:r>
              <w:t>M</w:t>
            </w:r>
          </w:p>
        </w:tc>
      </w:tr>
      <w:tr>
        <w:tc>
          <w:p/>
        </w:tc>
        <w:tc>
          <w:tcPr>
            <w:gridSpan w:val="20"/>
          </w:tcPr>
          <w:p>
            <w:pPr>
              <w:spacing w:before="120" w:after="120"/>
            </w:pPr>
            <w:r>
              <w:t>value</w:t>
            </w:r>
          </w:p>
        </w:tc>
        <w:tc>
          <w:p>
            <w:pPr>
              <w:spacing w:before="120" w:after="120"/>
            </w:pPr>
            <w:r>
              <w:t>M</w:t>
            </w:r>
          </w:p>
        </w:tc>
      </w:tr>
    </w:tbl>
    <w:p>
      <w:pPr>
        <w:pStyle w:val="Heading2"/>
        <w:keepNext w:val="on"/>
      </w:pPr>
      <w:r>
        <w:t>Refund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br/>
            </w:r>
            <w:r>
              <w:t>O (otherwise)</w:t>
            </w:r>
          </w:p>
        </w:tc>
      </w:tr>
      <w:tr>
        <w:tc>
          <w:tcPr>
            <w:gridSpan w:val="21"/>
          </w:tcPr>
          <w:p>
            <w:pPr>
              <w:spacing w:before="120" w:after="120"/>
            </w:pPr>
            <w:r>
              <w:t>id</w:t>
            </w:r>
          </w:p>
        </w:tc>
        <w:tc>
          <w:p>
            <w:pPr>
              <w:spacing w:before="120" w:after="120"/>
            </w:pPr>
            <w:r>
              <w:t>M (in response messages)</w:t>
              <w:br/>
            </w:r>
            <w:r>
              <w:t>O (otherwise)</w:t>
            </w:r>
          </w:p>
        </w:tc>
      </w:tr>
      <w:tr>
        <w:tc>
          <w:tcPr>
            <w:gridSpan w:val="21"/>
          </w:tcPr>
          <w:p>
            <w:pPr>
              <w:spacing w:before="120" w:after="120"/>
            </w:pPr>
            <w:r>
              <w:t>status</w:t>
            </w:r>
          </w:p>
        </w:tc>
        <w:tc>
          <w:p>
            <w:pPr>
              <w:spacing w:before="120" w:after="120"/>
            </w:pPr>
            <w:r>
              <w:t>M (in response messages)</w:t>
              <w:br/>
            </w:r>
            <w:r>
              <w:t>O (otherwise)</w:t>
            </w:r>
          </w:p>
        </w:tc>
      </w:tr>
      <w:tr>
        <w:tc>
          <w:tcPr>
            <w:gridSpan w:val="21"/>
          </w:tcPr>
          <w:p>
            <w:pPr>
              <w:spacing w:before="120" w:after="120"/>
            </w:pPr>
            <w:r>
              <w:t>statusDate</w:t>
            </w:r>
          </w:p>
        </w:tc>
        <w:tc>
          <w:p>
            <w:pPr>
              <w:spacing w:before="120" w:after="120"/>
            </w:pPr>
            <w:r>
              <w:t>M (in response messages)</w:t>
              <w:br/>
            </w:r>
            <w:r>
              <w:t>O (otherwise)</w:t>
            </w:r>
          </w:p>
        </w:tc>
      </w:tr>
      <w:tr>
        <w:tc>
          <w:tcPr>
            <w:gridSpan w:val="21"/>
          </w:tcPr>
          <w:p>
            <w:pPr>
              <w:spacing w:before="120" w:after="120"/>
            </w:pPr>
            <w:r>
              <w:t>account</w:t>
            </w:r>
          </w:p>
        </w:tc>
        <w:tc>
          <w:p>
            <w:pPr>
              <w:spacing w:before="120" w:after="120"/>
            </w:pPr>
            <w:r>
              <w:t>M</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amount</w:t>
            </w:r>
          </w:p>
        </w:tc>
        <w:tc>
          <w:p>
            <w:pPr>
              <w:spacing w:before="120" w:after="120"/>
            </w:pPr>
            <w:r>
              <w:t>M</w:t>
            </w:r>
          </w:p>
        </w:tc>
      </w:tr>
      <w:tr>
        <w:tc>
          <w:p/>
        </w:tc>
        <w:tc>
          <w:tcPr>
            <w:gridSpan w:val="20"/>
          </w:tcPr>
          <w:p>
            <w:pPr>
              <w:spacing w:before="120" w:after="120"/>
            </w:pPr>
            <w:r>
              <w:t>unit</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paymentMethod</w:t>
            </w:r>
          </w:p>
        </w:tc>
        <w:tc>
          <w:p>
            <w:pPr>
              <w:spacing w:before="120" w:after="120"/>
            </w:pPr>
            <w:r>
              <w:t>M</w:t>
            </w:r>
          </w:p>
        </w:tc>
      </w:tr>
      <w:tr>
        <w:tc>
          <w:tcPr>
            <w:gridSpan w:val="21"/>
          </w:tcPr>
          <w:p>
            <w:pPr>
              <w:spacing w:before="120" w:after="120"/>
            </w:pPr>
            <w:r>
              <w:t>paymentMethod.account</w:t>
            </w:r>
          </w:p>
        </w:tc>
        <w:tc>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paymentMethod.relatedParty</w:t>
            </w:r>
          </w:p>
        </w:tc>
        <w:tc>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totalAmount</w:t>
            </w:r>
          </w:p>
        </w:tc>
        <w:tc>
          <w:p>
            <w:pPr>
              <w:spacing w:before="120" w:after="120"/>
            </w:pPr>
            <w:r>
              <w:t>M</w:t>
            </w:r>
          </w:p>
        </w:tc>
      </w:tr>
      <w:tr>
        <w:tc>
          <w:p/>
        </w:tc>
        <w:tc>
          <w:tcPr>
            <w:gridSpan w:val="20"/>
          </w:tcPr>
          <w:p>
            <w:pPr>
              <w:spacing w:before="120" w:after="120"/>
            </w:pPr>
            <w:r>
              <w:t>unit</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payment</w:t>
            </w:r>
          </w:p>
        </w:tc>
        <w:tc>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requestor</w:t>
            </w:r>
          </w:p>
        </w:tc>
        <w:tc>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taxAmount</w:t>
            </w:r>
          </w:p>
        </w:tc>
        <w:tc>
          <w:p/>
        </w:tc>
      </w:tr>
      <w:tr>
        <w:tc>
          <w:p/>
        </w:tc>
        <w:tc>
          <w:tcPr>
            <w:gridSpan w:val="20"/>
          </w:tcPr>
          <w:p>
            <w:pPr>
              <w:spacing w:before="120" w:after="120"/>
            </w:pPr>
            <w:r>
              <w:t>unit</w:t>
            </w:r>
          </w:p>
        </w:tc>
        <w:tc>
          <w:p>
            <w:pPr>
              <w:spacing w:before="120" w:after="120"/>
            </w:pPr>
            <w:r>
              <w:t>M</w:t>
            </w:r>
          </w:p>
        </w:tc>
      </w:tr>
      <w:tr>
        <w:tc>
          <w:p/>
        </w:tc>
        <w:tc>
          <w:tcPr>
            <w:gridSpan w:val="20"/>
          </w:tcPr>
          <w:p>
            <w:pPr>
              <w:spacing w:before="120" w:after="120"/>
            </w:pPr>
            <w:r>
              <w:t>value</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Hub Mandatory Operations</w:t>
      </w:r>
    </w:p>
    <w:p>
      <w:r>
        <w:t>The following table indicates which ones are mandatory for the Hub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POST</w:t>
            </w:r>
          </w:p>
        </w:tc>
      </w:tr>
      <w:tr>
        <w:tc>
          <w:tcPr>
            <w:gridSpan w:val="21"/>
          </w:tcPr>
          <w:p>
            <w:pPr>
              <w:spacing w:before="120" w:after="120"/>
            </w:pPr>
            <w:r>
              <w:t>DELETE</w:t>
            </w:r>
          </w:p>
        </w:tc>
      </w:tr>
    </w:tbl>
    <w:p>
      <w:r>
        <w:t/>
      </w:r>
    </w:p>
    <w:p>
      <w:pPr>
        <w:pStyle w:val="Heading2"/>
        <w:keepNext w:val="on"/>
      </w:pPr>
      <w:r>
        <w:t>Payment Mandatory Operations</w:t>
      </w:r>
    </w:p>
    <w:p>
      <w:r>
        <w:t>The following table indicates which ones are mandatory for the Payment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Heading2"/>
        <w:keepNext w:val="on"/>
      </w:pPr>
      <w:r>
        <w:t>Refund Mandatory Operations</w:t>
      </w:r>
    </w:p>
    <w:p>
      <w:r>
        <w:t>The following table indicates which ones are mandatory for the Refund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77777777" w:rsidR="00EE180B" w:rsidRPr="00F8263E" w:rsidRDefault="00EE180B" w:rsidP="00210C2F">
            <w:pPr>
              <w:rPr>
                <w:rFonts w:cs="Helvetica"/>
                <w:szCs w:val="20"/>
              </w:rPr>
            </w:pPr>
            <w:r w:rsidRPr="00F8263E">
              <w:rPr>
                <w:rFonts w:cs="Helvetica"/>
                <w:szCs w:val="20"/>
              </w:rPr>
              <w:t>Response Status Code 200</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77777777" w:rsidR="00EE180B" w:rsidRPr="00F8263E" w:rsidRDefault="00EE180B" w:rsidP="00210C2F">
            <w:pPr>
              <w:rPr>
                <w:rFonts w:cs="Helvetica"/>
                <w:szCs w:val="20"/>
              </w:rPr>
            </w:pPr>
            <w:r w:rsidRPr="00F8263E">
              <w:rPr>
                <w:rFonts w:cs="Helvetica"/>
                <w:szCs w:val="20"/>
              </w:rPr>
              <w:t>Response Status Code 404</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(e.g.:</w:t>
      </w:r>
      <w:proofErr w:type="gramStart"/>
      <w:r w:rsidRPr="00196630">
        <w:rPr>
          <w:rFonts w:ascii="Arial" w:eastAsia="Times New Roman" w:hAnsi="Arial"/>
          <w:sz w:val="20"/>
          <w:szCs w:val="24"/>
          <w:lang w:val="en-US" w:eastAsia="en-US"/>
        </w:rPr>
        <w:t>?severity</w:t>
      </w:r>
      <w:proofErr w:type="gramEnd"/>
      <w:r w:rsidRPr="00196630">
        <w:rPr>
          <w:rFonts w:ascii="Arial" w:eastAsia="Times New Roman" w:hAnsi="Arial"/>
          <w:sz w:val="20"/>
          <w:szCs w:val="24"/>
          <w:lang w:val="en-US" w:eastAsia="en-US"/>
        </w:rPr>
        <w:t xml:space="preserve">=&lt;value&gt;&amp;status=&lt;value&gt;).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w:t>
      </w:r>
      <w:proofErr w:type="gramEnd"/>
      <w:r w:rsidRPr="00196630">
        <w:rPr>
          <w:rFonts w:ascii="Arial" w:eastAsia="Times New Roman" w:hAnsi="Arial"/>
          <w:sz w:val="20"/>
          <w:szCs w:val="24"/>
          <w:lang w:val="en-US" w:eastAsia="en-US"/>
        </w:rPr>
        <w:t xml:space="preserve">fields= query parameter. Only those attributes whose names are supplied in this parameter will be returned. Attribute selection capabilities are the same for collections retrieval and individual resource queries. </w:t>
      </w:r>
    </w:p>
    <w:p w14:paraId="466D09E2" w14:textId="4FB5250E"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w:t>
      </w:r>
      <w:proofErr w:type="gramStart"/>
      <w:r w:rsidRPr="00196630">
        <w:rPr>
          <w:rFonts w:ascii="Arial" w:eastAsia="Times New Roman" w:hAnsi="Arial"/>
          <w:sz w:val="20"/>
          <w:szCs w:val="24"/>
          <w:lang w:val="en-US" w:eastAsia="en-US"/>
        </w:rPr>
        <w:t>top level</w:t>
      </w:r>
      <w:proofErr w:type="gramEnd"/>
      <w:r w:rsidRPr="00196630">
        <w:rPr>
          <w:rFonts w:ascii="Arial" w:eastAsia="Times New Roman" w:hAnsi="Arial"/>
          <w:sz w:val="20"/>
          <w:szCs w:val="24"/>
          <w:lang w:val="en-US" w:eastAsia="en-US"/>
        </w:rPr>
        <w:t xml:space="preserve"> resource or to contained resources. The tables below show which attributes need to be supported in top-level or contained resources.</w:t>
      </w:r>
      <w:bookmarkEnd w:id="32"/>
    </w:p>
    <w:p>
      <w:pPr>
        <w:pStyle w:val="Heading2"/>
        <w:keepNext w:val="on"/>
      </w:pPr>
      <w:r>
        <w:t>GET /payment?fields=...&amp;{filtering}</w:t>
      </w:r>
    </w:p>
    <w:p>
      <w:r>
        <w:t>This operation list or find Payment entities</w:t>
      </w:r>
    </w:p>
    <w:p>
      <w:r>
        <w:t>Attribute selection is mandatory for all first level attributes.</w:t>
      </w:r>
    </w:p>
    <w:p>
      <w:r>
        <w:t>Filtering on sub-resources is optional for all compliance levels</w:t>
      </w:r>
    </w:p>
    <w:p>
      <w:pPr>
        <w:pStyle w:val="Heading2"/>
        <w:keepNext w:val="on"/>
      </w:pPr>
      <w:r>
        <w:t>GET /payment/{id}?fields=...&amp;{filtering}</w:t>
      </w:r>
    </w:p>
    <w:p>
      <w:r>
        <w:t>This operation retrieves a Payment entity. Attribute selection is enabled for all first level attributes.</w:t>
      </w:r>
    </w:p>
    <w:p>
      <w:r>
        <w:t>Attribute selection is mandatory for all first level attributes.</w:t>
      </w:r>
    </w:p>
    <w:p>
      <w:r>
        <w:t>Filtering on sub-resources is optional for all compliance levels</w:t>
      </w:r>
    </w:p>
    <w:p>
      <w:pPr>
        <w:pStyle w:val="Heading2"/>
        <w:keepNext w:val="on"/>
      </w:pPr>
      <w:r>
        <w:t>GET /refund?fields=...&amp;{filtering}</w:t>
      </w:r>
    </w:p>
    <w:p>
      <w:r>
        <w:t>This operation list or find Refund entities</w:t>
      </w:r>
    </w:p>
    <w:p>
      <w:r>
        <w:t>Attribute selection is mandatory for all first level attributes.</w:t>
      </w:r>
    </w:p>
    <w:p>
      <w:r>
        <w:t>Filtering on sub-resources is optional for all compliance levels</w:t>
      </w:r>
    </w:p>
    <w:p>
      <w:pPr>
        <w:pStyle w:val="Heading2"/>
        <w:keepNext w:val="on"/>
      </w:pPr>
      <w:r>
        <w:t>GET /refund/{id}?fields=...&amp;{filtering}</w:t>
      </w:r>
    </w:p>
    <w:p>
      <w:r>
        <w:t>This operation retrieves a Refund entity. Attribute selection is enabled for all first level attributes.</w:t>
      </w:r>
    </w:p>
    <w:p>
      <w:r>
        <w:t>Attribute selection is mandatory for all first level attributes.</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77777777" w:rsidR="007E3EDF" w:rsidRPr="002D3C57" w:rsidRDefault="007E3EDF" w:rsidP="00210C2F">
            <w:pPr>
              <w:rPr>
                <w:rFonts w:cs="Helvetica"/>
                <w:szCs w:val="20"/>
              </w:rPr>
            </w:pPr>
            <w:r w:rsidRPr="002D3C57">
              <w:rPr>
                <w:rFonts w:cs="Helvetica"/>
                <w:szCs w:val="20"/>
              </w:rPr>
              <w:t>Status Code 201</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/hub</w:t>
      </w:r>
    </w:p>
    <w:p>
      <w:r>
        <w:t>Sets the communication endpoint address the service instance must use to deliver information about its health state, execution state, failures and metrics.</w:t>
      </w:r>
    </w:p>
    <w:p>
      <w:r>
        <w:t>The following table provides the list of mandatory attributes when creating an instance of the Hub resource, including any possible rule, conditions and applicable default values. Notice that it is up to an implementer to add additional mandatory attributes.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callback</w:t>
            </w:r>
          </w:p>
        </w:tc>
        <w:tc>
          <w:p>
            <w:pPr>
              <w:spacing w:before="120" w:after="120"/>
            </w:pPr>
            <w:r>
              <w:t/>
            </w:r>
          </w:p>
        </w:tc>
      </w:tr>
    </w:tbl>
    <w:p>
      <w:r>
        <w:t/>
      </w:r>
    </w:p>
    <w:p>
      <w:pPr>
        <w:pStyle w:val="Heading2"/>
        <w:keepNext w:val="on"/>
      </w:pPr>
      <w:r>
        <w:t>POST /payment</w:t>
      </w:r>
    </w:p>
    <w:p>
      <w:r>
        <w:t>This operation creates a Payment entity.</w:t>
      </w:r>
    </w:p>
    <w:p>
      <w:r>
        <w:t>The following table provides the list of mandatory attributes when creating an instance of the Payment resource, including any possible rule, conditions and applicable default values. Notice that it is up to an implementer to add additional mandatory attributes.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account</w:t>
            </w:r>
          </w:p>
        </w:tc>
        <w:tc>
          <w:p>
            <w:pPr>
              <w:spacing w:before="120" w:after="120"/>
            </w:pPr>
            <w:r>
              <w:t/>
            </w:r>
          </w:p>
        </w:tc>
      </w:tr>
      <w:tr>
        <w:tc>
          <w:tcPr>
            <w:gridSpan w:val="21"/>
          </w:tcPr>
          <w:p>
            <w:pPr>
              <w:spacing w:before="120" w:after="120"/>
            </w:pPr>
            <w:r>
              <w:t>account.id</w:t>
            </w:r>
          </w:p>
        </w:tc>
        <w:tc>
          <w:p>
            <w:pPr>
              <w:spacing w:before="120" w:after="120"/>
            </w:pPr>
            <w:r>
              <w:t/>
            </w:r>
          </w:p>
        </w:tc>
      </w:tr>
      <w:tr>
        <w:tc>
          <w:tcPr>
            <w:gridSpan w:val="21"/>
          </w:tcPr>
          <w:p>
            <w:pPr>
              <w:spacing w:before="120" w:after="120"/>
            </w:pPr>
            <w:r>
              <w:t>paymentMethod</w:t>
            </w:r>
          </w:p>
        </w:tc>
        <w:tc>
          <w:p>
            <w:pPr>
              <w:spacing w:before="120" w:after="120"/>
            </w:pPr>
            <w:r>
              <w:t/>
            </w:r>
          </w:p>
        </w:tc>
      </w:tr>
      <w:tr>
        <w:tc>
          <w:tcPr>
            <w:gridSpan w:val="21"/>
          </w:tcPr>
          <w:p>
            <w:pPr>
              <w:spacing w:before="120" w:after="120"/>
            </w:pPr>
            <w:r>
              <w:t>totalAmount</w:t>
            </w:r>
          </w:p>
        </w:tc>
        <w:tc>
          <w:p>
            <w:pPr>
              <w:spacing w:before="120" w:after="120"/>
            </w:pPr>
            <w:r>
              <w:t/>
            </w:r>
          </w:p>
        </w:tc>
      </w:tr>
    </w:tbl>
    <w:p>
      <w:r>
        <w:t/>
      </w:r>
    </w:p>
    <w:p>
      <w:pPr>
        <w:pStyle w:val="Heading2"/>
        <w:keepNext w:val="on"/>
      </w:pPr>
      <w:r>
        <w:t>POST /refund</w:t>
      </w:r>
    </w:p>
    <w:p>
      <w:r>
        <w:t>This operation creates a Refund entity.</w:t>
      </w:r>
    </w:p>
    <w:p>
      <w:r>
        <w:t>The following table provides the list of mandatory attributes when creating an instance of the Refund resource, including any possible rule, conditions and applicable default values. Notice that it is up to an implementer to add additional mandatory attributes.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account</w:t>
            </w:r>
          </w:p>
        </w:tc>
        <w:tc>
          <w:p>
            <w:pPr>
              <w:spacing w:before="120" w:after="120"/>
            </w:pPr>
            <w:r>
              <w:t/>
            </w:r>
          </w:p>
        </w:tc>
      </w:tr>
      <w:tr>
        <w:tc>
          <w:tcPr>
            <w:gridSpan w:val="21"/>
          </w:tcPr>
          <w:p>
            <w:pPr>
              <w:spacing w:before="120" w:after="120"/>
            </w:pPr>
            <w:r>
              <w:t>account.id</w:t>
            </w:r>
          </w:p>
        </w:tc>
        <w:tc>
          <w:p>
            <w:pPr>
              <w:spacing w:before="120" w:after="120"/>
            </w:pPr>
            <w:r>
              <w:t/>
            </w:r>
          </w:p>
        </w:tc>
      </w:tr>
      <w:tr>
        <w:tc>
          <w:tcPr>
            <w:gridSpan w:val="21"/>
          </w:tcPr>
          <w:p>
            <w:pPr>
              <w:spacing w:before="120" w:after="120"/>
            </w:pPr>
            <w:r>
              <w:t>paymentMethod</w:t>
            </w:r>
          </w:p>
        </w:tc>
        <w:tc>
          <w:p>
            <w:pPr>
              <w:spacing w:before="120" w:after="120"/>
            </w:pPr>
            <w:r>
              <w:t/>
            </w:r>
          </w:p>
        </w:tc>
      </w:tr>
      <w:tr>
        <w:tc>
          <w:tcPr>
            <w:gridSpan w:val="21"/>
          </w:tcPr>
          <w:p>
            <w:pPr>
              <w:spacing w:before="120" w:after="120"/>
            </w:pPr>
            <w:r>
              <w:t>totalAmount</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2"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2"/>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3" w:name="_Toc518289197"/>
      <w:r>
        <w:t>Release History</w:t>
      </w:r>
      <w:bookmarkEnd w:id="53"/>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4" w:name="_Toc436049424"/>
      <w:bookmarkStart w:id="55" w:name="_Toc436054793"/>
      <w:bookmarkStart w:id="56" w:name="_Toc509304199"/>
      <w:bookmarkStart w:id="57" w:name="_Toc516585140"/>
      <w:bookmarkStart w:id="58" w:name="_Toc518289198"/>
      <w:r w:rsidRPr="00553100">
        <w:t>V</w:t>
      </w:r>
      <w:r w:rsidR="00553100" w:rsidRPr="00553100">
        <w:t>ersion</w:t>
      </w:r>
      <w:r w:rsidRPr="00553100">
        <w:t xml:space="preserve"> H</w:t>
      </w:r>
      <w:bookmarkEnd w:id="54"/>
      <w:bookmarkEnd w:id="55"/>
      <w:bookmarkEnd w:id="56"/>
      <w:bookmarkEnd w:id="57"/>
      <w:r w:rsidR="009F6DC8">
        <w:t>istory</w:t>
      </w:r>
      <w:bookmarkEnd w:id="58"/>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F4E7C" w14:textId="77777777" w:rsidR="00B524EF" w:rsidRDefault="00B524EF">
      <w:r>
        <w:separator/>
      </w:r>
    </w:p>
  </w:endnote>
  <w:endnote w:type="continuationSeparator" w:id="0">
    <w:p w14:paraId="33576866" w14:textId="77777777" w:rsidR="00B524EF" w:rsidRDefault="00B52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E80328">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E80328">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BBD34" w14:textId="77777777" w:rsidR="00B524EF" w:rsidRDefault="00B524EF">
      <w:r>
        <w:separator/>
      </w:r>
    </w:p>
  </w:footnote>
  <w:footnote w:type="continuationSeparator" w:id="0">
    <w:p w14:paraId="27D0AB40" w14:textId="77777777" w:rsidR="00B524EF" w:rsidRDefault="00B52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Payment</w:t>
    </w:r>
    <w:r w:rsidR="006F75A7" w:rsidRPr="00E510BF">
      <w:rPr>
        <w:rFonts w:ascii="Calibri" w:hAnsi="Calibri" w:cs="Calibri"/>
        <w:sz w:val="22"/>
      </w:rPr>
      <w:t xml:space="preserve"> </w:t>
    </w:r>
    <w:r w:rsidR="006F75A7" w:rsidRPr="00E510BF">
      <w:rPr>
        <w:rFonts w:ascii="Calibri" w:hAnsi="Calibri" w:cs="Calibri"/>
        <w:noProof/>
        <w:sz w:val="22"/>
        <w:lang w:val="nb-NO" w:eastAsia="nb-NO"/>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556D8" w14:textId="77777777" w:rsidR="006F75A7" w:rsidRDefault="006F75A7">
    <w:pPr>
      <w:pStyle w:val="Header"/>
    </w:pPr>
    <w:r>
      <w:rPr>
        <w:noProof/>
        <w:lang w:val="nb-NO" w:eastAsia="nb-NO"/>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1F42"/>
    <w:rsid w:val="004423AE"/>
    <w:rsid w:val="0044254C"/>
    <w:rsid w:val="004425EC"/>
    <w:rsid w:val="0044389D"/>
    <w:rsid w:val="004468D7"/>
    <w:rsid w:val="00446C6F"/>
    <w:rsid w:val="0044793C"/>
    <w:rsid w:val="004523DA"/>
    <w:rsid w:val="004528D1"/>
    <w:rsid w:val="00452DF8"/>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163DE985-4690-4FB0-BD2E-676456A6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DE1EB-DB26-4592-813D-7E4D8B13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198</TotalTime>
  <Pages>13</Pages>
  <Words>1106</Words>
  <Characters>5865</Characters>
  <Application>Microsoft Office Word</Application>
  <DocSecurity>0</DocSecurity>
  <Lines>48</Lines>
  <Paragraphs>13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2018-06-29T02:05:00Z</dcterms:created>
  <dc:creator>J Huang, J Venderberg</dc:creator>
  <cp:lastModifiedBy>Johannessen Knut</cp:lastModifiedBy>
  <cp:lastPrinted>2009-07-28T14:27:00Z</cp:lastPrinted>
  <dcterms:modified xsi:type="dcterms:W3CDTF">2020-06-10T20:39:00Z</dcterms:modified>
  <cp:revision>115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