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Communication Management API</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TMF681</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19.5</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July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19.5</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
      </w:r>
      <w:proofErr w:type="spellStart"/>
      <w:proofErr w:type="spellEnd"/>
      <w:r>
        <w:rPr>
          <w:lang w:eastAsia="it-IT"/>
        </w:rPr>
        <w:br/>
        <w:t>This document describes the API Conformance for the Communication API.</w:t>
      </w:r>
      <w:r>
        <w:rPr>
          <w:lang w:eastAsia="it-IT"/>
        </w:rPr>
        <w:br/>
        <w:t/>
      </w:r>
      <w:r>
        <w:rPr>
          <w:lang w:eastAsia="it-IT"/>
        </w:rPr>
        <w:br/>
        <w:t>The Communication API provides a standardized mechanism for Communication management such as creation, update, retrieval, deletion and notification of the system communication events.</w:t>
      </w:r>
      <w:r>
        <w:rPr>
          <w:lang w:eastAsia="it-IT"/>
        </w:rPr>
        <w:br/>
        <w:t/>
      </w:r>
      <w:r>
        <w:rPr>
          <w:lang w:eastAsia="it-IT"/>
        </w:rPr>
        <w:br/>
        <w:t xml:space="preserve">Communication means the system delivers a message to the final customer in the form and format which can be felt and understood by the customer. </w:t>
      </w:r>
      <w:r>
        <w:rPr>
          <w:lang w:eastAsia="it-IT"/>
        </w:rPr>
        <w:br/>
        <w:t/>
      </w:r>
      <w:r>
        <w:rPr>
          <w:lang w:eastAsia="it-IT"/>
        </w:rPr>
        <w:br/>
        <w:t>The message can reach the customer in different interaction channels, including: email, short message, mobile app notification (push).</w:t>
      </w:r>
      <w:r>
        <w:rPr>
          <w:lang w:eastAsia="it-IT"/>
        </w:rPr>
        <w:br/>
        <w:t/>
      </w:r>
      <w:r>
        <w:rPr>
          <w:lang w:eastAsia="it-IT"/>
        </w:rPr>
        <w:br/>
        <w:t>This document identifies the parameters that must be included in a request related to the operations above as well as the parameters expected in the response.</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CommunicationMessage</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CommunicationMessage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content</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messageType</w:t>
            </w:r>
          </w:p>
        </w:tc>
        <w:tc>
          <w:p>
            <w:pPr>
              <w:spacing w:before="120" w:after="120"/>
            </w:pPr>
            <w:r>
              <w:t>M</w:t>
            </w:r>
          </w:p>
        </w:tc>
      </w:tr>
      <w:tr>
        <w:tc>
          <w:tcPr>
            <w:gridSpan w:val="21"/>
          </w:tcPr>
          <w:p>
            <w:pPr>
              <w:spacing w:before="120" w:after="120"/>
            </w:pPr>
            <w:r>
              <w:t>receiver</w:t>
            </w:r>
          </w:p>
        </w:tc>
        <w:tc>
          <w:p>
            <w:pPr>
              <w:spacing w:before="120" w:after="120"/>
            </w:pPr>
            <w:r>
              <w:t>M</w:t>
              <w:br/>
            </w:r>
            <w:r>
              <w:t/>
              <w:br/>
            </w:r>
            <w:r>
              <w:t>Array of Receiver</w:t>
            </w:r>
          </w:p>
        </w:tc>
      </w:tr>
      <w:tr>
        <w:tc>
          <w:tcPr>
            <w:gridSpan w:val="21"/>
          </w:tcPr>
          <w:p>
            <w:pPr>
              <w:spacing w:before="120" w:after="120"/>
            </w:pPr>
            <w:r>
              <w:t>receiver.party (if present)</w:t>
            </w:r>
          </w:p>
        </w:tc>
        <w:tc>
          <w:p>
            <w:pPr>
              <w:spacing w:before="120" w:after="120"/>
            </w:pPr>
            <w:r>
              <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sender</w:t>
            </w:r>
          </w:p>
        </w:tc>
        <w:tc>
          <w:p>
            <w:pPr>
              <w:spacing w:before="120" w:after="120"/>
            </w:pPr>
            <w:r>
              <w:t>M</w:t>
            </w:r>
          </w:p>
        </w:tc>
      </w:tr>
      <w:tr>
        <w:tc>
          <w:tcPr>
            <w:gridSpan w:val="21"/>
          </w:tcPr>
          <w:p>
            <w:pPr>
              <w:spacing w:before="120" w:after="120"/>
            </w:pPr>
            <w:r>
              <w:t>sender.party (if present)</w:t>
            </w:r>
          </w:p>
        </w:tc>
        <w:tc>
          <w:p>
            <w:pPr>
              <w:spacing w:before="120" w:after="120"/>
            </w:pPr>
            <w:r>
              <w:t>See conditions for RelatedParty at receiver.party</w:t>
            </w:r>
          </w:p>
        </w:tc>
      </w:tr>
      <w:tr>
        <w:tc>
          <w:tcPr>
            <w:gridSpan w:val="21"/>
          </w:tcPr>
          <w:p>
            <w:pPr>
              <w:spacing w:before="120" w:after="120"/>
            </w:pPr>
            <w:r>
              <w:t>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CommunicationMessage Mandatory Operations</w:t>
      </w:r>
    </w:p>
    <w:p>
      <w:r>
        <w:t>The following table indicates which ones are mandatory for the CommunicationMessage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DELETE</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/communicationMessage?fields=...&amp;{filtering}</w:t>
      </w:r>
    </w:p>
    <w:p>
      <w:r>
        <w:t>This operation list or find CommunicationMessage entities</w:t>
      </w:r>
    </w:p>
    <w:p>
      <w:r>
        <w:t>Attribute selection is mandatory for all first level attributes except for the href attribute.</w:t>
      </w:r>
    </w:p>
    <w:p>
      <w:r>
        <w:t>Filtering on sub-resources is optional for all compliance levels</w:t>
      </w:r>
    </w:p>
    <w:p>
      <w:pPr>
        <w:pStyle w:val="Heading2"/>
        <w:keepNext w:val="on"/>
      </w:pPr>
      <w:r>
        <w:t>GET /communicationMessage/{id}?fields=...&amp;{filtering}</w:t>
      </w:r>
    </w:p>
    <w:p>
      <w:r>
        <w:t>This operation retrieves a CommunicationMessage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/communicationMessage</w:t>
      </w:r>
    </w:p>
    <w:p>
      <w:r>
        <w:t>This operation creates a CommunicationMessage entity.</w:t>
      </w:r>
    </w:p>
    <w:p>
      <w:r>
        <w:t>The following table provides the list of mandatory attributes when creating an instance of the CommunicationMessage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content</w:t>
            </w:r>
          </w:p>
        </w:tc>
        <w:tc>
          <w:p>
            <w:pPr>
              <w:spacing w:before="120" w:after="120"/>
            </w:pPr>
            <w:r>
              <w:t/>
            </w:r>
          </w:p>
        </w:tc>
      </w:tr>
      <w:tr>
        <w:tc>
          <w:tcPr>
            <w:gridSpan w:val="21"/>
          </w:tcPr>
          <w:p>
            <w:pPr>
              <w:spacing w:before="120" w:after="120"/>
            </w:pPr>
            <w:r>
              <w:t>messageType</w:t>
            </w:r>
          </w:p>
        </w:tc>
        <w:tc>
          <w:p>
            <w:pPr>
              <w:spacing w:before="120" w:after="120"/>
            </w:pPr>
            <w:r>
              <w:t/>
            </w:r>
          </w:p>
        </w:tc>
      </w:tr>
      <w:tr>
        <w:tc>
          <w:tcPr>
            <w:gridSpan w:val="21"/>
          </w:tcPr>
          <w:p>
            <w:pPr>
              <w:spacing w:before="120" w:after="120"/>
            </w:pPr>
            <w:r>
              <w:t>receiver</w:t>
            </w:r>
          </w:p>
        </w:tc>
        <w:tc>
          <w:p>
            <w:pPr>
              <w:spacing w:before="120" w:after="120"/>
            </w:pPr>
            <w:r>
              <w:t/>
            </w:r>
          </w:p>
        </w:tc>
      </w:tr>
      <w:tr>
        <w:tc>
          <w:tcPr>
            <w:gridSpan w:val="21"/>
          </w:tcPr>
          <w:p>
            <w:pPr>
              <w:spacing w:before="120" w:after="120"/>
            </w:pPr>
            <w:r>
              <w:t>sender</w:t>
            </w:r>
          </w:p>
        </w:tc>
        <w:tc>
          <w:p>
            <w:pPr>
              <w:spacing w:before="120" w:after="120"/>
            </w:pPr>
            <w:r>
              <w:t/>
            </w:r>
          </w:p>
        </w:tc>
      </w:tr>
    </w:tbl>
    <w:p>
      <w:r>
        <w:t/>
      </w:r>
    </w:p>
    <w:p w14:paraId="5AF833AF" w14:textId="77777777" w:rsidR="00DC7047" w:rsidRPr="003F539E" w:rsidRDefault="00DC7047" w:rsidP="00DC7047">
      <w:pPr>
        <w:pStyle w:val="Heading1"/>
        <w:rPr>
          <w:rFonts w:ascii="Calibri" w:hAnsi="Calibri"/>
        </w:rPr>
      </w:pPr>
      <w:bookmarkStart w:id="37" w:name="_Toc516585135"/>
      <w:bookmarkStart w:id="38" w:name="_Toc518289192"/>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6"/>
      <w:bookmarkEnd w:id="17"/>
      <w:bookmarkEnd w:id="18"/>
      <w:bookmarkEnd w:id="19"/>
      <w:bookmarkEnd w:id="20"/>
      <w:bookmarkEnd w:id="21"/>
      <w:bookmarkEnd w:id="22"/>
      <w:bookmarkEnd w:id="23"/>
      <w:bookmarkEnd w:id="24"/>
      <w:bookmarkEnd w:id="25"/>
      <w:r w:rsidRPr="003F539E">
        <w:rPr>
          <w:rFonts w:ascii="Calibri" w:hAnsi="Calibri"/>
        </w:rPr>
        <w:lastRenderedPageBreak/>
        <w:t>API DELETE OPERATION CONFORMANCE</w:t>
      </w:r>
      <w:bookmarkEnd w:id="37"/>
      <w:bookmarkEnd w:id="38"/>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309E6789"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pPr>
        <w:pStyle w:val="Heading2"/>
        <w:keepNext w:val="on"/>
      </w:pPr>
      <w:r>
        <w:t>DELETE /communicationMessage/{id}</w:t>
      </w:r>
    </w:p>
    <w:p>
      <w:r>
        <w:t>This operation deletes a CommunicationMessage entity.</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Communication Management API</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