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724B" w14:textId="1AE973FA" w:rsidR="00E017BC" w:rsidRDefault="00E017BC"/>
    <w:p w14:paraId="5283CE42" w14:textId="77777777" w:rsidR="00E017BC" w:rsidRPr="004F7CA3" w:rsidRDefault="00E017BC" w:rsidP="00E017BC">
      <w:pPr>
        <w:pStyle w:val="Heading1"/>
        <w:spacing w:before="0"/>
        <w:jc w:val="center"/>
        <w:rPr>
          <w:rFonts w:asciiTheme="minorHAnsi" w:hAnsiTheme="minorHAnsi" w:cstheme="minorHAnsi"/>
          <w:sz w:val="44"/>
          <w:szCs w:val="44"/>
        </w:rPr>
      </w:pPr>
      <w:r w:rsidRPr="004F7CA3">
        <w:rPr>
          <w:rFonts w:asciiTheme="minorHAnsi" w:hAnsiTheme="minorHAnsi" w:cstheme="minorHAnsi"/>
          <w:sz w:val="44"/>
          <w:szCs w:val="44"/>
        </w:rPr>
        <w:t>AEGIS Antimicrobial Evaluation</w:t>
      </w:r>
    </w:p>
    <w:p w14:paraId="258CAE44" w14:textId="73DA13BB" w:rsidR="00E017BC" w:rsidRDefault="00614196" w:rsidP="00E017BC">
      <w:pPr>
        <w:pStyle w:val="Heading1"/>
        <w:jc w:val="center"/>
        <w:rPr>
          <w:sz w:val="52"/>
          <w:szCs w:val="52"/>
        </w:rPr>
      </w:pPr>
      <w:r>
        <w:rPr>
          <w:sz w:val="52"/>
          <w:szCs w:val="52"/>
        </w:rPr>
        <w:t>Niagara Transit Buses -</w:t>
      </w:r>
      <w:r w:rsidR="00E017BC" w:rsidRPr="004F7CA3">
        <w:rPr>
          <w:sz w:val="52"/>
          <w:szCs w:val="52"/>
        </w:rPr>
        <w:t xml:space="preserve"> </w:t>
      </w:r>
      <w:r w:rsidR="00E017BC">
        <w:rPr>
          <w:sz w:val="52"/>
          <w:szCs w:val="52"/>
        </w:rPr>
        <w:t>Report</w:t>
      </w:r>
    </w:p>
    <w:p w14:paraId="3000ED5C" w14:textId="77777777" w:rsidR="00614196" w:rsidRDefault="00614196" w:rsidP="00E017BC">
      <w:pPr>
        <w:jc w:val="center"/>
        <w:rPr>
          <w:sz w:val="24"/>
          <w:szCs w:val="24"/>
        </w:rPr>
      </w:pPr>
    </w:p>
    <w:p w14:paraId="30ED76C6" w14:textId="1033D862" w:rsidR="00E017BC" w:rsidRPr="00614196" w:rsidRDefault="009A1DD0" w:rsidP="00E017BC">
      <w:pPr>
        <w:jc w:val="center"/>
        <w:rPr>
          <w:sz w:val="24"/>
          <w:szCs w:val="24"/>
        </w:rPr>
      </w:pPr>
      <w:r w:rsidRPr="00614196">
        <w:rPr>
          <w:sz w:val="24"/>
          <w:szCs w:val="24"/>
        </w:rPr>
        <w:t>6</w:t>
      </w:r>
      <w:r w:rsidR="00E017BC" w:rsidRPr="00614196">
        <w:rPr>
          <w:sz w:val="24"/>
          <w:szCs w:val="24"/>
        </w:rPr>
        <w:t xml:space="preserve"> Month Evaluation</w:t>
      </w:r>
    </w:p>
    <w:p w14:paraId="075CEC61" w14:textId="77777777" w:rsidR="00E017BC" w:rsidRPr="00435810" w:rsidRDefault="00E017BC" w:rsidP="00E017BC">
      <w:pPr>
        <w:rPr>
          <w:rFonts w:cstheme="minorHAnsi"/>
        </w:rPr>
      </w:pPr>
    </w:p>
    <w:p w14:paraId="49BE4FF5" w14:textId="570C8A23" w:rsidR="009A1DD0" w:rsidRPr="009A1DD0" w:rsidRDefault="009A1DD0" w:rsidP="009A1DD0">
      <w:pPr>
        <w:spacing w:after="0" w:line="240" w:lineRule="auto"/>
        <w:jc w:val="center"/>
        <w:rPr>
          <w:rFonts w:ascii="Times New Roman" w:eastAsia="Times New Roman" w:hAnsi="Times New Roman" w:cs="Times New Roman"/>
          <w:sz w:val="24"/>
          <w:szCs w:val="24"/>
        </w:rPr>
      </w:pPr>
      <w:r w:rsidRPr="009A1DD0">
        <w:rPr>
          <w:rFonts w:ascii="Times New Roman" w:eastAsia="Times New Roman" w:hAnsi="Times New Roman" w:cs="Times New Roman"/>
          <w:sz w:val="24"/>
          <w:szCs w:val="24"/>
        </w:rPr>
        <w:fldChar w:fldCharType="begin"/>
      </w:r>
      <w:r w:rsidR="003F30D7">
        <w:rPr>
          <w:rFonts w:ascii="Times New Roman" w:eastAsia="Times New Roman" w:hAnsi="Times New Roman" w:cs="Times New Roman"/>
          <w:sz w:val="24"/>
          <w:szCs w:val="24"/>
        </w:rPr>
        <w:instrText xml:space="preserve"> INCLUDEPICTURE "C:\\var\\folders\\s3\\ql07klpn08s61vd90h9vh6x80000gn\\T\\com.microsoft.Word\\WebArchiveCopyPasteTempFiles\\220px-Niagara_Falls_Transit_logo.png" \* MERGEFORMAT </w:instrText>
      </w:r>
      <w:r w:rsidRPr="009A1DD0">
        <w:rPr>
          <w:rFonts w:ascii="Times New Roman" w:eastAsia="Times New Roman" w:hAnsi="Times New Roman" w:cs="Times New Roman"/>
          <w:sz w:val="24"/>
          <w:szCs w:val="24"/>
        </w:rPr>
        <w:fldChar w:fldCharType="separate"/>
      </w:r>
      <w:r w:rsidRPr="009A1DD0">
        <w:rPr>
          <w:rFonts w:ascii="Times New Roman" w:eastAsia="Times New Roman" w:hAnsi="Times New Roman" w:cs="Times New Roman"/>
          <w:noProof/>
          <w:sz w:val="24"/>
          <w:szCs w:val="24"/>
        </w:rPr>
        <w:drawing>
          <wp:inline distT="0" distB="0" distL="0" distR="0" wp14:anchorId="6A75F17E" wp14:editId="0797340A">
            <wp:extent cx="2794000" cy="11430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1143000"/>
                    </a:xfrm>
                    <a:prstGeom prst="rect">
                      <a:avLst/>
                    </a:prstGeom>
                    <a:noFill/>
                    <a:ln>
                      <a:noFill/>
                    </a:ln>
                  </pic:spPr>
                </pic:pic>
              </a:graphicData>
            </a:graphic>
          </wp:inline>
        </w:drawing>
      </w:r>
      <w:r w:rsidRPr="009A1DD0">
        <w:rPr>
          <w:rFonts w:ascii="Times New Roman" w:eastAsia="Times New Roman" w:hAnsi="Times New Roman" w:cs="Times New Roman"/>
          <w:sz w:val="24"/>
          <w:szCs w:val="24"/>
        </w:rPr>
        <w:fldChar w:fldCharType="end"/>
      </w:r>
    </w:p>
    <w:p w14:paraId="12E4FE43" w14:textId="77777777" w:rsidR="00E017BC" w:rsidRPr="00435810" w:rsidRDefault="00E017BC" w:rsidP="00E017BC">
      <w:pPr>
        <w:rPr>
          <w:rFonts w:cstheme="minorHAnsi"/>
        </w:rPr>
      </w:pPr>
    </w:p>
    <w:p w14:paraId="3B1E8B78" w14:textId="77777777" w:rsidR="00E017BC" w:rsidRDefault="00E017BC" w:rsidP="00614196">
      <w:pPr>
        <w:pStyle w:val="Heading1"/>
        <w:spacing w:before="0"/>
        <w:rPr>
          <w:rFonts w:asciiTheme="minorHAnsi" w:hAnsiTheme="minorHAnsi" w:cstheme="minorHAnsi"/>
          <w:sz w:val="24"/>
          <w:szCs w:val="24"/>
        </w:rPr>
      </w:pPr>
    </w:p>
    <w:p w14:paraId="1DD93E42" w14:textId="218E6D64" w:rsidR="00E017BC" w:rsidRDefault="00E017BC" w:rsidP="00E017BC">
      <w:pPr>
        <w:pStyle w:val="Heading1"/>
        <w:spacing w:before="0"/>
        <w:jc w:val="center"/>
        <w:rPr>
          <w:rFonts w:asciiTheme="minorHAnsi" w:hAnsiTheme="minorHAnsi" w:cstheme="minorHAnsi"/>
          <w:sz w:val="24"/>
          <w:szCs w:val="24"/>
        </w:rPr>
      </w:pPr>
      <w:r w:rsidRPr="00BD4D77">
        <w:rPr>
          <w:noProof/>
        </w:rPr>
        <w:drawing>
          <wp:inline distT="0" distB="0" distL="0" distR="0" wp14:anchorId="278FFBB1" wp14:editId="59B78DCA">
            <wp:extent cx="1730375" cy="638175"/>
            <wp:effectExtent l="25400" t="0" r="0" b="0"/>
            <wp:docPr id="6" name="P 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 2"/>
                    <pic:cNvPicPr/>
                  </pic:nvPicPr>
                  <pic:blipFill>
                    <a:blip r:embed="rId6"/>
                    <a:srcRect b="71533"/>
                    <a:stretch>
                      <a:fillRect/>
                    </a:stretch>
                  </pic:blipFill>
                  <pic:spPr bwMode="auto">
                    <a:xfrm>
                      <a:off x="0" y="0"/>
                      <a:ext cx="1730375" cy="638175"/>
                    </a:xfrm>
                    <a:prstGeom prst="rect">
                      <a:avLst/>
                    </a:prstGeom>
                    <a:noFill/>
                    <a:ln w="9525">
                      <a:noFill/>
                      <a:miter lim="800000"/>
                      <a:headEnd/>
                      <a:tailEnd/>
                    </a:ln>
                  </pic:spPr>
                </pic:pic>
              </a:graphicData>
            </a:graphic>
          </wp:inline>
        </w:drawing>
      </w:r>
    </w:p>
    <w:p w14:paraId="6546D890" w14:textId="77777777" w:rsidR="005E6397" w:rsidRPr="000613F9" w:rsidRDefault="005E6397" w:rsidP="005E6397">
      <w:pPr>
        <w:jc w:val="center"/>
      </w:pPr>
      <w:r>
        <w:t>In Partnership with</w:t>
      </w:r>
    </w:p>
    <w:p w14:paraId="69EEF7AF" w14:textId="77777777" w:rsidR="005E6397" w:rsidRPr="00435810" w:rsidRDefault="005E6397" w:rsidP="005E6397">
      <w:pPr>
        <w:pStyle w:val="Heading1"/>
        <w:spacing w:before="0"/>
        <w:jc w:val="center"/>
        <w:rPr>
          <w:rFonts w:asciiTheme="minorHAnsi" w:hAnsiTheme="minorHAnsi" w:cstheme="minorHAnsi"/>
          <w:sz w:val="24"/>
          <w:szCs w:val="24"/>
        </w:rPr>
      </w:pPr>
      <w:r w:rsidRPr="00412D8A">
        <w:rPr>
          <w:noProof/>
        </w:rPr>
        <w:drawing>
          <wp:inline distT="0" distB="0" distL="0" distR="0" wp14:anchorId="0FA0D995" wp14:editId="28C7D6E9">
            <wp:extent cx="1341120" cy="609600"/>
            <wp:effectExtent l="0" t="0" r="0" b="0"/>
            <wp:docPr id="4" name="Picture 1" descr="Macintosh HD:Users:colin:Library:Containers:com.apple.mail:Data:Library:Mail Downloads:9ED36769-3ECC-4713-B29B-2F589A197C0F: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in:Library:Containers:com.apple.mail:Data:Library:Mail Downloads:9ED36769-3ECC-4713-B29B-2F589A197C0F:image003.png"/>
                    <pic:cNvPicPr>
                      <a:picLocks noChangeAspect="1" noChangeArrowheads="1"/>
                    </pic:cNvPicPr>
                  </pic:nvPicPr>
                  <pic:blipFill>
                    <a:blip r:embed="rId7"/>
                    <a:srcRect/>
                    <a:stretch>
                      <a:fillRect/>
                    </a:stretch>
                  </pic:blipFill>
                  <pic:spPr bwMode="auto">
                    <a:xfrm>
                      <a:off x="0" y="0"/>
                      <a:ext cx="1341120" cy="609600"/>
                    </a:xfrm>
                    <a:prstGeom prst="rect">
                      <a:avLst/>
                    </a:prstGeom>
                    <a:noFill/>
                    <a:ln w="9525">
                      <a:noFill/>
                      <a:miter lim="800000"/>
                      <a:headEnd/>
                      <a:tailEnd/>
                    </a:ln>
                  </pic:spPr>
                </pic:pic>
              </a:graphicData>
            </a:graphic>
          </wp:inline>
        </w:drawing>
      </w:r>
    </w:p>
    <w:p w14:paraId="70075B4F" w14:textId="77777777" w:rsidR="005E6397" w:rsidRPr="005E6397" w:rsidRDefault="005E6397" w:rsidP="005E6397"/>
    <w:p w14:paraId="32361E47" w14:textId="77777777" w:rsidR="00E017BC" w:rsidRPr="00435810" w:rsidRDefault="00E017BC" w:rsidP="00E017BC">
      <w:pPr>
        <w:pStyle w:val="Default"/>
        <w:rPr>
          <w:rFonts w:asciiTheme="minorHAnsi" w:hAnsiTheme="minorHAnsi" w:cstheme="minorHAnsi"/>
        </w:rPr>
      </w:pPr>
    </w:p>
    <w:p w14:paraId="61345B63" w14:textId="77777777" w:rsidR="00E017BC" w:rsidRPr="00435810" w:rsidRDefault="00E017BC" w:rsidP="00E017BC">
      <w:pPr>
        <w:pStyle w:val="Default"/>
        <w:jc w:val="center"/>
        <w:rPr>
          <w:rFonts w:asciiTheme="minorHAnsi" w:hAnsiTheme="minorHAnsi" w:cstheme="minorHAnsi"/>
        </w:rPr>
      </w:pPr>
    </w:p>
    <w:p w14:paraId="30A2DDC0" w14:textId="211FCD9E" w:rsidR="00E017BC" w:rsidRPr="00614196" w:rsidRDefault="00614196" w:rsidP="00E017BC">
      <w:pPr>
        <w:jc w:val="center"/>
        <w:rPr>
          <w:sz w:val="24"/>
          <w:szCs w:val="24"/>
        </w:rPr>
      </w:pPr>
      <w:r>
        <w:rPr>
          <w:sz w:val="24"/>
          <w:szCs w:val="24"/>
        </w:rPr>
        <w:t>September 11, 2020</w:t>
      </w:r>
    </w:p>
    <w:p w14:paraId="7321E118" w14:textId="77777777" w:rsidR="00E017BC" w:rsidRPr="00614196" w:rsidRDefault="00E017BC" w:rsidP="00E017BC">
      <w:pPr>
        <w:rPr>
          <w:rFonts w:cstheme="minorHAnsi"/>
          <w:sz w:val="24"/>
          <w:szCs w:val="24"/>
        </w:rPr>
      </w:pPr>
    </w:p>
    <w:p w14:paraId="75C54775" w14:textId="77777777" w:rsidR="00E017BC" w:rsidRPr="00614196" w:rsidRDefault="00E017BC" w:rsidP="00E017BC">
      <w:pPr>
        <w:jc w:val="center"/>
        <w:rPr>
          <w:rFonts w:cstheme="minorHAnsi"/>
          <w:sz w:val="24"/>
          <w:szCs w:val="24"/>
        </w:rPr>
      </w:pPr>
      <w:r w:rsidRPr="00614196">
        <w:rPr>
          <w:rFonts w:cstheme="minorHAnsi"/>
          <w:sz w:val="24"/>
          <w:szCs w:val="24"/>
        </w:rPr>
        <w:t>Prepared By</w:t>
      </w:r>
    </w:p>
    <w:p w14:paraId="2C534984" w14:textId="77777777" w:rsidR="00E017BC" w:rsidRPr="00614196" w:rsidRDefault="00E017BC" w:rsidP="00E017BC">
      <w:pPr>
        <w:jc w:val="center"/>
        <w:rPr>
          <w:rFonts w:cstheme="minorHAnsi"/>
          <w:sz w:val="24"/>
          <w:szCs w:val="24"/>
        </w:rPr>
      </w:pPr>
      <w:r w:rsidRPr="00614196">
        <w:rPr>
          <w:rFonts w:cstheme="minorHAnsi"/>
          <w:sz w:val="24"/>
          <w:szCs w:val="24"/>
        </w:rPr>
        <w:t>Colin Dickey</w:t>
      </w:r>
    </w:p>
    <w:p w14:paraId="12382A18" w14:textId="77777777" w:rsidR="00E017BC" w:rsidRPr="00614196" w:rsidRDefault="00E017BC" w:rsidP="00E017BC">
      <w:pPr>
        <w:jc w:val="center"/>
        <w:rPr>
          <w:rFonts w:cstheme="minorHAnsi"/>
          <w:sz w:val="24"/>
          <w:szCs w:val="24"/>
        </w:rPr>
      </w:pPr>
      <w:r w:rsidRPr="00614196">
        <w:rPr>
          <w:rFonts w:cstheme="minorHAnsi"/>
          <w:sz w:val="24"/>
          <w:szCs w:val="24"/>
        </w:rPr>
        <w:t>President, Protect Technologies</w:t>
      </w:r>
      <w:r w:rsidRPr="00614196">
        <w:rPr>
          <w:rFonts w:cstheme="minorHAnsi"/>
          <w:sz w:val="24"/>
          <w:szCs w:val="24"/>
        </w:rPr>
        <w:br w:type="page"/>
      </w:r>
    </w:p>
    <w:p w14:paraId="0FB385BB" w14:textId="77777777" w:rsidR="00E017BC" w:rsidRPr="00614196" w:rsidRDefault="00E017BC" w:rsidP="00E017BC">
      <w:pPr>
        <w:pStyle w:val="Heading2"/>
        <w:rPr>
          <w:rFonts w:asciiTheme="minorHAnsi" w:hAnsiTheme="minorHAnsi" w:cstheme="minorHAnsi"/>
          <w:sz w:val="24"/>
          <w:szCs w:val="24"/>
        </w:rPr>
      </w:pPr>
      <w:r w:rsidRPr="00614196">
        <w:rPr>
          <w:rFonts w:asciiTheme="minorHAnsi" w:hAnsiTheme="minorHAnsi" w:cstheme="minorHAnsi"/>
          <w:sz w:val="24"/>
          <w:szCs w:val="24"/>
        </w:rPr>
        <w:lastRenderedPageBreak/>
        <w:t xml:space="preserve">OBJECTIVE: </w:t>
      </w:r>
    </w:p>
    <w:p w14:paraId="751E1472" w14:textId="2B8EAB6C" w:rsidR="00E017BC" w:rsidRPr="00614196" w:rsidRDefault="005E6397" w:rsidP="00E017BC">
      <w:pPr>
        <w:pStyle w:val="Default"/>
        <w:rPr>
          <w:rFonts w:asciiTheme="minorHAnsi" w:hAnsiTheme="minorHAnsi" w:cstheme="minorHAnsi"/>
        </w:rPr>
      </w:pPr>
      <w:r>
        <w:rPr>
          <w:rFonts w:asciiTheme="minorHAnsi" w:hAnsiTheme="minorHAnsi" w:cstheme="minorHAnsi"/>
        </w:rPr>
        <w:t xml:space="preserve">Using ATP meter, determine current performance of the antimicrobial AEGIS at minimizing surface growth at 6 months post application. </w:t>
      </w:r>
    </w:p>
    <w:p w14:paraId="1E035E7D" w14:textId="77777777" w:rsidR="00E017BC" w:rsidRPr="00614196" w:rsidRDefault="00E017BC" w:rsidP="00E017BC">
      <w:pPr>
        <w:pStyle w:val="Default"/>
        <w:rPr>
          <w:rFonts w:asciiTheme="minorHAnsi" w:hAnsiTheme="minorHAnsi" w:cstheme="minorHAnsi"/>
        </w:rPr>
      </w:pPr>
    </w:p>
    <w:p w14:paraId="024CABAB" w14:textId="77777777" w:rsidR="00E017BC" w:rsidRPr="00614196" w:rsidRDefault="00E017BC" w:rsidP="00E017BC">
      <w:pPr>
        <w:pStyle w:val="Heading2"/>
        <w:rPr>
          <w:rFonts w:asciiTheme="minorHAnsi" w:hAnsiTheme="minorHAnsi"/>
          <w:sz w:val="24"/>
          <w:szCs w:val="24"/>
        </w:rPr>
      </w:pPr>
      <w:r w:rsidRPr="00614196">
        <w:rPr>
          <w:rFonts w:asciiTheme="minorHAnsi" w:hAnsiTheme="minorHAnsi"/>
          <w:sz w:val="24"/>
          <w:szCs w:val="24"/>
        </w:rPr>
        <w:t>Process</w:t>
      </w:r>
    </w:p>
    <w:p w14:paraId="526272D2" w14:textId="7ED962D5" w:rsidR="00E017BC" w:rsidRPr="00614196" w:rsidRDefault="00E017BC" w:rsidP="00E017BC">
      <w:pPr>
        <w:pStyle w:val="Default"/>
        <w:rPr>
          <w:rFonts w:asciiTheme="minorHAnsi" w:hAnsiTheme="minorHAnsi" w:cstheme="minorHAnsi"/>
        </w:rPr>
      </w:pPr>
      <w:r w:rsidRPr="00614196">
        <w:rPr>
          <w:rFonts w:asciiTheme="minorHAnsi" w:hAnsiTheme="minorHAnsi" w:cstheme="minorHAnsi"/>
        </w:rPr>
        <w:t xml:space="preserve">To measure the number of Total Heterotrophic </w:t>
      </w:r>
      <w:r w:rsidR="005E6397">
        <w:rPr>
          <w:rFonts w:asciiTheme="minorHAnsi" w:hAnsiTheme="minorHAnsi" w:cstheme="minorHAnsi"/>
        </w:rPr>
        <w:t>microbes</w:t>
      </w:r>
      <w:r w:rsidRPr="00614196">
        <w:rPr>
          <w:rFonts w:asciiTheme="minorHAnsi" w:hAnsiTheme="minorHAnsi" w:cstheme="minorHAnsi"/>
        </w:rPr>
        <w:t xml:space="preserve"> on various </w:t>
      </w:r>
      <w:r w:rsidR="009A1DD0" w:rsidRPr="00614196">
        <w:rPr>
          <w:rFonts w:asciiTheme="minorHAnsi" w:hAnsiTheme="minorHAnsi" w:cstheme="minorHAnsi"/>
        </w:rPr>
        <w:t>Niagara Transit</w:t>
      </w:r>
      <w:r w:rsidR="00614196">
        <w:rPr>
          <w:rFonts w:asciiTheme="minorHAnsi" w:hAnsiTheme="minorHAnsi" w:cstheme="minorHAnsi"/>
        </w:rPr>
        <w:t xml:space="preserve"> </w:t>
      </w:r>
      <w:r w:rsidR="009A1DD0" w:rsidRPr="00614196">
        <w:rPr>
          <w:rFonts w:asciiTheme="minorHAnsi" w:hAnsiTheme="minorHAnsi" w:cstheme="minorHAnsi"/>
        </w:rPr>
        <w:t xml:space="preserve">buses </w:t>
      </w:r>
      <w:r w:rsidRPr="00614196">
        <w:rPr>
          <w:rFonts w:asciiTheme="minorHAnsi" w:hAnsiTheme="minorHAnsi" w:cstheme="minorHAnsi"/>
        </w:rPr>
        <w:t>treated with Aegis Microbe Shield Technology</w:t>
      </w:r>
      <w:r w:rsidR="009A1DD0" w:rsidRPr="00614196">
        <w:rPr>
          <w:rFonts w:asciiTheme="minorHAnsi" w:hAnsiTheme="minorHAnsi" w:cstheme="minorHAnsi"/>
        </w:rPr>
        <w:t>. We compared to recent M</w:t>
      </w:r>
      <w:r w:rsidR="00614196">
        <w:rPr>
          <w:rFonts w:asciiTheme="minorHAnsi" w:hAnsiTheme="minorHAnsi" w:cstheme="minorHAnsi"/>
        </w:rPr>
        <w:t>e</w:t>
      </w:r>
      <w:r w:rsidR="009A1DD0" w:rsidRPr="00614196">
        <w:rPr>
          <w:rFonts w:asciiTheme="minorHAnsi" w:hAnsiTheme="minorHAnsi" w:cstheme="minorHAnsi"/>
        </w:rPr>
        <w:t>trolinx trains</w:t>
      </w:r>
      <w:r w:rsidRPr="00614196">
        <w:rPr>
          <w:rFonts w:asciiTheme="minorHAnsi" w:hAnsiTheme="minorHAnsi" w:cstheme="minorHAnsi"/>
        </w:rPr>
        <w:t xml:space="preserve"> to validate whether Aegis treatment could reduce the bacterial burden on high touch, high risk surfaces </w:t>
      </w:r>
      <w:r w:rsidRPr="00614196">
        <w:rPr>
          <w:rFonts w:asciiTheme="minorHAnsi" w:hAnsiTheme="minorHAnsi" w:cstheme="minorHAnsi"/>
          <w:color w:val="000000" w:themeColor="text1"/>
          <w:lang w:val="en-CA"/>
        </w:rPr>
        <w:t>with the goal of extending protection against bacterial contamination between typical cleaning and disinfection.</w:t>
      </w:r>
    </w:p>
    <w:p w14:paraId="25DBC8DF" w14:textId="77777777" w:rsidR="00E017BC" w:rsidRPr="00614196" w:rsidRDefault="00E017BC" w:rsidP="00E017BC">
      <w:pPr>
        <w:rPr>
          <w:rFonts w:cs="Arial"/>
          <w:color w:val="222222"/>
          <w:sz w:val="24"/>
          <w:szCs w:val="24"/>
        </w:rPr>
      </w:pPr>
    </w:p>
    <w:p w14:paraId="7BB5D0AD" w14:textId="47E31206" w:rsidR="00E017BC" w:rsidRPr="00614196" w:rsidRDefault="00E017BC" w:rsidP="00E017BC">
      <w:pPr>
        <w:rPr>
          <w:rFonts w:cs="Arial"/>
          <w:color w:val="222222"/>
          <w:sz w:val="24"/>
          <w:szCs w:val="24"/>
        </w:rPr>
      </w:pPr>
      <w:r w:rsidRPr="00614196">
        <w:rPr>
          <w:rFonts w:cs="Arial"/>
          <w:color w:val="222222"/>
          <w:sz w:val="24"/>
          <w:szCs w:val="24"/>
        </w:rPr>
        <w:t xml:space="preserve">The </w:t>
      </w:r>
      <w:r w:rsidR="009A1DD0" w:rsidRPr="00614196">
        <w:rPr>
          <w:rFonts w:cs="Arial"/>
          <w:color w:val="222222"/>
          <w:sz w:val="24"/>
          <w:szCs w:val="24"/>
        </w:rPr>
        <w:t>buses</w:t>
      </w:r>
      <w:r w:rsidRPr="00614196">
        <w:rPr>
          <w:rFonts w:cs="Arial"/>
          <w:color w:val="222222"/>
          <w:sz w:val="24"/>
          <w:szCs w:val="24"/>
        </w:rPr>
        <w:t xml:space="preserve"> tested </w:t>
      </w:r>
      <w:r w:rsidR="009A1DD0" w:rsidRPr="00614196">
        <w:rPr>
          <w:rFonts w:cs="Arial"/>
          <w:color w:val="222222"/>
          <w:sz w:val="24"/>
          <w:szCs w:val="24"/>
        </w:rPr>
        <w:t>were located at the Niagara facility.</w:t>
      </w:r>
    </w:p>
    <w:p w14:paraId="48C2EF4C" w14:textId="77777777" w:rsidR="00E017BC" w:rsidRPr="00614196" w:rsidRDefault="00E017BC" w:rsidP="00E017BC">
      <w:pPr>
        <w:pStyle w:val="Heading2"/>
        <w:rPr>
          <w:rFonts w:asciiTheme="minorHAnsi" w:hAnsiTheme="minorHAnsi"/>
          <w:sz w:val="24"/>
          <w:szCs w:val="24"/>
        </w:rPr>
      </w:pPr>
    </w:p>
    <w:p w14:paraId="79631F5B" w14:textId="77777777" w:rsidR="00E017BC" w:rsidRPr="00614196" w:rsidRDefault="00E017BC" w:rsidP="00E017BC">
      <w:pPr>
        <w:pStyle w:val="Heading2"/>
        <w:rPr>
          <w:rFonts w:asciiTheme="minorHAnsi" w:hAnsiTheme="minorHAnsi"/>
          <w:sz w:val="24"/>
          <w:szCs w:val="24"/>
        </w:rPr>
      </w:pPr>
      <w:r w:rsidRPr="00614196">
        <w:rPr>
          <w:rFonts w:asciiTheme="minorHAnsi" w:hAnsiTheme="minorHAnsi"/>
          <w:sz w:val="24"/>
          <w:szCs w:val="24"/>
        </w:rPr>
        <w:t>Background</w:t>
      </w:r>
    </w:p>
    <w:p w14:paraId="6AB6E3B6" w14:textId="77777777" w:rsidR="00E017BC" w:rsidRPr="00614196" w:rsidRDefault="00E017BC" w:rsidP="00E017BC">
      <w:pPr>
        <w:pStyle w:val="NormalWeb"/>
        <w:spacing w:before="2" w:after="2"/>
        <w:rPr>
          <w:rFonts w:asciiTheme="minorHAnsi" w:hAnsiTheme="minorHAnsi"/>
          <w:sz w:val="24"/>
          <w:szCs w:val="24"/>
        </w:rPr>
      </w:pPr>
    </w:p>
    <w:p w14:paraId="054AAE7D" w14:textId="77777777" w:rsidR="00E017BC" w:rsidRPr="00614196" w:rsidRDefault="00E017BC" w:rsidP="00E017BC">
      <w:pPr>
        <w:pStyle w:val="NormalWeb"/>
        <w:spacing w:before="2" w:after="2"/>
        <w:rPr>
          <w:rFonts w:asciiTheme="minorHAnsi" w:hAnsiTheme="minorHAnsi" w:cstheme="minorHAnsi"/>
          <w:sz w:val="24"/>
          <w:szCs w:val="24"/>
        </w:rPr>
      </w:pPr>
      <w:r w:rsidRPr="00614196">
        <w:rPr>
          <w:rFonts w:asciiTheme="minorHAnsi" w:hAnsiTheme="minorHAnsi" w:cstheme="minorHAnsi"/>
          <w:sz w:val="24"/>
          <w:szCs w:val="24"/>
        </w:rPr>
        <w:t xml:space="preserve">A route of transmission of common infections is through contact with surfaces contaminated with infectious microorganisms (pathogens) (Boone and Gerba, 2007). Contamination occurs by settling of droplets from coughs and sneezes onto surfaces, and by touching of surfaces with hands contaminated with pathogens. The pathogens then contaminate the hands of the next person who touches the same surface, and when they bring their hands to their eyes, nose, or mouth infection can result. Public transportation systems create an environment in which large numbers of persons on a daily basis share space and interact with surfaces found within system vehicles.  A recent study in the United Kingdom demonstrated an increase of respiratory infections (colds and flus) to persons if they had ridden in a bus or streetcar in the previous five days (Troko et al., 2011).  </w:t>
      </w:r>
    </w:p>
    <w:p w14:paraId="1D149E12" w14:textId="77777777" w:rsidR="00E017BC" w:rsidRPr="00614196" w:rsidRDefault="00E017BC" w:rsidP="00E017BC">
      <w:pPr>
        <w:pStyle w:val="NormalWeb"/>
        <w:spacing w:before="2" w:after="2"/>
        <w:rPr>
          <w:rFonts w:asciiTheme="minorHAnsi" w:hAnsiTheme="minorHAnsi" w:cstheme="minorHAnsi"/>
          <w:sz w:val="24"/>
          <w:szCs w:val="24"/>
        </w:rPr>
      </w:pPr>
    </w:p>
    <w:p w14:paraId="3B00D5E8" w14:textId="77777777" w:rsidR="00E017BC" w:rsidRPr="00614196" w:rsidRDefault="00E017BC" w:rsidP="00E017BC">
      <w:pPr>
        <w:pStyle w:val="NormalWeb"/>
        <w:spacing w:before="2" w:after="2"/>
        <w:rPr>
          <w:rFonts w:asciiTheme="minorHAnsi" w:hAnsiTheme="minorHAnsi" w:cstheme="minorHAnsi"/>
          <w:sz w:val="24"/>
          <w:szCs w:val="24"/>
        </w:rPr>
      </w:pPr>
      <w:r w:rsidRPr="00614196">
        <w:rPr>
          <w:rFonts w:asciiTheme="minorHAnsi" w:hAnsiTheme="minorHAnsi" w:cstheme="minorHAnsi"/>
          <w:sz w:val="24"/>
          <w:szCs w:val="24"/>
        </w:rPr>
        <w:t>The immediate reaction in the face of an outbreak is to step up cleaning protocols and application of disinfectants. The use of disinfectants alone has been proven to be inadequate. Surfaces, to be properly disinfected, require the use of the right chemical, the right concentration, the right dwell time, and finally the right application technique. Often one or more of these steps are missed or inadequately applied. Even when all of these steps have been adhered to; disinfectants have been proven to have no durable effect.  No durable effect means that the surface can be re-contaminated as easily and quickly as by the next person touching it.</w:t>
      </w:r>
    </w:p>
    <w:p w14:paraId="2A1AF60E" w14:textId="77777777" w:rsidR="00E017BC" w:rsidRPr="00614196" w:rsidRDefault="00E017BC" w:rsidP="00E017BC">
      <w:pPr>
        <w:rPr>
          <w:rFonts w:cstheme="minorHAnsi"/>
          <w:sz w:val="24"/>
          <w:szCs w:val="24"/>
          <w:lang w:val="en-US"/>
        </w:rPr>
      </w:pPr>
    </w:p>
    <w:p w14:paraId="675E4994" w14:textId="77777777" w:rsidR="00E017BC" w:rsidRPr="00614196" w:rsidRDefault="00E017BC" w:rsidP="00E017BC">
      <w:pPr>
        <w:rPr>
          <w:rFonts w:cstheme="minorHAnsi"/>
          <w:sz w:val="24"/>
          <w:szCs w:val="24"/>
          <w:lang w:val="en-US"/>
        </w:rPr>
      </w:pPr>
      <w:r w:rsidRPr="00614196">
        <w:rPr>
          <w:rFonts w:cstheme="minorHAnsi"/>
          <w:sz w:val="24"/>
          <w:szCs w:val="24"/>
          <w:lang w:val="en-US"/>
        </w:rPr>
        <w:t xml:space="preserve">An increase in cleaning efforts are in fact necessary and commended, however, an incomplete solution. Stated clearly, clean does not mean germ free.  </w:t>
      </w:r>
    </w:p>
    <w:p w14:paraId="2739B272" w14:textId="77777777" w:rsidR="00E017BC" w:rsidRPr="00614196" w:rsidRDefault="00E017BC" w:rsidP="00E017BC">
      <w:pPr>
        <w:rPr>
          <w:rFonts w:cstheme="minorHAnsi"/>
          <w:sz w:val="24"/>
          <w:szCs w:val="24"/>
          <w:lang w:val="en-US"/>
        </w:rPr>
      </w:pPr>
    </w:p>
    <w:p w14:paraId="6B7F86AB" w14:textId="77777777" w:rsidR="00E017BC" w:rsidRPr="00614196" w:rsidRDefault="00E017BC" w:rsidP="00E017BC">
      <w:pPr>
        <w:pStyle w:val="Heading2"/>
        <w:rPr>
          <w:rFonts w:asciiTheme="minorHAnsi" w:hAnsiTheme="minorHAnsi"/>
          <w:sz w:val="24"/>
          <w:szCs w:val="24"/>
        </w:rPr>
      </w:pPr>
      <w:r w:rsidRPr="00614196">
        <w:rPr>
          <w:rFonts w:asciiTheme="minorHAnsi" w:hAnsiTheme="minorHAnsi"/>
          <w:sz w:val="24"/>
          <w:szCs w:val="24"/>
        </w:rPr>
        <w:t>AEGIS Microbe Shield</w:t>
      </w:r>
    </w:p>
    <w:p w14:paraId="165E445C" w14:textId="77777777" w:rsidR="00E017BC" w:rsidRPr="00614196" w:rsidRDefault="00E017BC" w:rsidP="00E017BC">
      <w:pPr>
        <w:rPr>
          <w:rFonts w:cstheme="minorHAnsi"/>
          <w:sz w:val="24"/>
          <w:szCs w:val="24"/>
          <w:lang w:val="en-GB"/>
        </w:rPr>
      </w:pPr>
      <w:r w:rsidRPr="00614196">
        <w:rPr>
          <w:rFonts w:cstheme="minorHAnsi"/>
          <w:sz w:val="24"/>
          <w:szCs w:val="24"/>
          <w:lang w:val="en-US"/>
        </w:rPr>
        <w:t xml:space="preserve">The AEGIS Microbe Shield forms a durable chemical bond upon application and remains chemically attached to the surface on which it is applied. It functions by electrostatically and </w:t>
      </w:r>
      <w:r w:rsidRPr="00614196">
        <w:rPr>
          <w:rFonts w:cstheme="minorHAnsi"/>
          <w:sz w:val="24"/>
          <w:szCs w:val="24"/>
          <w:lang w:val="en-US"/>
        </w:rPr>
        <w:lastRenderedPageBreak/>
        <w:t>physically interrupting the bacterial or viral cell membrane and preventing its ability to survive on a protected surface. The AEGIS Microbe Shield destroys any organism with a cell membrane upon contact and will continue to do so until the physical surface has been removed through</w:t>
      </w:r>
      <w:r w:rsidRPr="00614196">
        <w:rPr>
          <w:rFonts w:cstheme="minorHAnsi"/>
          <w:sz w:val="24"/>
          <w:szCs w:val="24"/>
          <w:lang w:val="en-GB"/>
        </w:rPr>
        <w:t xml:space="preserve"> repeated wear. One can think of the bound antimicrobial like a sword that is capable of repeated use. In comparison, a conventional antimicrobial treatment is more like a gun with limited ammunition. Since a bound antimicrobial is fixed to the surface it continually operates at full strength. </w:t>
      </w:r>
    </w:p>
    <w:p w14:paraId="3971492D" w14:textId="77777777" w:rsidR="00E017BC" w:rsidRPr="00614196" w:rsidRDefault="00E017BC" w:rsidP="00E017BC">
      <w:pPr>
        <w:rPr>
          <w:rFonts w:cstheme="minorHAnsi"/>
          <w:sz w:val="24"/>
          <w:szCs w:val="24"/>
          <w:lang w:val="en-GB"/>
        </w:rPr>
      </w:pPr>
    </w:p>
    <w:p w14:paraId="4A110F53" w14:textId="77777777" w:rsidR="00E017BC" w:rsidRPr="00614196" w:rsidRDefault="00E017BC" w:rsidP="00E017BC">
      <w:pPr>
        <w:rPr>
          <w:rFonts w:cstheme="minorHAnsi"/>
          <w:sz w:val="24"/>
          <w:szCs w:val="24"/>
          <w:lang w:val="en-GB"/>
        </w:rPr>
      </w:pPr>
      <w:r w:rsidRPr="00614196">
        <w:rPr>
          <w:rFonts w:cstheme="minorHAnsi"/>
          <w:sz w:val="24"/>
          <w:szCs w:val="24"/>
          <w:lang w:val="en-GB"/>
        </w:rPr>
        <w:t>The AEGIS Microbe Shield is registered by health Canada under the PMRA (Pest Management Regulatory Agency) and the US Environmental Protection Agency for use on most hard and soft surfaces. AEGIS provides a long-lasting defence to control the growth and survival of microbes on just about any surface. The modified surface will retain antimicrobial activity for an extended period of time, even after repeated cleanings. Customer experience to date has demonstrated reduced cleaning effort and chemical is required to clean treated surfaces (Winnipeg Transit, 10 bus, 6-month trial)).</w:t>
      </w:r>
    </w:p>
    <w:p w14:paraId="0B85C40A" w14:textId="77777777" w:rsidR="00E017BC" w:rsidRPr="00614196" w:rsidRDefault="00E017BC" w:rsidP="00E017BC">
      <w:pPr>
        <w:widowControl w:val="0"/>
        <w:autoSpaceDE w:val="0"/>
        <w:autoSpaceDN w:val="0"/>
        <w:adjustRightInd w:val="0"/>
        <w:rPr>
          <w:rFonts w:cstheme="minorHAnsi"/>
          <w:color w:val="000000" w:themeColor="text1"/>
          <w:sz w:val="24"/>
          <w:szCs w:val="24"/>
        </w:rPr>
      </w:pPr>
    </w:p>
    <w:p w14:paraId="25BE61CA" w14:textId="77777777" w:rsidR="00E017BC" w:rsidRPr="00614196" w:rsidRDefault="00E017BC" w:rsidP="00E017BC">
      <w:pPr>
        <w:pStyle w:val="Heading2"/>
        <w:rPr>
          <w:rFonts w:asciiTheme="minorHAnsi" w:hAnsiTheme="minorHAnsi"/>
          <w:sz w:val="24"/>
          <w:szCs w:val="24"/>
        </w:rPr>
      </w:pPr>
      <w:r w:rsidRPr="00614196">
        <w:rPr>
          <w:rFonts w:asciiTheme="minorHAnsi" w:hAnsiTheme="minorHAnsi"/>
          <w:sz w:val="24"/>
          <w:szCs w:val="24"/>
        </w:rPr>
        <w:t>Objective</w:t>
      </w:r>
    </w:p>
    <w:p w14:paraId="13BA5807" w14:textId="4F3C9CE2" w:rsidR="00E017BC" w:rsidRPr="00614196" w:rsidRDefault="00E017BC" w:rsidP="00E017BC">
      <w:pPr>
        <w:pStyle w:val="Default"/>
        <w:rPr>
          <w:rFonts w:asciiTheme="minorHAnsi" w:hAnsiTheme="minorHAnsi" w:cstheme="minorHAnsi"/>
        </w:rPr>
      </w:pPr>
      <w:r w:rsidRPr="00614196">
        <w:rPr>
          <w:rFonts w:asciiTheme="minorHAnsi" w:hAnsiTheme="minorHAnsi" w:cstheme="minorHAnsi"/>
        </w:rPr>
        <w:t>Protect Technologies have been asked for 6</w:t>
      </w:r>
      <w:r w:rsidR="009A1DD0" w:rsidRPr="00614196">
        <w:rPr>
          <w:rFonts w:asciiTheme="minorHAnsi" w:hAnsiTheme="minorHAnsi" w:cstheme="minorHAnsi"/>
        </w:rPr>
        <w:t xml:space="preserve"> </w:t>
      </w:r>
      <w:r w:rsidRPr="00614196">
        <w:rPr>
          <w:rFonts w:asciiTheme="minorHAnsi" w:hAnsiTheme="minorHAnsi" w:cstheme="minorHAnsi"/>
        </w:rPr>
        <w:t>month testing with a full report generated.</w:t>
      </w:r>
    </w:p>
    <w:p w14:paraId="6ECFCF9E" w14:textId="77777777" w:rsidR="00E017BC" w:rsidRPr="00614196" w:rsidRDefault="00E017BC" w:rsidP="00E017BC">
      <w:pPr>
        <w:pStyle w:val="Default"/>
        <w:rPr>
          <w:rFonts w:asciiTheme="minorHAnsi" w:hAnsiTheme="minorHAnsi" w:cstheme="minorHAnsi"/>
        </w:rPr>
      </w:pPr>
    </w:p>
    <w:p w14:paraId="355CE0C0" w14:textId="77777777" w:rsidR="00E017BC" w:rsidRPr="00614196" w:rsidRDefault="00E017BC" w:rsidP="00E017BC">
      <w:pPr>
        <w:pStyle w:val="Heading2"/>
        <w:rPr>
          <w:rFonts w:asciiTheme="minorHAnsi" w:hAnsiTheme="minorHAnsi" w:cstheme="minorHAnsi"/>
          <w:sz w:val="24"/>
          <w:szCs w:val="24"/>
        </w:rPr>
      </w:pPr>
      <w:r w:rsidRPr="00614196">
        <w:rPr>
          <w:rFonts w:asciiTheme="minorHAnsi" w:hAnsiTheme="minorHAnsi" w:cstheme="minorHAnsi"/>
          <w:sz w:val="24"/>
          <w:szCs w:val="24"/>
        </w:rPr>
        <w:t xml:space="preserve">EXPERIMENTAL DESIGN: </w:t>
      </w:r>
    </w:p>
    <w:p w14:paraId="574BA042" w14:textId="1832BE9D" w:rsidR="00E017BC" w:rsidRPr="00614196" w:rsidRDefault="009A1DD0" w:rsidP="00E017BC">
      <w:pPr>
        <w:pStyle w:val="Default"/>
        <w:rPr>
          <w:rFonts w:asciiTheme="minorHAnsi" w:hAnsiTheme="minorHAnsi" w:cstheme="minorHAnsi"/>
        </w:rPr>
      </w:pPr>
      <w:r w:rsidRPr="00614196">
        <w:rPr>
          <w:rFonts w:asciiTheme="minorHAnsi" w:hAnsiTheme="minorHAnsi" w:cstheme="minorHAnsi"/>
        </w:rPr>
        <w:t>Test four buses located at the main facility following regular operation</w:t>
      </w:r>
    </w:p>
    <w:p w14:paraId="0B4FF93E" w14:textId="77777777" w:rsidR="00E017BC" w:rsidRPr="00614196" w:rsidRDefault="00E017BC" w:rsidP="00E017BC">
      <w:pPr>
        <w:widowControl w:val="0"/>
        <w:autoSpaceDE w:val="0"/>
        <w:autoSpaceDN w:val="0"/>
        <w:adjustRightInd w:val="0"/>
        <w:rPr>
          <w:rFonts w:cstheme="minorHAnsi"/>
          <w:sz w:val="24"/>
          <w:szCs w:val="24"/>
        </w:rPr>
      </w:pPr>
    </w:p>
    <w:p w14:paraId="16197D44" w14:textId="77777777" w:rsidR="00E017BC" w:rsidRPr="00614196" w:rsidRDefault="00E017BC" w:rsidP="00E017BC">
      <w:pPr>
        <w:pStyle w:val="Heading2"/>
        <w:rPr>
          <w:rFonts w:asciiTheme="minorHAnsi" w:hAnsiTheme="minorHAnsi" w:cstheme="minorHAnsi"/>
          <w:sz w:val="24"/>
          <w:szCs w:val="24"/>
        </w:rPr>
      </w:pPr>
      <w:r w:rsidRPr="00614196">
        <w:rPr>
          <w:rFonts w:asciiTheme="minorHAnsi" w:hAnsiTheme="minorHAnsi" w:cstheme="minorHAnsi"/>
          <w:sz w:val="24"/>
          <w:szCs w:val="24"/>
        </w:rPr>
        <w:t>AREAS SAMPLED AND SITE SELECTION</w:t>
      </w:r>
    </w:p>
    <w:p w14:paraId="6AE766F4" w14:textId="1CD89C5C" w:rsidR="00E017BC" w:rsidRPr="00614196" w:rsidRDefault="00E017BC" w:rsidP="00E017BC">
      <w:pPr>
        <w:shd w:val="clear" w:color="auto" w:fill="FFFFFF"/>
        <w:spacing w:before="100" w:beforeAutospacing="1" w:after="100" w:afterAutospacing="1"/>
        <w:rPr>
          <w:rFonts w:cstheme="minorHAnsi"/>
          <w:sz w:val="24"/>
          <w:szCs w:val="24"/>
        </w:rPr>
      </w:pPr>
      <w:r w:rsidRPr="00614196">
        <w:rPr>
          <w:rFonts w:cs="Calibri"/>
          <w:color w:val="000000" w:themeColor="text1"/>
          <w:sz w:val="24"/>
          <w:szCs w:val="24"/>
        </w:rPr>
        <w:t xml:space="preserve">Sites will be selected for being high touch and at high risk of cross contamination..  The control </w:t>
      </w:r>
      <w:r w:rsidR="009A1DD0" w:rsidRPr="00614196">
        <w:rPr>
          <w:rFonts w:cs="Calibri"/>
          <w:color w:val="000000" w:themeColor="text1"/>
          <w:sz w:val="24"/>
          <w:szCs w:val="24"/>
        </w:rPr>
        <w:t>was Metrolinx train testing previously completed</w:t>
      </w:r>
      <w:r w:rsidR="00614196">
        <w:rPr>
          <w:rFonts w:cs="Calibri"/>
          <w:color w:val="000000" w:themeColor="text1"/>
          <w:sz w:val="24"/>
          <w:szCs w:val="24"/>
        </w:rPr>
        <w:t xml:space="preserve"> (average reading for similar sites used)</w:t>
      </w:r>
      <w:r w:rsidR="009A1DD0" w:rsidRPr="00614196">
        <w:rPr>
          <w:rFonts w:cs="Calibri"/>
          <w:color w:val="000000" w:themeColor="text1"/>
          <w:sz w:val="24"/>
          <w:szCs w:val="24"/>
        </w:rPr>
        <w:t xml:space="preserve"> (pre</w:t>
      </w:r>
      <w:r w:rsidR="00614196">
        <w:rPr>
          <w:rFonts w:cs="Calibri"/>
          <w:color w:val="000000" w:themeColor="text1"/>
          <w:sz w:val="24"/>
          <w:szCs w:val="24"/>
        </w:rPr>
        <w:t>-</w:t>
      </w:r>
      <w:r w:rsidR="009A1DD0" w:rsidRPr="00614196">
        <w:rPr>
          <w:rFonts w:cs="Calibri"/>
          <w:color w:val="000000" w:themeColor="text1"/>
          <w:sz w:val="24"/>
          <w:szCs w:val="24"/>
        </w:rPr>
        <w:t>treatment baseline in Niagara was not completed)</w:t>
      </w:r>
      <w:r w:rsidRPr="00614196">
        <w:rPr>
          <w:rFonts w:cs="Calibri"/>
          <w:color w:val="000000" w:themeColor="text1"/>
          <w:sz w:val="24"/>
          <w:szCs w:val="24"/>
        </w:rPr>
        <w:t xml:space="preserve">. </w:t>
      </w:r>
      <w:r w:rsidR="009A1DD0" w:rsidRPr="00614196">
        <w:rPr>
          <w:rFonts w:cs="Calibri"/>
          <w:color w:val="000000" w:themeColor="text1"/>
          <w:sz w:val="24"/>
          <w:szCs w:val="24"/>
        </w:rPr>
        <w:t xml:space="preserve">Test </w:t>
      </w:r>
      <w:r w:rsidR="009A1DD0" w:rsidRPr="00614196">
        <w:rPr>
          <w:rFonts w:cstheme="minorHAnsi"/>
          <w:color w:val="000000" w:themeColor="text1"/>
          <w:sz w:val="24"/>
          <w:szCs w:val="24"/>
        </w:rPr>
        <w:t>s</w:t>
      </w:r>
      <w:r w:rsidRPr="00614196">
        <w:rPr>
          <w:rFonts w:cstheme="minorHAnsi"/>
          <w:color w:val="000000" w:themeColor="text1"/>
          <w:sz w:val="24"/>
          <w:szCs w:val="24"/>
        </w:rPr>
        <w:t xml:space="preserve">ites selected will include different types of materials were chosen (e.g. plastic, wood, stainless steel, vinyl, textile). </w:t>
      </w:r>
      <w:r w:rsidRPr="00614196">
        <w:rPr>
          <w:rFonts w:cstheme="minorHAnsi"/>
          <w:sz w:val="24"/>
          <w:szCs w:val="24"/>
        </w:rPr>
        <w:t xml:space="preserve">Test sites were randomly selected. Testing will be conducted by Colin Dickey, Protect Technologies and witnessed and recorded by an identified </w:t>
      </w:r>
      <w:r w:rsidR="009A1DD0" w:rsidRPr="00614196">
        <w:rPr>
          <w:rFonts w:cstheme="minorHAnsi"/>
          <w:sz w:val="24"/>
          <w:szCs w:val="24"/>
        </w:rPr>
        <w:t>Niagara transit</w:t>
      </w:r>
      <w:r w:rsidRPr="00614196">
        <w:rPr>
          <w:rFonts w:cstheme="minorHAnsi"/>
          <w:sz w:val="24"/>
          <w:szCs w:val="24"/>
        </w:rPr>
        <w:t xml:space="preserve"> person</w:t>
      </w:r>
      <w:r w:rsidR="009A1DD0" w:rsidRPr="00614196">
        <w:rPr>
          <w:rFonts w:cstheme="minorHAnsi"/>
          <w:sz w:val="24"/>
          <w:szCs w:val="24"/>
        </w:rPr>
        <w:t xml:space="preserve"> (Zoran)</w:t>
      </w:r>
      <w:r w:rsidRPr="00614196">
        <w:rPr>
          <w:rFonts w:cstheme="minorHAnsi"/>
          <w:sz w:val="24"/>
          <w:szCs w:val="24"/>
        </w:rPr>
        <w:t>.</w:t>
      </w:r>
    </w:p>
    <w:p w14:paraId="4A6582E5" w14:textId="77777777" w:rsidR="00E017BC" w:rsidRPr="00614196" w:rsidRDefault="00E017BC" w:rsidP="00E017BC">
      <w:pPr>
        <w:rPr>
          <w:rFonts w:eastAsiaTheme="majorEastAsia" w:cstheme="minorHAnsi"/>
          <w:color w:val="2F5496" w:themeColor="accent1" w:themeShade="BF"/>
          <w:sz w:val="24"/>
          <w:szCs w:val="24"/>
        </w:rPr>
      </w:pPr>
      <w:r w:rsidRPr="00614196">
        <w:rPr>
          <w:rFonts w:cstheme="minorHAnsi"/>
          <w:sz w:val="24"/>
          <w:szCs w:val="24"/>
        </w:rPr>
        <w:br w:type="page"/>
      </w:r>
    </w:p>
    <w:p w14:paraId="335B6688" w14:textId="77777777" w:rsidR="00E017BC" w:rsidRPr="00614196" w:rsidRDefault="00E017BC" w:rsidP="00E017BC">
      <w:pPr>
        <w:pStyle w:val="Heading2"/>
        <w:rPr>
          <w:rFonts w:asciiTheme="minorHAnsi" w:hAnsiTheme="minorHAnsi" w:cstheme="minorHAnsi"/>
          <w:sz w:val="24"/>
          <w:szCs w:val="24"/>
        </w:rPr>
      </w:pPr>
      <w:r w:rsidRPr="00614196">
        <w:rPr>
          <w:rFonts w:asciiTheme="minorHAnsi" w:hAnsiTheme="minorHAnsi" w:cstheme="minorHAnsi"/>
          <w:sz w:val="24"/>
          <w:szCs w:val="24"/>
        </w:rPr>
        <w:lastRenderedPageBreak/>
        <w:t xml:space="preserve">MATERIALS AND METHODS </w:t>
      </w:r>
    </w:p>
    <w:p w14:paraId="547932FE" w14:textId="77777777" w:rsidR="00E017BC" w:rsidRPr="00614196" w:rsidRDefault="00E017BC" w:rsidP="00E017BC">
      <w:pPr>
        <w:pStyle w:val="Default"/>
        <w:rPr>
          <w:rFonts w:asciiTheme="minorHAnsi" w:hAnsiTheme="minorHAnsi" w:cstheme="minorHAnsi"/>
          <w:b/>
          <w:bCs/>
        </w:rPr>
      </w:pPr>
    </w:p>
    <w:p w14:paraId="2572B8D0" w14:textId="08718B6F" w:rsidR="00E017BC" w:rsidRPr="00614196" w:rsidRDefault="00E017BC" w:rsidP="00614196">
      <w:pPr>
        <w:rPr>
          <w:rFonts w:cstheme="minorHAnsi"/>
          <w:sz w:val="24"/>
          <w:szCs w:val="24"/>
        </w:rPr>
      </w:pPr>
      <w:r w:rsidRPr="00614196">
        <w:rPr>
          <w:rFonts w:cstheme="minorHAnsi"/>
          <w:color w:val="232323"/>
          <w:sz w:val="24"/>
          <w:szCs w:val="24"/>
          <w:shd w:val="clear" w:color="auto" w:fill="FFFFFF"/>
        </w:rPr>
        <w:t xml:space="preserve">An ATP meter </w:t>
      </w:r>
      <w:r w:rsidR="00614196">
        <w:rPr>
          <w:rFonts w:cstheme="minorHAnsi"/>
          <w:color w:val="232323"/>
          <w:sz w:val="24"/>
          <w:szCs w:val="24"/>
          <w:shd w:val="clear" w:color="auto" w:fill="FFFFFF"/>
        </w:rPr>
        <w:t>was</w:t>
      </w:r>
      <w:r w:rsidRPr="00614196">
        <w:rPr>
          <w:rFonts w:cstheme="minorHAnsi"/>
          <w:color w:val="232323"/>
          <w:sz w:val="24"/>
          <w:szCs w:val="24"/>
          <w:shd w:val="clear" w:color="auto" w:fill="FFFFFF"/>
        </w:rPr>
        <w:t xml:space="preserve"> used to determine bacterial load on surfaces. ATP is the primary energy transfer molecule present in all living biological cells on Earth. ATP cannot be produced or maintained by anything but a living organism, and as such, its measurement is a direct indication of biological activity. Because the level is strictly controlled in a living cell, ATP determination is used as an indicator of viable cell numbers. For hygiene testing the total ATP content of the sample is determined. The purpose of ATP testing is to achieve and defensibly document effective cleaning by following the principle that if biomass is not extant on critical surfaces after cleanup there is not enough medium for microbiological proliferation. Simply stated: no biological contamination, no microbial growth.</w:t>
      </w:r>
      <w:r w:rsidRPr="00614196">
        <w:rPr>
          <w:rFonts w:cstheme="minorHAnsi"/>
          <w:color w:val="232323"/>
          <w:sz w:val="24"/>
          <w:szCs w:val="24"/>
        </w:rPr>
        <w:br/>
      </w:r>
      <w:r w:rsidRPr="00614196">
        <w:rPr>
          <w:rFonts w:cstheme="minorHAnsi"/>
          <w:color w:val="232323"/>
          <w:sz w:val="24"/>
          <w:szCs w:val="24"/>
        </w:rPr>
        <w:br/>
      </w:r>
      <w:r w:rsidRPr="00614196">
        <w:rPr>
          <w:rFonts w:cstheme="minorHAnsi"/>
          <w:color w:val="232323"/>
          <w:sz w:val="24"/>
          <w:szCs w:val="24"/>
          <w:shd w:val="clear" w:color="auto" w:fill="FFFFFF"/>
        </w:rPr>
        <w:t>The main advantage of ATP as a biological indicator is the speed of the analysis. Unlike quantitative microbiological monitoring that requires at least several hours, quantitative biological monitoring takes only minutes from collecting the samples to obtaining the results. Results are given in real time. Here is how it works: ATP is rapidly detected by light emission through the combined use of luciferase and a luminometer. An ATP free swab is moistened with an ATP free buffer, water or extractant. The use of the extractant helps releasing ATP from the surface being sampled. Using a portable luminometer, testing the swab is usually done immediately. There are some systems where the swabs are stable for a number of hours; thereby allowing the user to complete the analysis at a workstation or laboratory.</w:t>
      </w:r>
    </w:p>
    <w:p w14:paraId="6297978A" w14:textId="06FEE464" w:rsidR="00E017BC" w:rsidRPr="00614196" w:rsidRDefault="00E017BC" w:rsidP="00614196">
      <w:pPr>
        <w:rPr>
          <w:sz w:val="24"/>
          <w:szCs w:val="24"/>
        </w:rPr>
      </w:pPr>
      <w:r w:rsidRPr="00614196">
        <w:rPr>
          <w:noProof/>
          <w:sz w:val="24"/>
          <w:szCs w:val="24"/>
        </w:rPr>
        <w:drawing>
          <wp:anchor distT="0" distB="0" distL="114300" distR="114300" simplePos="0" relativeHeight="251659264" behindDoc="0" locked="0" layoutInCell="1" allowOverlap="1" wp14:anchorId="6DE583BA" wp14:editId="18FB6252">
            <wp:simplePos x="0" y="0"/>
            <wp:positionH relativeFrom="column">
              <wp:posOffset>4114800</wp:posOffset>
            </wp:positionH>
            <wp:positionV relativeFrom="paragraph">
              <wp:posOffset>107315</wp:posOffset>
            </wp:positionV>
            <wp:extent cx="1796415" cy="1703070"/>
            <wp:effectExtent l="0" t="0" r="0" b="0"/>
            <wp:wrapSquare wrapText="bothSides"/>
            <wp:docPr id="8" name="Picture 8"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1796415" cy="1703070"/>
                    </a:xfrm>
                    <a:prstGeom prst="rect">
                      <a:avLst/>
                    </a:prstGeom>
                  </pic:spPr>
                </pic:pic>
              </a:graphicData>
            </a:graphic>
          </wp:anchor>
        </w:drawing>
      </w:r>
      <w:r w:rsidRPr="00614196">
        <w:rPr>
          <w:sz w:val="24"/>
          <w:szCs w:val="24"/>
        </w:rPr>
        <w:t>We measured colony forming units (CFU’s) using an ATP meter. The ATP meter is an industry standard for general microbial measure.</w:t>
      </w:r>
    </w:p>
    <w:p w14:paraId="6C9D691D" w14:textId="248C6969" w:rsidR="00E017BC" w:rsidRPr="00614196" w:rsidRDefault="00E017BC" w:rsidP="00E017BC">
      <w:pPr>
        <w:rPr>
          <w:sz w:val="24"/>
          <w:szCs w:val="24"/>
        </w:rPr>
      </w:pPr>
      <w:r w:rsidRPr="00614196">
        <w:rPr>
          <w:sz w:val="24"/>
          <w:szCs w:val="24"/>
        </w:rPr>
        <w:t>SystemSURE Plus ATP hygiene monitoring system was used to measure cleanliness of surfaces.  Hygiena systems come preset with Pass and Fail limits of 10 and 30 respectively. Any score of 10 RLU or less is a Pass. Scores from 11 to 30 RLU are a Caution. Any score greater than 30 RLU is a Fail. </w:t>
      </w:r>
      <w:r w:rsidR="00614196">
        <w:rPr>
          <w:sz w:val="24"/>
          <w:szCs w:val="24"/>
        </w:rPr>
        <w:t>These limits are based on food facility measures. Expectations of cleanliness on transit are not the same, as such we are using 30 as a warning and 50 as a fail.</w:t>
      </w:r>
    </w:p>
    <w:p w14:paraId="383F632A" w14:textId="6090DF9A" w:rsidR="00E017BC" w:rsidRPr="00614196" w:rsidRDefault="00E017BC" w:rsidP="00614196">
      <w:pPr>
        <w:pStyle w:val="Default"/>
        <w:rPr>
          <w:rFonts w:asciiTheme="minorHAnsi" w:hAnsiTheme="minorHAnsi" w:cstheme="minorHAnsi"/>
          <w:lang w:val="en-CA"/>
        </w:rPr>
      </w:pPr>
    </w:p>
    <w:p w14:paraId="78852A1D" w14:textId="77777777" w:rsidR="00614196" w:rsidRDefault="00614196">
      <w:pPr>
        <w:rPr>
          <w:rFonts w:cstheme="minorHAnsi"/>
          <w:color w:val="000000"/>
          <w:sz w:val="24"/>
          <w:szCs w:val="24"/>
        </w:rPr>
      </w:pPr>
      <w:r>
        <w:rPr>
          <w:rFonts w:cstheme="minorHAnsi"/>
        </w:rPr>
        <w:br w:type="page"/>
      </w:r>
    </w:p>
    <w:p w14:paraId="31FFEEC4" w14:textId="30DF1068" w:rsidR="009A1DD0" w:rsidRPr="00614196" w:rsidRDefault="009A1DD0" w:rsidP="00932D2E">
      <w:pPr>
        <w:pStyle w:val="Heading2"/>
        <w:rPr>
          <w:rFonts w:asciiTheme="minorHAnsi" w:hAnsiTheme="minorHAnsi" w:cstheme="minorHAnsi"/>
          <w:sz w:val="24"/>
          <w:szCs w:val="24"/>
        </w:rPr>
      </w:pPr>
      <w:r w:rsidRPr="00614196">
        <w:rPr>
          <w:rFonts w:asciiTheme="minorHAnsi" w:hAnsiTheme="minorHAnsi" w:cstheme="minorHAnsi"/>
          <w:sz w:val="24"/>
          <w:szCs w:val="24"/>
        </w:rPr>
        <w:lastRenderedPageBreak/>
        <w:t>Test Results</w:t>
      </w:r>
    </w:p>
    <w:p w14:paraId="7FB2A0FC" w14:textId="77777777" w:rsidR="009A1DD0" w:rsidRPr="00614196" w:rsidRDefault="009A1DD0" w:rsidP="00E017BC">
      <w:pPr>
        <w:pStyle w:val="Default"/>
        <w:jc w:val="right"/>
        <w:rPr>
          <w:rFonts w:asciiTheme="minorHAnsi" w:hAnsiTheme="minorHAnsi" w:cstheme="minorHAnsi"/>
          <w:lang w:val="en-CA"/>
        </w:rPr>
      </w:pPr>
    </w:p>
    <w:p w14:paraId="0596FE42" w14:textId="77777777" w:rsidR="009A1DD0" w:rsidRPr="00614196" w:rsidRDefault="009A1DD0" w:rsidP="00E017BC">
      <w:pPr>
        <w:pStyle w:val="Default"/>
        <w:jc w:val="right"/>
        <w:rPr>
          <w:rFonts w:asciiTheme="minorHAnsi" w:hAnsiTheme="minorHAnsi" w:cstheme="minorHAnsi"/>
          <w:lang w:val="en-CA"/>
        </w:rPr>
      </w:pPr>
    </w:p>
    <w:tbl>
      <w:tblPr>
        <w:tblStyle w:val="TableGrid"/>
        <w:tblW w:w="0" w:type="auto"/>
        <w:tblLook w:val="04A0" w:firstRow="1" w:lastRow="0" w:firstColumn="1" w:lastColumn="0" w:noHBand="0" w:noVBand="1"/>
      </w:tblPr>
      <w:tblGrid>
        <w:gridCol w:w="1774"/>
        <w:gridCol w:w="1378"/>
        <w:gridCol w:w="1513"/>
        <w:gridCol w:w="1513"/>
        <w:gridCol w:w="1639"/>
        <w:gridCol w:w="1533"/>
      </w:tblGrid>
      <w:tr w:rsidR="00614196" w:rsidRPr="00614196" w14:paraId="1CE41AB4" w14:textId="64ACFEF7" w:rsidTr="00614196">
        <w:trPr>
          <w:trHeight w:val="700"/>
        </w:trPr>
        <w:tc>
          <w:tcPr>
            <w:tcW w:w="1774" w:type="dxa"/>
            <w:vAlign w:val="center"/>
          </w:tcPr>
          <w:p w14:paraId="17D829E1" w14:textId="77777777" w:rsidR="00614196" w:rsidRPr="00614196" w:rsidRDefault="00614196" w:rsidP="00256693">
            <w:pPr>
              <w:rPr>
                <w:sz w:val="24"/>
                <w:szCs w:val="24"/>
              </w:rPr>
            </w:pPr>
          </w:p>
        </w:tc>
        <w:tc>
          <w:tcPr>
            <w:tcW w:w="1378" w:type="dxa"/>
            <w:vAlign w:val="center"/>
          </w:tcPr>
          <w:p w14:paraId="4DE6B0C0" w14:textId="77777777" w:rsidR="00614196" w:rsidRPr="00614196" w:rsidRDefault="00614196" w:rsidP="00256693">
            <w:pPr>
              <w:rPr>
                <w:sz w:val="24"/>
                <w:szCs w:val="24"/>
              </w:rPr>
            </w:pPr>
            <w:r w:rsidRPr="00614196">
              <w:rPr>
                <w:sz w:val="24"/>
                <w:szCs w:val="24"/>
              </w:rPr>
              <w:t>Bus #1808</w:t>
            </w:r>
          </w:p>
          <w:p w14:paraId="5ACB6B09" w14:textId="06211885" w:rsidR="00614196" w:rsidRPr="00614196" w:rsidRDefault="00614196" w:rsidP="00256693">
            <w:pPr>
              <w:rPr>
                <w:sz w:val="24"/>
                <w:szCs w:val="24"/>
              </w:rPr>
            </w:pPr>
            <w:r w:rsidRPr="00614196">
              <w:rPr>
                <w:sz w:val="24"/>
                <w:szCs w:val="24"/>
              </w:rPr>
              <w:t>(returned from active service and cleaned)</w:t>
            </w:r>
          </w:p>
        </w:tc>
        <w:tc>
          <w:tcPr>
            <w:tcW w:w="1513" w:type="dxa"/>
            <w:vAlign w:val="center"/>
          </w:tcPr>
          <w:p w14:paraId="140DA4DD" w14:textId="77777777" w:rsidR="00614196" w:rsidRPr="00614196" w:rsidRDefault="00614196" w:rsidP="00256693">
            <w:pPr>
              <w:rPr>
                <w:sz w:val="24"/>
                <w:szCs w:val="24"/>
              </w:rPr>
            </w:pPr>
            <w:r w:rsidRPr="00614196">
              <w:rPr>
                <w:sz w:val="24"/>
                <w:szCs w:val="24"/>
              </w:rPr>
              <w:t>Bus #2192</w:t>
            </w:r>
          </w:p>
          <w:p w14:paraId="48D6315A" w14:textId="6A7A77D1" w:rsidR="00614196" w:rsidRPr="00614196" w:rsidRDefault="00614196" w:rsidP="00256693">
            <w:pPr>
              <w:rPr>
                <w:sz w:val="24"/>
                <w:szCs w:val="24"/>
              </w:rPr>
            </w:pPr>
            <w:r w:rsidRPr="00614196">
              <w:rPr>
                <w:sz w:val="24"/>
                <w:szCs w:val="24"/>
              </w:rPr>
              <w:t>(returned from active service and cleaned)</w:t>
            </w:r>
          </w:p>
        </w:tc>
        <w:tc>
          <w:tcPr>
            <w:tcW w:w="1513" w:type="dxa"/>
            <w:vAlign w:val="center"/>
          </w:tcPr>
          <w:p w14:paraId="58D619A1" w14:textId="77777777" w:rsidR="00614196" w:rsidRPr="00614196" w:rsidRDefault="00614196" w:rsidP="00256693">
            <w:pPr>
              <w:rPr>
                <w:sz w:val="24"/>
                <w:szCs w:val="24"/>
              </w:rPr>
            </w:pPr>
            <w:r w:rsidRPr="00614196">
              <w:rPr>
                <w:sz w:val="24"/>
                <w:szCs w:val="24"/>
              </w:rPr>
              <w:t>Bus #1935</w:t>
            </w:r>
          </w:p>
          <w:p w14:paraId="5C3037EA" w14:textId="28A2116D" w:rsidR="00614196" w:rsidRPr="00614196" w:rsidRDefault="00614196" w:rsidP="00256693">
            <w:pPr>
              <w:rPr>
                <w:sz w:val="24"/>
                <w:szCs w:val="24"/>
              </w:rPr>
            </w:pPr>
            <w:r w:rsidRPr="00614196">
              <w:rPr>
                <w:sz w:val="24"/>
                <w:szCs w:val="24"/>
              </w:rPr>
              <w:t>(returned from active service and cleaned)</w:t>
            </w:r>
          </w:p>
        </w:tc>
        <w:tc>
          <w:tcPr>
            <w:tcW w:w="1639" w:type="dxa"/>
            <w:vAlign w:val="center"/>
          </w:tcPr>
          <w:p w14:paraId="2BDC4025" w14:textId="77777777" w:rsidR="00614196" w:rsidRPr="00614196" w:rsidRDefault="00614196" w:rsidP="00256693">
            <w:pPr>
              <w:rPr>
                <w:sz w:val="24"/>
                <w:szCs w:val="24"/>
              </w:rPr>
            </w:pPr>
            <w:r w:rsidRPr="00614196">
              <w:rPr>
                <w:sz w:val="24"/>
                <w:szCs w:val="24"/>
              </w:rPr>
              <w:t>Bus #2678</w:t>
            </w:r>
          </w:p>
          <w:p w14:paraId="40DDED44" w14:textId="2AAF68E0" w:rsidR="00614196" w:rsidRPr="00614196" w:rsidRDefault="00614196" w:rsidP="00256693">
            <w:pPr>
              <w:rPr>
                <w:sz w:val="24"/>
                <w:szCs w:val="24"/>
              </w:rPr>
            </w:pPr>
            <w:r w:rsidRPr="00614196">
              <w:rPr>
                <w:sz w:val="24"/>
                <w:szCs w:val="24"/>
              </w:rPr>
              <w:t>(returned from active service, not cleaned)</w:t>
            </w:r>
          </w:p>
        </w:tc>
        <w:tc>
          <w:tcPr>
            <w:tcW w:w="1533" w:type="dxa"/>
          </w:tcPr>
          <w:p w14:paraId="5BBE2EF5" w14:textId="52AB8EE1" w:rsidR="00614196" w:rsidRPr="00614196" w:rsidRDefault="00614196" w:rsidP="00256693">
            <w:pPr>
              <w:rPr>
                <w:sz w:val="24"/>
                <w:szCs w:val="24"/>
              </w:rPr>
            </w:pPr>
            <w:r>
              <w:rPr>
                <w:sz w:val="24"/>
                <w:szCs w:val="24"/>
              </w:rPr>
              <w:t>Metrolinx Baseline</w:t>
            </w:r>
          </w:p>
        </w:tc>
      </w:tr>
      <w:tr w:rsidR="00614196" w:rsidRPr="00614196" w14:paraId="5DF3EE89" w14:textId="2A1C560E" w:rsidTr="00614196">
        <w:trPr>
          <w:trHeight w:val="661"/>
        </w:trPr>
        <w:tc>
          <w:tcPr>
            <w:tcW w:w="1774" w:type="dxa"/>
            <w:vAlign w:val="center"/>
          </w:tcPr>
          <w:p w14:paraId="75E12C6D" w14:textId="77777777" w:rsidR="00614196" w:rsidRPr="00614196" w:rsidRDefault="00614196" w:rsidP="00256693">
            <w:pPr>
              <w:rPr>
                <w:sz w:val="24"/>
                <w:szCs w:val="24"/>
              </w:rPr>
            </w:pPr>
            <w:r w:rsidRPr="00614196">
              <w:rPr>
                <w:sz w:val="24"/>
                <w:szCs w:val="24"/>
              </w:rPr>
              <w:t>Steering Wheel</w:t>
            </w:r>
          </w:p>
        </w:tc>
        <w:tc>
          <w:tcPr>
            <w:tcW w:w="1378" w:type="dxa"/>
            <w:vAlign w:val="center"/>
          </w:tcPr>
          <w:p w14:paraId="5A7244E9" w14:textId="77777777" w:rsidR="00614196" w:rsidRPr="00614196" w:rsidRDefault="00614196" w:rsidP="00256693">
            <w:pPr>
              <w:rPr>
                <w:sz w:val="24"/>
                <w:szCs w:val="24"/>
                <w:highlight w:val="green"/>
              </w:rPr>
            </w:pPr>
            <w:r w:rsidRPr="00614196">
              <w:rPr>
                <w:sz w:val="24"/>
                <w:szCs w:val="24"/>
                <w:highlight w:val="green"/>
              </w:rPr>
              <w:t>27</w:t>
            </w:r>
          </w:p>
        </w:tc>
        <w:tc>
          <w:tcPr>
            <w:tcW w:w="1513" w:type="dxa"/>
            <w:vAlign w:val="center"/>
          </w:tcPr>
          <w:p w14:paraId="6CCA8D76" w14:textId="77777777" w:rsidR="00614196" w:rsidRPr="00614196" w:rsidRDefault="00614196" w:rsidP="00256693">
            <w:pPr>
              <w:rPr>
                <w:sz w:val="24"/>
                <w:szCs w:val="24"/>
              </w:rPr>
            </w:pPr>
            <w:r w:rsidRPr="00614196">
              <w:rPr>
                <w:sz w:val="24"/>
                <w:szCs w:val="24"/>
                <w:highlight w:val="green"/>
              </w:rPr>
              <w:t>14</w:t>
            </w:r>
          </w:p>
        </w:tc>
        <w:tc>
          <w:tcPr>
            <w:tcW w:w="1513" w:type="dxa"/>
            <w:vAlign w:val="center"/>
          </w:tcPr>
          <w:p w14:paraId="31A1DA82" w14:textId="77777777" w:rsidR="00614196" w:rsidRPr="00614196" w:rsidRDefault="00614196" w:rsidP="00256693">
            <w:pPr>
              <w:rPr>
                <w:sz w:val="24"/>
                <w:szCs w:val="24"/>
                <w:highlight w:val="yellow"/>
              </w:rPr>
            </w:pPr>
            <w:r w:rsidRPr="00614196">
              <w:rPr>
                <w:sz w:val="24"/>
                <w:szCs w:val="24"/>
                <w:highlight w:val="yellow"/>
              </w:rPr>
              <w:t>43</w:t>
            </w:r>
          </w:p>
        </w:tc>
        <w:tc>
          <w:tcPr>
            <w:tcW w:w="1639" w:type="dxa"/>
            <w:vAlign w:val="center"/>
          </w:tcPr>
          <w:p w14:paraId="294883C5" w14:textId="77777777" w:rsidR="00614196" w:rsidRPr="00614196" w:rsidRDefault="00614196" w:rsidP="00256693">
            <w:pPr>
              <w:rPr>
                <w:sz w:val="24"/>
                <w:szCs w:val="24"/>
                <w:highlight w:val="green"/>
              </w:rPr>
            </w:pPr>
            <w:r w:rsidRPr="00614196">
              <w:rPr>
                <w:sz w:val="24"/>
                <w:szCs w:val="24"/>
                <w:highlight w:val="green"/>
              </w:rPr>
              <w:t>23</w:t>
            </w:r>
          </w:p>
        </w:tc>
        <w:tc>
          <w:tcPr>
            <w:tcW w:w="1533" w:type="dxa"/>
          </w:tcPr>
          <w:p w14:paraId="1C1E23E4" w14:textId="56ED2043" w:rsidR="00614196" w:rsidRPr="00614196" w:rsidRDefault="00614196" w:rsidP="00256693">
            <w:pPr>
              <w:rPr>
                <w:sz w:val="24"/>
                <w:szCs w:val="24"/>
                <w:highlight w:val="yellow"/>
              </w:rPr>
            </w:pPr>
            <w:r>
              <w:rPr>
                <w:sz w:val="24"/>
                <w:szCs w:val="24"/>
                <w:highlight w:val="yellow"/>
              </w:rPr>
              <w:t>NA</w:t>
            </w:r>
          </w:p>
        </w:tc>
      </w:tr>
      <w:tr w:rsidR="00614196" w:rsidRPr="00614196" w14:paraId="795FC82E" w14:textId="4B539C46" w:rsidTr="00614196">
        <w:trPr>
          <w:trHeight w:val="700"/>
        </w:trPr>
        <w:tc>
          <w:tcPr>
            <w:tcW w:w="1774" w:type="dxa"/>
            <w:vAlign w:val="center"/>
          </w:tcPr>
          <w:p w14:paraId="7212F308" w14:textId="5CDB886A" w:rsidR="00614196" w:rsidRPr="00614196" w:rsidRDefault="00614196" w:rsidP="00256693">
            <w:pPr>
              <w:rPr>
                <w:sz w:val="24"/>
                <w:szCs w:val="24"/>
              </w:rPr>
            </w:pPr>
            <w:r w:rsidRPr="00614196">
              <w:rPr>
                <w:sz w:val="24"/>
                <w:szCs w:val="24"/>
              </w:rPr>
              <w:t>Entrance Stanchion</w:t>
            </w:r>
          </w:p>
        </w:tc>
        <w:tc>
          <w:tcPr>
            <w:tcW w:w="1378" w:type="dxa"/>
            <w:vAlign w:val="center"/>
          </w:tcPr>
          <w:p w14:paraId="5C025E02" w14:textId="77777777" w:rsidR="00614196" w:rsidRPr="00614196" w:rsidRDefault="00614196" w:rsidP="00256693">
            <w:pPr>
              <w:rPr>
                <w:sz w:val="24"/>
                <w:szCs w:val="24"/>
                <w:highlight w:val="green"/>
              </w:rPr>
            </w:pPr>
            <w:r w:rsidRPr="00614196">
              <w:rPr>
                <w:sz w:val="24"/>
                <w:szCs w:val="24"/>
                <w:highlight w:val="green"/>
              </w:rPr>
              <w:t>3</w:t>
            </w:r>
          </w:p>
        </w:tc>
        <w:tc>
          <w:tcPr>
            <w:tcW w:w="1513" w:type="dxa"/>
            <w:vAlign w:val="center"/>
          </w:tcPr>
          <w:p w14:paraId="61DD6657" w14:textId="77777777" w:rsidR="00614196" w:rsidRPr="00614196" w:rsidRDefault="00614196" w:rsidP="00256693">
            <w:pPr>
              <w:rPr>
                <w:sz w:val="24"/>
                <w:szCs w:val="24"/>
                <w:highlight w:val="green"/>
              </w:rPr>
            </w:pPr>
            <w:r w:rsidRPr="00614196">
              <w:rPr>
                <w:sz w:val="24"/>
                <w:szCs w:val="24"/>
                <w:highlight w:val="green"/>
              </w:rPr>
              <w:t>2</w:t>
            </w:r>
          </w:p>
        </w:tc>
        <w:tc>
          <w:tcPr>
            <w:tcW w:w="1513" w:type="dxa"/>
            <w:vAlign w:val="center"/>
          </w:tcPr>
          <w:p w14:paraId="05ABFBDD" w14:textId="77777777" w:rsidR="00614196" w:rsidRPr="00614196" w:rsidRDefault="00614196" w:rsidP="00256693">
            <w:pPr>
              <w:rPr>
                <w:sz w:val="24"/>
                <w:szCs w:val="24"/>
                <w:highlight w:val="green"/>
              </w:rPr>
            </w:pPr>
            <w:r w:rsidRPr="00614196">
              <w:rPr>
                <w:sz w:val="24"/>
                <w:szCs w:val="24"/>
                <w:highlight w:val="green"/>
              </w:rPr>
              <w:t>10</w:t>
            </w:r>
          </w:p>
        </w:tc>
        <w:tc>
          <w:tcPr>
            <w:tcW w:w="1639" w:type="dxa"/>
            <w:vAlign w:val="center"/>
          </w:tcPr>
          <w:p w14:paraId="31EA021C" w14:textId="77777777" w:rsidR="00614196" w:rsidRPr="00614196" w:rsidRDefault="00614196" w:rsidP="00256693">
            <w:pPr>
              <w:rPr>
                <w:sz w:val="24"/>
                <w:szCs w:val="24"/>
                <w:highlight w:val="green"/>
              </w:rPr>
            </w:pPr>
            <w:r w:rsidRPr="00614196">
              <w:rPr>
                <w:sz w:val="24"/>
                <w:szCs w:val="24"/>
                <w:highlight w:val="green"/>
              </w:rPr>
              <w:t>7</w:t>
            </w:r>
          </w:p>
        </w:tc>
        <w:tc>
          <w:tcPr>
            <w:tcW w:w="1533" w:type="dxa"/>
          </w:tcPr>
          <w:p w14:paraId="619EF6FB" w14:textId="5BD62249" w:rsidR="00614196" w:rsidRPr="00614196" w:rsidRDefault="00614196" w:rsidP="00256693">
            <w:pPr>
              <w:rPr>
                <w:sz w:val="24"/>
                <w:szCs w:val="24"/>
                <w:highlight w:val="red"/>
              </w:rPr>
            </w:pPr>
            <w:r w:rsidRPr="00614196">
              <w:rPr>
                <w:sz w:val="24"/>
                <w:szCs w:val="24"/>
                <w:highlight w:val="red"/>
              </w:rPr>
              <w:t>200</w:t>
            </w:r>
          </w:p>
        </w:tc>
      </w:tr>
      <w:tr w:rsidR="00614196" w:rsidRPr="00614196" w14:paraId="12996A64" w14:textId="2A75D4F3" w:rsidTr="00614196">
        <w:trPr>
          <w:trHeight w:val="661"/>
        </w:trPr>
        <w:tc>
          <w:tcPr>
            <w:tcW w:w="1774" w:type="dxa"/>
            <w:vAlign w:val="center"/>
          </w:tcPr>
          <w:p w14:paraId="6A8F8F02" w14:textId="77777777" w:rsidR="00614196" w:rsidRPr="00614196" w:rsidRDefault="00614196" w:rsidP="00256693">
            <w:pPr>
              <w:rPr>
                <w:sz w:val="24"/>
                <w:szCs w:val="24"/>
              </w:rPr>
            </w:pPr>
            <w:r w:rsidRPr="00614196">
              <w:rPr>
                <w:sz w:val="24"/>
                <w:szCs w:val="24"/>
              </w:rPr>
              <w:t>Exit Stanchion</w:t>
            </w:r>
          </w:p>
        </w:tc>
        <w:tc>
          <w:tcPr>
            <w:tcW w:w="1378" w:type="dxa"/>
            <w:vAlign w:val="center"/>
          </w:tcPr>
          <w:p w14:paraId="206E3B23" w14:textId="77777777" w:rsidR="00614196" w:rsidRPr="00614196" w:rsidRDefault="00614196" w:rsidP="00256693">
            <w:pPr>
              <w:rPr>
                <w:sz w:val="24"/>
                <w:szCs w:val="24"/>
                <w:highlight w:val="green"/>
              </w:rPr>
            </w:pPr>
            <w:r w:rsidRPr="00614196">
              <w:rPr>
                <w:sz w:val="24"/>
                <w:szCs w:val="24"/>
                <w:highlight w:val="green"/>
              </w:rPr>
              <w:t>5</w:t>
            </w:r>
          </w:p>
        </w:tc>
        <w:tc>
          <w:tcPr>
            <w:tcW w:w="1513" w:type="dxa"/>
            <w:vAlign w:val="center"/>
          </w:tcPr>
          <w:p w14:paraId="3FDF6769" w14:textId="77777777" w:rsidR="00614196" w:rsidRPr="00614196" w:rsidRDefault="00614196" w:rsidP="00256693">
            <w:pPr>
              <w:rPr>
                <w:sz w:val="24"/>
                <w:szCs w:val="24"/>
                <w:highlight w:val="green"/>
              </w:rPr>
            </w:pPr>
            <w:r w:rsidRPr="00614196">
              <w:rPr>
                <w:sz w:val="24"/>
                <w:szCs w:val="24"/>
                <w:highlight w:val="green"/>
              </w:rPr>
              <w:t>7</w:t>
            </w:r>
          </w:p>
        </w:tc>
        <w:tc>
          <w:tcPr>
            <w:tcW w:w="1513" w:type="dxa"/>
            <w:vAlign w:val="center"/>
          </w:tcPr>
          <w:p w14:paraId="788EFBBC" w14:textId="77777777" w:rsidR="00614196" w:rsidRPr="00614196" w:rsidRDefault="00614196" w:rsidP="00256693">
            <w:pPr>
              <w:rPr>
                <w:sz w:val="24"/>
                <w:szCs w:val="24"/>
                <w:highlight w:val="green"/>
              </w:rPr>
            </w:pPr>
            <w:r w:rsidRPr="00614196">
              <w:rPr>
                <w:sz w:val="24"/>
                <w:szCs w:val="24"/>
                <w:highlight w:val="green"/>
              </w:rPr>
              <w:t>3</w:t>
            </w:r>
          </w:p>
        </w:tc>
        <w:tc>
          <w:tcPr>
            <w:tcW w:w="1639" w:type="dxa"/>
            <w:vAlign w:val="center"/>
          </w:tcPr>
          <w:p w14:paraId="205C5E46" w14:textId="77777777" w:rsidR="00614196" w:rsidRPr="00614196" w:rsidRDefault="00614196" w:rsidP="00256693">
            <w:pPr>
              <w:rPr>
                <w:sz w:val="24"/>
                <w:szCs w:val="24"/>
                <w:highlight w:val="green"/>
              </w:rPr>
            </w:pPr>
            <w:r w:rsidRPr="00614196">
              <w:rPr>
                <w:sz w:val="24"/>
                <w:szCs w:val="24"/>
                <w:highlight w:val="green"/>
              </w:rPr>
              <w:t>13</w:t>
            </w:r>
          </w:p>
        </w:tc>
        <w:tc>
          <w:tcPr>
            <w:tcW w:w="1533" w:type="dxa"/>
          </w:tcPr>
          <w:p w14:paraId="057738FC" w14:textId="02E84ABB" w:rsidR="00614196" w:rsidRPr="00614196" w:rsidRDefault="00614196" w:rsidP="00256693">
            <w:pPr>
              <w:rPr>
                <w:sz w:val="24"/>
                <w:szCs w:val="24"/>
                <w:highlight w:val="red"/>
              </w:rPr>
            </w:pPr>
            <w:r w:rsidRPr="00614196">
              <w:rPr>
                <w:sz w:val="24"/>
                <w:szCs w:val="24"/>
                <w:highlight w:val="red"/>
              </w:rPr>
              <w:t>169</w:t>
            </w:r>
          </w:p>
        </w:tc>
      </w:tr>
      <w:tr w:rsidR="00614196" w:rsidRPr="00614196" w14:paraId="1B042D10" w14:textId="49D1D2B2" w:rsidTr="00614196">
        <w:trPr>
          <w:trHeight w:val="700"/>
        </w:trPr>
        <w:tc>
          <w:tcPr>
            <w:tcW w:w="1774" w:type="dxa"/>
            <w:vAlign w:val="center"/>
          </w:tcPr>
          <w:p w14:paraId="22933255" w14:textId="77777777" w:rsidR="00614196" w:rsidRPr="00614196" w:rsidRDefault="00614196" w:rsidP="00256693">
            <w:pPr>
              <w:rPr>
                <w:sz w:val="24"/>
                <w:szCs w:val="24"/>
              </w:rPr>
            </w:pPr>
            <w:r w:rsidRPr="00614196">
              <w:rPr>
                <w:sz w:val="24"/>
                <w:szCs w:val="24"/>
              </w:rPr>
              <w:t xml:space="preserve">Hand Hold </w:t>
            </w:r>
          </w:p>
        </w:tc>
        <w:tc>
          <w:tcPr>
            <w:tcW w:w="1378" w:type="dxa"/>
            <w:vAlign w:val="center"/>
          </w:tcPr>
          <w:p w14:paraId="03FE9C9B" w14:textId="77777777" w:rsidR="00614196" w:rsidRPr="00614196" w:rsidRDefault="00614196" w:rsidP="00256693">
            <w:pPr>
              <w:rPr>
                <w:sz w:val="24"/>
                <w:szCs w:val="24"/>
                <w:highlight w:val="green"/>
              </w:rPr>
            </w:pPr>
            <w:r w:rsidRPr="00614196">
              <w:rPr>
                <w:sz w:val="24"/>
                <w:szCs w:val="24"/>
                <w:highlight w:val="green"/>
              </w:rPr>
              <w:t>4</w:t>
            </w:r>
          </w:p>
        </w:tc>
        <w:tc>
          <w:tcPr>
            <w:tcW w:w="1513" w:type="dxa"/>
            <w:vAlign w:val="center"/>
          </w:tcPr>
          <w:p w14:paraId="59CAA2D9" w14:textId="77777777" w:rsidR="00614196" w:rsidRPr="00614196" w:rsidRDefault="00614196" w:rsidP="00256693">
            <w:pPr>
              <w:rPr>
                <w:sz w:val="24"/>
                <w:szCs w:val="24"/>
                <w:highlight w:val="green"/>
              </w:rPr>
            </w:pPr>
            <w:r w:rsidRPr="00614196">
              <w:rPr>
                <w:sz w:val="24"/>
                <w:szCs w:val="24"/>
                <w:highlight w:val="green"/>
              </w:rPr>
              <w:t>9</w:t>
            </w:r>
          </w:p>
        </w:tc>
        <w:tc>
          <w:tcPr>
            <w:tcW w:w="1513" w:type="dxa"/>
            <w:vAlign w:val="center"/>
          </w:tcPr>
          <w:p w14:paraId="4DD6560B" w14:textId="77777777" w:rsidR="00614196" w:rsidRPr="00614196" w:rsidRDefault="00614196" w:rsidP="00256693">
            <w:pPr>
              <w:rPr>
                <w:sz w:val="24"/>
                <w:szCs w:val="24"/>
                <w:highlight w:val="green"/>
              </w:rPr>
            </w:pPr>
            <w:r w:rsidRPr="00614196">
              <w:rPr>
                <w:sz w:val="24"/>
                <w:szCs w:val="24"/>
                <w:highlight w:val="green"/>
              </w:rPr>
              <w:t>2</w:t>
            </w:r>
          </w:p>
        </w:tc>
        <w:tc>
          <w:tcPr>
            <w:tcW w:w="1639" w:type="dxa"/>
            <w:vAlign w:val="center"/>
          </w:tcPr>
          <w:p w14:paraId="32AFBD76" w14:textId="77777777" w:rsidR="00614196" w:rsidRPr="00614196" w:rsidRDefault="00614196" w:rsidP="00256693">
            <w:pPr>
              <w:rPr>
                <w:sz w:val="24"/>
                <w:szCs w:val="24"/>
                <w:highlight w:val="green"/>
              </w:rPr>
            </w:pPr>
            <w:r w:rsidRPr="00614196">
              <w:rPr>
                <w:sz w:val="24"/>
                <w:szCs w:val="24"/>
                <w:highlight w:val="green"/>
              </w:rPr>
              <w:t>10</w:t>
            </w:r>
          </w:p>
        </w:tc>
        <w:tc>
          <w:tcPr>
            <w:tcW w:w="1533" w:type="dxa"/>
          </w:tcPr>
          <w:p w14:paraId="118CC485" w14:textId="01CC380A" w:rsidR="00614196" w:rsidRPr="00614196" w:rsidRDefault="00614196" w:rsidP="00256693">
            <w:pPr>
              <w:rPr>
                <w:sz w:val="24"/>
                <w:szCs w:val="24"/>
                <w:highlight w:val="red"/>
              </w:rPr>
            </w:pPr>
            <w:r w:rsidRPr="00614196">
              <w:rPr>
                <w:sz w:val="24"/>
                <w:szCs w:val="24"/>
                <w:highlight w:val="red"/>
              </w:rPr>
              <w:t>93</w:t>
            </w:r>
          </w:p>
        </w:tc>
      </w:tr>
      <w:tr w:rsidR="00614196" w:rsidRPr="00614196" w14:paraId="77A16958" w14:textId="605BCB3A" w:rsidTr="00614196">
        <w:trPr>
          <w:trHeight w:val="661"/>
        </w:trPr>
        <w:tc>
          <w:tcPr>
            <w:tcW w:w="1774" w:type="dxa"/>
            <w:vAlign w:val="center"/>
          </w:tcPr>
          <w:p w14:paraId="0A418673" w14:textId="77777777" w:rsidR="00614196" w:rsidRPr="00614196" w:rsidRDefault="00614196" w:rsidP="00256693">
            <w:pPr>
              <w:rPr>
                <w:sz w:val="24"/>
                <w:szCs w:val="24"/>
              </w:rPr>
            </w:pPr>
            <w:r w:rsidRPr="00614196">
              <w:rPr>
                <w:sz w:val="24"/>
                <w:szCs w:val="24"/>
              </w:rPr>
              <w:t>Grab Bar</w:t>
            </w:r>
          </w:p>
        </w:tc>
        <w:tc>
          <w:tcPr>
            <w:tcW w:w="1378" w:type="dxa"/>
            <w:vAlign w:val="center"/>
          </w:tcPr>
          <w:p w14:paraId="0ECF8FC5" w14:textId="77777777" w:rsidR="00614196" w:rsidRPr="00614196" w:rsidRDefault="00614196" w:rsidP="00256693">
            <w:pPr>
              <w:rPr>
                <w:sz w:val="24"/>
                <w:szCs w:val="24"/>
                <w:highlight w:val="green"/>
              </w:rPr>
            </w:pPr>
            <w:r w:rsidRPr="00614196">
              <w:rPr>
                <w:sz w:val="24"/>
                <w:szCs w:val="24"/>
                <w:highlight w:val="green"/>
              </w:rPr>
              <w:t>2</w:t>
            </w:r>
          </w:p>
        </w:tc>
        <w:tc>
          <w:tcPr>
            <w:tcW w:w="1513" w:type="dxa"/>
            <w:vAlign w:val="center"/>
          </w:tcPr>
          <w:p w14:paraId="4BCB2F90" w14:textId="77777777" w:rsidR="00614196" w:rsidRPr="00614196" w:rsidRDefault="00614196" w:rsidP="00256693">
            <w:pPr>
              <w:rPr>
                <w:sz w:val="24"/>
                <w:szCs w:val="24"/>
                <w:highlight w:val="green"/>
              </w:rPr>
            </w:pPr>
            <w:r w:rsidRPr="00614196">
              <w:rPr>
                <w:sz w:val="24"/>
                <w:szCs w:val="24"/>
                <w:highlight w:val="green"/>
              </w:rPr>
              <w:t>6</w:t>
            </w:r>
          </w:p>
        </w:tc>
        <w:tc>
          <w:tcPr>
            <w:tcW w:w="1513" w:type="dxa"/>
            <w:vAlign w:val="center"/>
          </w:tcPr>
          <w:p w14:paraId="4CEC8D97" w14:textId="77777777" w:rsidR="00614196" w:rsidRPr="00614196" w:rsidRDefault="00614196" w:rsidP="00256693">
            <w:pPr>
              <w:rPr>
                <w:sz w:val="24"/>
                <w:szCs w:val="24"/>
                <w:highlight w:val="green"/>
              </w:rPr>
            </w:pPr>
            <w:r w:rsidRPr="00614196">
              <w:rPr>
                <w:sz w:val="24"/>
                <w:szCs w:val="24"/>
                <w:highlight w:val="green"/>
              </w:rPr>
              <w:t>7</w:t>
            </w:r>
          </w:p>
        </w:tc>
        <w:tc>
          <w:tcPr>
            <w:tcW w:w="1639" w:type="dxa"/>
            <w:vAlign w:val="center"/>
          </w:tcPr>
          <w:p w14:paraId="2A00B160" w14:textId="77777777" w:rsidR="00614196" w:rsidRPr="00614196" w:rsidRDefault="00614196" w:rsidP="00256693">
            <w:pPr>
              <w:rPr>
                <w:sz w:val="24"/>
                <w:szCs w:val="24"/>
                <w:highlight w:val="green"/>
              </w:rPr>
            </w:pPr>
            <w:r w:rsidRPr="00614196">
              <w:rPr>
                <w:sz w:val="24"/>
                <w:szCs w:val="24"/>
                <w:highlight w:val="green"/>
              </w:rPr>
              <w:t>14</w:t>
            </w:r>
          </w:p>
        </w:tc>
        <w:tc>
          <w:tcPr>
            <w:tcW w:w="1533" w:type="dxa"/>
          </w:tcPr>
          <w:p w14:paraId="3C9050A7" w14:textId="2FE1A283" w:rsidR="00614196" w:rsidRPr="00614196" w:rsidRDefault="00614196" w:rsidP="00256693">
            <w:pPr>
              <w:rPr>
                <w:sz w:val="24"/>
                <w:szCs w:val="24"/>
                <w:highlight w:val="red"/>
              </w:rPr>
            </w:pPr>
            <w:r w:rsidRPr="00614196">
              <w:rPr>
                <w:sz w:val="24"/>
                <w:szCs w:val="24"/>
                <w:highlight w:val="red"/>
              </w:rPr>
              <w:t>145</w:t>
            </w:r>
          </w:p>
        </w:tc>
      </w:tr>
    </w:tbl>
    <w:p w14:paraId="0F4C3F4F" w14:textId="77777777" w:rsidR="00E07938" w:rsidRDefault="00E07938" w:rsidP="00614196">
      <w:pPr>
        <w:rPr>
          <w:sz w:val="24"/>
          <w:szCs w:val="24"/>
        </w:rPr>
      </w:pPr>
    </w:p>
    <w:p w14:paraId="65DA2904" w14:textId="77777777" w:rsidR="00E07938" w:rsidRDefault="00E07938" w:rsidP="00614196">
      <w:pPr>
        <w:rPr>
          <w:sz w:val="24"/>
          <w:szCs w:val="24"/>
        </w:rPr>
      </w:pPr>
    </w:p>
    <w:p w14:paraId="61594796" w14:textId="7B256D2C" w:rsidR="00614196" w:rsidRPr="00932D2E" w:rsidRDefault="009A1DD0" w:rsidP="00932D2E">
      <w:pPr>
        <w:pStyle w:val="Heading2"/>
        <w:rPr>
          <w:rFonts w:asciiTheme="minorHAnsi" w:hAnsiTheme="minorHAnsi" w:cstheme="minorHAnsi"/>
          <w:sz w:val="24"/>
          <w:szCs w:val="24"/>
        </w:rPr>
      </w:pPr>
      <w:r w:rsidRPr="00614196">
        <w:rPr>
          <w:rFonts w:asciiTheme="minorHAnsi" w:hAnsiTheme="minorHAnsi" w:cstheme="minorHAnsi"/>
          <w:sz w:val="24"/>
          <w:szCs w:val="24"/>
        </w:rPr>
        <w:t>Comments</w:t>
      </w:r>
    </w:p>
    <w:p w14:paraId="08FBB9C2" w14:textId="1B22FF39" w:rsidR="00614196" w:rsidRDefault="00614196" w:rsidP="00614196">
      <w:pPr>
        <w:pStyle w:val="ListParagraph"/>
        <w:numPr>
          <w:ilvl w:val="0"/>
          <w:numId w:val="1"/>
        </w:numPr>
        <w:rPr>
          <w:sz w:val="24"/>
          <w:szCs w:val="24"/>
        </w:rPr>
      </w:pPr>
      <w:r>
        <w:rPr>
          <w:sz w:val="24"/>
          <w:szCs w:val="24"/>
        </w:rPr>
        <w:t>All vehicles leaving the Niagara station are leaving well within ATP target range</w:t>
      </w:r>
    </w:p>
    <w:p w14:paraId="6914EFE6" w14:textId="77777777" w:rsidR="00614196" w:rsidRDefault="00614196" w:rsidP="00614196">
      <w:pPr>
        <w:pStyle w:val="ListParagraph"/>
        <w:numPr>
          <w:ilvl w:val="0"/>
          <w:numId w:val="1"/>
        </w:numPr>
        <w:rPr>
          <w:sz w:val="24"/>
          <w:szCs w:val="24"/>
        </w:rPr>
      </w:pPr>
      <w:r>
        <w:rPr>
          <w:sz w:val="24"/>
          <w:szCs w:val="24"/>
        </w:rPr>
        <w:t>Vehicles returning from active service (bus 2678) were also within acceptable limits</w:t>
      </w:r>
    </w:p>
    <w:p w14:paraId="754345D7" w14:textId="3DCECB77" w:rsidR="00614196" w:rsidRDefault="00614196" w:rsidP="00614196">
      <w:pPr>
        <w:pStyle w:val="ListParagraph"/>
        <w:numPr>
          <w:ilvl w:val="0"/>
          <w:numId w:val="1"/>
        </w:numPr>
        <w:rPr>
          <w:sz w:val="24"/>
          <w:szCs w:val="24"/>
        </w:rPr>
      </w:pPr>
      <w:r>
        <w:rPr>
          <w:sz w:val="24"/>
          <w:szCs w:val="24"/>
        </w:rPr>
        <w:t>Both rider and driver are objects of protection, as the steering wheel was elevated, it may make sense to increase cleaning frequency and or retreat with AEGIS.</w:t>
      </w:r>
    </w:p>
    <w:p w14:paraId="28A5F797" w14:textId="0E70A677" w:rsidR="00614196" w:rsidRDefault="00614196" w:rsidP="00614196">
      <w:pPr>
        <w:pStyle w:val="ListParagraph"/>
        <w:numPr>
          <w:ilvl w:val="0"/>
          <w:numId w:val="1"/>
        </w:numPr>
        <w:rPr>
          <w:sz w:val="24"/>
          <w:szCs w:val="24"/>
        </w:rPr>
      </w:pPr>
      <w:r>
        <w:rPr>
          <w:sz w:val="24"/>
          <w:szCs w:val="24"/>
        </w:rPr>
        <w:t>It may make sense for driver jockeys in the facility to wear gloves during movement of vehicles back into “go lane” as even cleaned buses so far have higher levels than other surfaces. It is important to note the higher levels are just slightly above target.</w:t>
      </w:r>
    </w:p>
    <w:p w14:paraId="413CADC4" w14:textId="53A5493B" w:rsidR="00614196" w:rsidRPr="00932D2E" w:rsidRDefault="00614196" w:rsidP="00932D2E">
      <w:pPr>
        <w:pStyle w:val="Heading2"/>
        <w:rPr>
          <w:rFonts w:asciiTheme="minorHAnsi" w:hAnsiTheme="minorHAnsi" w:cstheme="minorHAnsi"/>
          <w:sz w:val="24"/>
          <w:szCs w:val="24"/>
        </w:rPr>
      </w:pPr>
      <w:r w:rsidRPr="00932D2E">
        <w:rPr>
          <w:rFonts w:asciiTheme="minorHAnsi" w:hAnsiTheme="minorHAnsi" w:cstheme="minorHAnsi"/>
          <w:sz w:val="24"/>
          <w:szCs w:val="24"/>
        </w:rPr>
        <w:t>Conclusions</w:t>
      </w:r>
    </w:p>
    <w:p w14:paraId="06F74111" w14:textId="334203D1" w:rsidR="00614196" w:rsidRPr="00614196" w:rsidRDefault="00614196" w:rsidP="00614196">
      <w:pPr>
        <w:rPr>
          <w:sz w:val="24"/>
          <w:szCs w:val="24"/>
        </w:rPr>
      </w:pPr>
      <w:r>
        <w:rPr>
          <w:sz w:val="24"/>
          <w:szCs w:val="24"/>
        </w:rPr>
        <w:t>At six months post application AEGIS microbe shield is performing as expected as measured by ATP measurement.</w:t>
      </w:r>
    </w:p>
    <w:p w14:paraId="711E44C2" w14:textId="77777777" w:rsidR="00E017BC" w:rsidRPr="00435810" w:rsidRDefault="00E017BC" w:rsidP="00E017BC">
      <w:pPr>
        <w:pStyle w:val="Default"/>
        <w:pageBreakBefore/>
        <w:rPr>
          <w:rFonts w:asciiTheme="minorHAnsi" w:hAnsiTheme="minorHAnsi" w:cstheme="minorHAnsi"/>
        </w:rPr>
      </w:pPr>
    </w:p>
    <w:sectPr w:rsidR="00E017BC" w:rsidRPr="00435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11A1C"/>
    <w:multiLevelType w:val="hybridMultilevel"/>
    <w:tmpl w:val="C33E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69"/>
    <w:rsid w:val="003F30D7"/>
    <w:rsid w:val="00492374"/>
    <w:rsid w:val="00526C56"/>
    <w:rsid w:val="005E6397"/>
    <w:rsid w:val="00614196"/>
    <w:rsid w:val="00735487"/>
    <w:rsid w:val="00870A4F"/>
    <w:rsid w:val="00881607"/>
    <w:rsid w:val="008F386B"/>
    <w:rsid w:val="00932D2E"/>
    <w:rsid w:val="00934169"/>
    <w:rsid w:val="00957EF9"/>
    <w:rsid w:val="009A1DD0"/>
    <w:rsid w:val="00CF63D2"/>
    <w:rsid w:val="00E017BC"/>
    <w:rsid w:val="00E07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BCFB"/>
  <w15:chartTrackingRefBased/>
  <w15:docId w15:val="{8DB3486B-264D-4C35-AA26-2BDC8AD2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7B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7B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17BC"/>
    <w:rPr>
      <w:rFonts w:asciiTheme="majorHAnsi" w:eastAsiaTheme="majorEastAsia" w:hAnsiTheme="majorHAnsi" w:cstheme="majorBidi"/>
      <w:color w:val="2F5496" w:themeColor="accent1" w:themeShade="BF"/>
      <w:sz w:val="26"/>
      <w:szCs w:val="26"/>
    </w:rPr>
  </w:style>
  <w:style w:type="paragraph" w:customStyle="1" w:styleId="Default">
    <w:name w:val="Default"/>
    <w:rsid w:val="00E017B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rsid w:val="00E017BC"/>
    <w:pPr>
      <w:spacing w:beforeLines="1" w:afterLines="1" w:after="0" w:line="240" w:lineRule="auto"/>
    </w:pPr>
    <w:rPr>
      <w:rFonts w:ascii="Times" w:eastAsia="Times New Roman" w:hAnsi="Times" w:cs="Times New Roman"/>
      <w:sz w:val="20"/>
      <w:szCs w:val="20"/>
      <w:lang w:val="en-US"/>
    </w:rPr>
  </w:style>
  <w:style w:type="paragraph" w:styleId="BalloonText">
    <w:name w:val="Balloon Text"/>
    <w:basedOn w:val="Normal"/>
    <w:link w:val="BalloonTextChar"/>
    <w:uiPriority w:val="99"/>
    <w:semiHidden/>
    <w:unhideWhenUsed/>
    <w:rsid w:val="009A1D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DD0"/>
    <w:rPr>
      <w:rFonts w:ascii="Times New Roman" w:hAnsi="Times New Roman" w:cs="Times New Roman"/>
      <w:sz w:val="18"/>
      <w:szCs w:val="18"/>
    </w:rPr>
  </w:style>
  <w:style w:type="paragraph" w:styleId="ListParagraph">
    <w:name w:val="List Paragraph"/>
    <w:basedOn w:val="Normal"/>
    <w:uiPriority w:val="34"/>
    <w:qFormat/>
    <w:rsid w:val="0061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135172">
      <w:bodyDiv w:val="1"/>
      <w:marLeft w:val="0"/>
      <w:marRight w:val="0"/>
      <w:marTop w:val="0"/>
      <w:marBottom w:val="0"/>
      <w:divBdr>
        <w:top w:val="none" w:sz="0" w:space="0" w:color="auto"/>
        <w:left w:val="none" w:sz="0" w:space="0" w:color="auto"/>
        <w:bottom w:val="none" w:sz="0" w:space="0" w:color="auto"/>
        <w:right w:val="none" w:sz="0" w:space="0" w:color="auto"/>
      </w:divBdr>
    </w:div>
    <w:div w:id="16534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Crease</dc:creator>
  <cp:keywords/>
  <dc:description/>
  <cp:lastModifiedBy>lentwall</cp:lastModifiedBy>
  <cp:revision>2</cp:revision>
  <cp:lastPrinted>2020-09-11T18:38:00Z</cp:lastPrinted>
  <dcterms:created xsi:type="dcterms:W3CDTF">2020-09-14T13:17:00Z</dcterms:created>
  <dcterms:modified xsi:type="dcterms:W3CDTF">2020-09-14T13:17:00Z</dcterms:modified>
</cp:coreProperties>
</file>