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72"/>
          <w:szCs w:val="72"/>
        </w:rPr>
        <w:t xml:space="preserve">BUNGE OPS</w:t>
      </w:r>
    </w:p>
    <w:p>
      <w:pPr>
        <w:spacing w:after="100"/>
        <w:jc w:val="center"/>
      </w:pPr>
      <w:r>
        <w:rPr>
          <w:rFonts w:ascii="Arial" w:cs="Arial" w:eastAsia="Arial" w:hAnsi="Arial"/>
          <w:sz w:val="36"/>
          <w:szCs w:val="36"/>
        </w:rPr>
        <w:t xml:space="preserve">Integrated Commodity Operations Platform</w:t>
      </w:r>
    </w:p>
    <w:p>
      <w:pPr>
        <w:spacing w:after="600"/>
        <w:jc w:val="center"/>
      </w:pPr>
      <w:r>
        <w:rPr>
          <w:rFonts w:ascii="Arial" w:cs="Arial" w:eastAsia="Arial" w:hAnsi="Arial"/>
          <w:i/>
          <w:iCs/>
          <w:sz w:val="28"/>
          <w:szCs w:val="28"/>
        </w:rPr>
        <w:t xml:space="preserve">System Architecture &amp; Technical Specification</w:t>
      </w:r>
    </w:p>
    <w:p>
      <w:pPr>
        <w:spacing w:before="1200"/>
      </w:pPr>
    </w:p>
    <w:p>
      <w:pPr>
        <w:spacing w:after="200"/>
        <w:jc w:val="center"/>
      </w:pPr>
      <w:r>
        <w:rPr>
          <w:rFonts w:ascii="Arial" w:cs="Arial" w:eastAsia="Arial" w:hAnsi="Arial"/>
          <w:b/>
          <w:bCs/>
          <w:color w:val="990000"/>
          <w:sz w:val="28"/>
          <w:szCs w:val="28"/>
        </w:rPr>
        <w:t xml:space="preserve">CONFIDENTIAL</w:t>
      </w:r>
    </w:p>
    <w:p>
      <w:pPr>
        <w:spacing w:after="200"/>
        <w:jc w:val="center"/>
      </w:pPr>
      <w:r>
        <w:rPr>
          <w:rFonts w:ascii="Arial" w:cs="Arial" w:eastAsia="Arial" w:hAnsi="Arial"/>
          <w:i/>
          <w:iCs/>
          <w:sz w:val="22"/>
          <w:szCs w:val="22"/>
        </w:rPr>
        <w:t xml:space="preserve">For Internal Discussion Only</w:t>
      </w:r>
    </w:p>
    <w:p>
      <w:pPr>
        <w:spacing w:before="800"/>
      </w:pPr>
    </w:p>
    <w:p>
      <w:pPr>
        <w:jc w:val="center"/>
      </w:pPr>
      <w:r>
        <w:rPr>
          <w:rFonts w:ascii="Arial" w:cs="Arial" w:eastAsia="Arial" w:hAnsi="Arial"/>
          <w:sz w:val="24"/>
          <w:szCs w:val="24"/>
        </w:rPr>
        <w:t xml:space="preserve">February 2026</w:t>
      </w:r>
    </w:p>
    <w:p>
      <w:pPr>
        <w:sectPr>
          <w:pgSz w:w="12240" w:h="15840" w:orient="portrait"/>
          <w:pgMar w:top="1440" w:right="1440" w:bottom="1440" w:left="1440" w:header="708" w:footer="708" w:gutter="0"/>
          <w:pgNumType/>
          <w:docGrid w:linePitch="360"/>
        </w:sectPr>
      </w:pPr>
    </w:p>
    <w:p>
      <w:pPr>
        <w:spacing w:after="300"/>
        <w:jc w:val="left"/>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Executive Summary</w:t>
      </w:r>
    </w:p>
    <w:p>
      <w:pPr>
        <w:spacing w:after="160"/>
        <w:jc w:val="both"/>
      </w:pPr>
      <w:r>
        <w:rPr>
          <w:rFonts w:ascii="Arial" w:cs="Arial" w:eastAsia="Arial" w:hAnsi="Arial"/>
          <w:b w:val="false"/>
          <w:bCs w:val="false"/>
          <w:i w:val="false"/>
          <w:iCs w:val="false"/>
          <w:sz w:val="22"/>
          <w:szCs w:val="22"/>
        </w:rPr>
        <w:t xml:space="preserve">This document presents the system architecture for Bunge Ops, an integrated commodity operations platform designed to address three structural deficiencies in current commodity trading operations: the absence of formal logistics optimization, the fragility of manually-constructed risk positions and P&amp;L, and the disconnect between market research and the firm's actual exposure profile.</w:t>
      </w:r>
    </w:p>
    <w:p>
      <w:pPr>
        <w:spacing w:after="160"/>
        <w:jc w:val="both"/>
      </w:pPr>
      <w:r>
        <w:rPr>
          <w:rFonts w:ascii="Arial" w:cs="Arial" w:eastAsia="Arial" w:hAnsi="Arial"/>
          <w:b w:val="false"/>
          <w:bCs w:val="false"/>
          <w:i w:val="false"/>
          <w:iCs w:val="false"/>
          <w:sz w:val="22"/>
          <w:szCs w:val="22"/>
        </w:rPr>
        <w:t xml:space="preserve">The platform is built on one non-negotiable principle: humans declare economic and physical events; the system derives everything else. Positions are never entered. P&amp;L is never manually constructed. Risk exposure is never adjusted by hand. Every number in the system is a deterministic, reproducible, auditable function of the underlying event ledger. If two analysts query the same position at the same time with the same parameters, they receive the same answer. There is no reconciliation problem because there is only one source of truth.</w:t>
      </w:r>
    </w:p>
    <w:p>
      <w:pPr>
        <w:spacing w:after="160"/>
        <w:jc w:val="both"/>
      </w:pPr>
      <w:r>
        <w:rPr>
          <w:rFonts w:ascii="Arial" w:cs="Arial" w:eastAsia="Arial" w:hAnsi="Arial"/>
          <w:b w:val="false"/>
          <w:bCs w:val="false"/>
          <w:i w:val="false"/>
          <w:iCs w:val="false"/>
          <w:sz w:val="22"/>
          <w:szCs w:val="22"/>
        </w:rPr>
        <w:t xml:space="preserve">The commercial rationale is equally fundamental. In commodity trading, the firm does not control price. Margins are structurally thin. The only durable competitive advantage lies in operational execution, specifically in logistics, where the difference between optimal and sub-optimal allocation of physical inventory to contractual commitments can represent tens of millions of dollars per year. This platform replaces heuristic, spreadsheet-based allocation decisions with formal mathematical optimization, quantifying the cost of every deviation from the optimal plan.</w:t>
      </w:r>
    </w:p>
    <w:p>
      <w:pPr>
        <w:spacing w:after="160"/>
        <w:jc w:val="both"/>
      </w:pPr>
      <w:r>
        <w:rPr>
          <w:rFonts w:ascii="Arial" w:cs="Arial" w:eastAsia="Arial" w:hAnsi="Arial"/>
          <w:b w:val="false"/>
          <w:bCs w:val="false"/>
          <w:i w:val="false"/>
          <w:iCs w:val="false"/>
          <w:sz w:val="22"/>
          <w:szCs w:val="22"/>
        </w:rPr>
        <w:t xml:space="preserve">The platform replaces the current patchwork of Excel workbooks, fragmented ETRM modules, and manual reconciliation processes with a single, integrated system that spans from event capture through risk computation, logistics optimization, and decision intelligence.</w:t>
      </w:r>
    </w:p>
    <w:p>
      <w:r>
        <w:br w:type="page"/>
      </w:r>
    </w:p>
    <w:p>
      <w:pPr>
        <w:pStyle w:val="Heading1"/>
        <w:spacing w:before="360" w:after="200"/>
      </w:pPr>
      <w:r>
        <w:rPr>
          <w:rFonts w:ascii="Arial" w:cs="Arial" w:eastAsia="Arial" w:hAnsi="Arial"/>
          <w:b/>
          <w:bCs/>
          <w:sz w:val="32"/>
          <w:szCs w:val="32"/>
        </w:rPr>
        <w:t xml:space="preserve">2. System Architecture</w:t>
      </w:r>
    </w:p>
    <w:p>
      <w:pPr>
        <w:spacing w:after="160"/>
        <w:jc w:val="both"/>
      </w:pPr>
      <w:r>
        <w:rPr>
          <w:rFonts w:ascii="Arial" w:cs="Arial" w:eastAsia="Arial" w:hAnsi="Arial"/>
          <w:b w:val="false"/>
          <w:bCs w:val="false"/>
          <w:i w:val="false"/>
          <w:iCs w:val="false"/>
          <w:sz w:val="22"/>
          <w:szCs w:val="22"/>
        </w:rPr>
        <w:t xml:space="preserve">The platform is organized into four layers, each with well-defined inputs, outputs, and responsibilities. The layers are coupled by data contracts, not by shared state.</w:t>
      </w:r>
    </w:p>
    <w:p>
      <w:pPr>
        <w:pStyle w:val="Heading2"/>
        <w:spacing w:before="280" w:after="160"/>
      </w:pPr>
      <w:r>
        <w:rPr>
          <w:rFonts w:ascii="Arial" w:cs="Arial" w:eastAsia="Arial" w:hAnsi="Arial"/>
          <w:b/>
          <w:bCs/>
          <w:sz w:val="28"/>
          <w:szCs w:val="28"/>
        </w:rPr>
        <w:t xml:space="preserve">2.1 Layer 1: Event Ledger</w:t>
      </w:r>
    </w:p>
    <w:p>
      <w:pPr>
        <w:spacing w:after="160"/>
        <w:jc w:val="both"/>
      </w:pPr>
      <w:r>
        <w:rPr>
          <w:rFonts w:ascii="Arial" w:cs="Arial" w:eastAsia="Arial" w:hAnsi="Arial"/>
          <w:b w:val="false"/>
          <w:bCs w:val="false"/>
          <w:i w:val="false"/>
          <w:iCs w:val="false"/>
          <w:sz w:val="22"/>
          <w:szCs w:val="22"/>
        </w:rPr>
        <w:t xml:space="preserve">The foundational data store. An immutable, append-only ledger of all economic and physical events. Every purchase, sale, hedge, shipment, storage movement, and financial instrument execution is recorded as a structured, timestamped, validated event. This layer enforces data integrity, prevents ambiguity, and provides the single source of truth for all downstream computation.</w:t>
      </w:r>
    </w:p>
    <w:p>
      <w:pPr>
        <w:pStyle w:val="Heading2"/>
        <w:spacing w:before="280" w:after="160"/>
      </w:pPr>
      <w:r>
        <w:rPr>
          <w:rFonts w:ascii="Arial" w:cs="Arial" w:eastAsia="Arial" w:hAnsi="Arial"/>
          <w:b/>
          <w:bCs/>
          <w:sz w:val="28"/>
          <w:szCs w:val="28"/>
        </w:rPr>
        <w:t xml:space="preserve">2.2 Layer 2: Risk &amp; Position Engine</w:t>
      </w:r>
    </w:p>
    <w:p>
      <w:pPr>
        <w:spacing w:after="160"/>
        <w:jc w:val="both"/>
      </w:pPr>
      <w:r>
        <w:rPr>
          <w:rFonts w:ascii="Arial" w:cs="Arial" w:eastAsia="Arial" w:hAnsi="Arial"/>
          <w:b w:val="false"/>
          <w:bCs w:val="false"/>
          <w:i w:val="false"/>
          <w:iCs w:val="false"/>
          <w:sz w:val="22"/>
          <w:szCs w:val="22"/>
        </w:rPr>
        <w:t xml:space="preserve">A pure computation layer. It reads from the Event Ledger and produces positions, exposures, and P&amp;L attribution as mathematical functions of the recorded events. It has no state of its own; its outputs are entirely determined by the events. If you replay the events, you get the same positions. This layer supports decomposition by country, product, book, trader, and time bucket, and attributes P&amp;L across price, basis, timing, FX, and logistics dimensions.</w:t>
      </w:r>
    </w:p>
    <w:p>
      <w:pPr>
        <w:pStyle w:val="Heading2"/>
        <w:spacing w:before="280" w:after="160"/>
      </w:pPr>
      <w:r>
        <w:rPr>
          <w:rFonts w:ascii="Arial" w:cs="Arial" w:eastAsia="Arial" w:hAnsi="Arial"/>
          <w:b/>
          <w:bCs/>
          <w:sz w:val="28"/>
          <w:szCs w:val="28"/>
        </w:rPr>
        <w:t xml:space="preserve">2.3 Layer 3: Logistics Optimization Engine</w:t>
      </w:r>
    </w:p>
    <w:p>
      <w:pPr>
        <w:spacing w:after="160"/>
        <w:jc w:val="both"/>
      </w:pPr>
      <w:r>
        <w:rPr>
          <w:rFonts w:ascii="Arial" w:cs="Arial" w:eastAsia="Arial" w:hAnsi="Arial"/>
          <w:b w:val="false"/>
          <w:bCs w:val="false"/>
          <w:i w:val="false"/>
          <w:iCs w:val="false"/>
          <w:sz w:val="22"/>
          <w:szCs w:val="22"/>
        </w:rPr>
        <w:t xml:space="preserve">A formal operations research module. It reads current inventory, storage capacities, contractual commitments, transport constraints, and expected margins, then solves a mixed-integer linear program (MILP) to determine the optimal allocation of physical inventory to contracts. It outputs not only the recommended allocation but also shadow prices (the marginal cost of each binding constraint) and the explicit dollar cost of deviating from the optimal plan.</w:t>
      </w:r>
    </w:p>
    <w:p>
      <w:pPr>
        <w:pStyle w:val="Heading2"/>
        <w:spacing w:before="280" w:after="160"/>
      </w:pPr>
      <w:r>
        <w:rPr>
          <w:rFonts w:ascii="Arial" w:cs="Arial" w:eastAsia="Arial" w:hAnsi="Arial"/>
          <w:b/>
          <w:bCs/>
          <w:sz w:val="28"/>
          <w:szCs w:val="28"/>
        </w:rPr>
        <w:t xml:space="preserve">2.4 Layer 4: Research &amp; Decision Intelligence</w:t>
      </w:r>
    </w:p>
    <w:p>
      <w:pPr>
        <w:spacing w:after="160"/>
        <w:jc w:val="both"/>
      </w:pPr>
      <w:r>
        <w:rPr>
          <w:rFonts w:ascii="Arial" w:cs="Arial" w:eastAsia="Arial" w:hAnsi="Arial"/>
          <w:b w:val="false"/>
          <w:bCs w:val="false"/>
          <w:i w:val="false"/>
          <w:iCs w:val="false"/>
          <w:sz w:val="22"/>
          <w:szCs w:val="22"/>
        </w:rPr>
        <w:t xml:space="preserve">A contextual analytics layer. Unlike generic research platforms, this layer knows the firm's actual positions, committed logistics, and exposure profile. It integrates external data (weather, policy, freight rates, global stocks, macro indicators) and produces scenario analyses, stress tests, and risk concentration alerts that are directly relevant to the firm's current state. It is advisory only: it informs decisions but does not execute them.</w:t>
      </w:r>
    </w:p>
    <w:p>
      <w:pPr>
        <w:pStyle w:val="Heading2"/>
        <w:spacing w:before="280" w:after="160"/>
      </w:pPr>
      <w:r>
        <w:rPr>
          <w:rFonts w:ascii="Arial" w:cs="Arial" w:eastAsia="Arial" w:hAnsi="Arial"/>
          <w:b/>
          <w:bCs/>
          <w:sz w:val="28"/>
          <w:szCs w:val="28"/>
        </w:rPr>
        <w:t xml:space="preserve">2.5 Data Flow</w:t>
      </w:r>
    </w:p>
    <w:p>
      <w:pPr>
        <w:spacing w:after="160"/>
        <w:jc w:val="both"/>
      </w:pPr>
      <w:r>
        <w:rPr>
          <w:rFonts w:ascii="Arial" w:cs="Arial" w:eastAsia="Arial" w:hAnsi="Arial"/>
          <w:b w:val="false"/>
          <w:bCs w:val="false"/>
          <w:i w:val="false"/>
          <w:iCs w:val="false"/>
          <w:sz w:val="22"/>
          <w:szCs w:val="22"/>
        </w:rPr>
        <w:t xml:space="preserve">The data flow is strictly unidirectional. Events enter Layer 1. Layer 2 reads Layer 1 and computes positions. Layer 3 reads Layers 1 and 2 and computes logistics allocations. Layer 4 reads all three layers and external data sources. No downstream layer writes back to an upstream layer. This ensures that the event ledger remains the sole source of truth and that all derived quantities are reproducible.</w:t>
      </w:r>
    </w:p>
    <w:p>
      <w:r>
        <w:br w:type="page"/>
      </w:r>
    </w:p>
    <w:p>
      <w:pPr>
        <w:pStyle w:val="Heading1"/>
        <w:spacing w:before="360" w:after="200"/>
      </w:pPr>
      <w:r>
        <w:rPr>
          <w:rFonts w:ascii="Arial" w:cs="Arial" w:eastAsia="Arial" w:hAnsi="Arial"/>
          <w:b/>
          <w:bCs/>
          <w:sz w:val="32"/>
          <w:szCs w:val="32"/>
        </w:rPr>
        <w:t xml:space="preserve">3. Event-Driven Core</w:t>
      </w:r>
    </w:p>
    <w:p>
      <w:pPr>
        <w:pStyle w:val="Heading2"/>
        <w:spacing w:before="280" w:after="160"/>
      </w:pPr>
      <w:r>
        <w:rPr>
          <w:rFonts w:ascii="Arial" w:cs="Arial" w:eastAsia="Arial" w:hAnsi="Arial"/>
          <w:b/>
          <w:bCs/>
          <w:sz w:val="28"/>
          <w:szCs w:val="28"/>
        </w:rPr>
        <w:t xml:space="preserve">3.1 Event Ledger Design</w:t>
      </w:r>
    </w:p>
    <w:p>
      <w:pPr>
        <w:spacing w:after="160"/>
        <w:jc w:val="both"/>
      </w:pPr>
      <w:r>
        <w:rPr>
          <w:rFonts w:ascii="Arial" w:cs="Arial" w:eastAsia="Arial" w:hAnsi="Arial"/>
          <w:b w:val="false"/>
          <w:bCs w:val="false"/>
          <w:i w:val="false"/>
          <w:iCs w:val="false"/>
          <w:sz w:val="22"/>
          <w:szCs w:val="22"/>
        </w:rPr>
        <w:t xml:space="preserve">The Event Ledger is an immutable, append-only data store. Once an event is confirmed, it cannot be modified or deleted. Corrections are handled by issuing a new event that references the original via a parent_event_id field. This amendment-via-new-event pattern ensures a complete audit trail: the original event, the correction, the user who made the correction, and the timestamp are all preserved.</w:t>
      </w:r>
    </w:p>
    <w:p>
      <w:pPr>
        <w:spacing w:after="160"/>
        <w:jc w:val="both"/>
      </w:pPr>
      <w:r>
        <w:rPr>
          <w:rFonts w:ascii="Arial" w:cs="Arial" w:eastAsia="Arial" w:hAnsi="Arial"/>
          <w:b w:val="false"/>
          <w:bCs w:val="false"/>
          <w:i w:val="false"/>
          <w:iCs w:val="false"/>
          <w:sz w:val="22"/>
          <w:szCs w:val="22"/>
        </w:rPr>
        <w:t xml:space="preserve">Events represent economic and physical facts: a purchase was made, a truck arrived, a futures contract was executed, a basis was fixed. They do not represent derived quantities like positions or P&amp;L. This distinction is the architectural foundation of the entire platform.</w:t>
      </w:r>
    </w:p>
    <w:p>
      <w:pPr>
        <w:spacing w:after="160"/>
        <w:jc w:val="both"/>
      </w:pPr>
      <w:r>
        <w:rPr>
          <w:rFonts w:ascii="Arial" w:cs="Arial" w:eastAsia="Arial" w:hAnsi="Arial"/>
          <w:b w:val="false"/>
          <w:bCs w:val="false"/>
          <w:i w:val="false"/>
          <w:iCs w:val="false"/>
          <w:sz w:val="22"/>
          <w:szCs w:val="22"/>
        </w:rPr>
        <w:t xml:space="preserve">The ledger supports the following event types: Physical Purchase, Physical Sale, Internal Transfer, Truck Arrival, Storage Allocation, Hedge (Futures/Options), Basis Trade, Fixing, Freight Booking, FX Exposure, and Inventory Movement. Each event type has a specific set of mandatory and conditional fields, enforced by schema validation at the point of entry.</w:t>
      </w:r>
    </w:p>
    <w:p>
      <w:pPr>
        <w:pStyle w:val="Heading2"/>
        <w:spacing w:before="280" w:after="160"/>
      </w:pPr>
      <w:r>
        <w:rPr>
          <w:rFonts w:ascii="Arial" w:cs="Arial" w:eastAsia="Arial" w:hAnsi="Arial"/>
          <w:b/>
          <w:bCs/>
          <w:sz w:val="28"/>
          <w:szCs w:val="28"/>
        </w:rPr>
        <w:t xml:space="preserve">3.2 Event Schema</w:t>
      </w:r>
    </w:p>
    <w:p>
      <w:pPr>
        <w:spacing w:after="160"/>
        <w:jc w:val="both"/>
      </w:pPr>
      <w:r>
        <w:rPr>
          <w:rFonts w:ascii="Arial" w:cs="Arial" w:eastAsia="Arial" w:hAnsi="Arial"/>
          <w:b w:val="false"/>
          <w:bCs w:val="false"/>
          <w:i w:val="false"/>
          <w:iCs w:val="false"/>
          <w:sz w:val="22"/>
          <w:szCs w:val="22"/>
        </w:rPr>
        <w:t xml:space="preserve">Every event conforms to the following canonical schema. Fields marked as mandatory must be populated for every event; conditional fields are required depending on event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Field</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Type</w:t>
            </w:r>
          </w:p>
        </w:tc>
        <w:tc>
          <w:tcPr>
            <w:tcW w:type="dxa" w:w="4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event_id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UUID, auto-generated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Globally unique identifier for the event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event_type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of: PHYSICAL_PURCHASE, PHYSICAL_SALE, INTERNAL_TRANSFER, TRUCK_ARRIVAL, STORAGE_ALLOCATION, HEDGE_FUTURES, HEDGE_OPTIONS, BASIS_TRADE, FIXING, FREIGHT_BOOKING, FX_EXPOSURE, INVENTORY_MOVEMENT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ISO 8601, auto-generated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time at which the event was recorded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effective_date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Business date on which the event takes economic effect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counterparty_id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mandatory for trades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Identifier of the counterparty (internal or external)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commodity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Standardized commodity code (e.g., SOYBEAN, CORN, WHEAT)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origin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mandatory for physical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Country/region of origin (e.g., AR_UPRIVER, BR_SANTOS, US_GULF)</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quality_spec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Structured object, mandatory for physical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Quality parameters (protein, moisture, foreign matter, etc.)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quantity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Decimal + unit,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Quantity with explicit unit (MT, BU, etc.)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price_type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FIXED / BASIS / UNPRICED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How the price is determined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price_value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Decimal, conditional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Fixed price if price_type = FIXED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reference_contract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String, conditional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Futures reference month (e.g., CBOT ZS May26)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basis_value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Decimal, conditional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Basis differential if price_type = BASIS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delivery_window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 range, mandatory for physical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Contractual delivery period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location_id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Storage or delivery location identifier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Trading book (e.g., AR_ORIGINATION, GLOBAL_TRADING, BR_EXPORT)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trader_id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mandatory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Identifier of the responsible trader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Enum: DRAFT / CONFIRMED / CANCELLED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Lifecycle status of the event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parent_event_id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UUID, nullable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to amended event (null for originals)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created_by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auto</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User or system that created the event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system_state_hash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SHA-256, auto</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Cryptographic hash of system state at event creation</w:t>
            </w:r>
          </w:p>
        </w:tc>
      </w:tr>
    </w:tbl>
    <w:p>
      <w:pPr>
        <w:spacing w:after="200"/>
      </w:pPr>
    </w:p>
    <w:p>
      <w:pPr>
        <w:pStyle w:val="Heading2"/>
        <w:spacing w:before="280" w:after="160"/>
      </w:pPr>
      <w:r>
        <w:rPr>
          <w:rFonts w:ascii="Arial" w:cs="Arial" w:eastAsia="Arial" w:hAnsi="Arial"/>
          <w:b/>
          <w:bCs/>
          <w:sz w:val="28"/>
          <w:szCs w:val="28"/>
        </w:rPr>
        <w:t xml:space="preserve">3.3 Validation Rules</w:t>
      </w:r>
    </w:p>
    <w:p>
      <w:pPr>
        <w:spacing w:after="160"/>
        <w:jc w:val="both"/>
      </w:pPr>
      <w:r>
        <w:rPr>
          <w:rFonts w:ascii="Arial" w:cs="Arial" w:eastAsia="Arial" w:hAnsi="Arial"/>
          <w:b w:val="false"/>
          <w:bCs w:val="false"/>
          <w:i w:val="false"/>
          <w:iCs w:val="false"/>
          <w:sz w:val="22"/>
          <w:szCs w:val="22"/>
        </w:rPr>
        <w:t xml:space="preserve">The system enforces three categories of validation at the point of event entry.</w:t>
      </w:r>
    </w:p>
    <w:p>
      <w:pPr>
        <w:spacing w:after="160"/>
        <w:jc w:val="both"/>
      </w:pPr>
      <w:r>
        <w:rPr>
          <w:rFonts w:ascii="Arial" w:cs="Arial" w:eastAsia="Arial" w:hAnsi="Arial"/>
          <w:b/>
          <w:bCs/>
          <w:sz w:val="22"/>
          <w:szCs w:val="22"/>
        </w:rPr>
        <w:t xml:space="preserve">Structural validation: </w:t>
      </w:r>
      <w:r>
        <w:rPr>
          <w:rFonts w:ascii="Arial" w:cs="Arial" w:eastAsia="Arial" w:hAnsi="Arial"/>
          <w:sz w:val="22"/>
          <w:szCs w:val="22"/>
        </w:rPr>
        <w:t xml:space="preserve">All mandatory fields must be populated. Enum fields accept only predefined values. Quantities must be positive. Dates must be valid. Conditional fields must be present when their triggering condition is met (e.g., price_value is required when price_type = FIXED).</w:t>
      </w:r>
    </w:p>
    <w:p>
      <w:pPr>
        <w:spacing w:after="160"/>
        <w:jc w:val="both"/>
      </w:pPr>
      <w:r>
        <w:rPr>
          <w:rFonts w:ascii="Arial" w:cs="Arial" w:eastAsia="Arial" w:hAnsi="Arial"/>
          <w:b/>
          <w:bCs/>
          <w:sz w:val="22"/>
          <w:szCs w:val="22"/>
        </w:rPr>
        <w:t xml:space="preserve">Cross-field validation: </w:t>
      </w:r>
      <w:r>
        <w:rPr>
          <w:rFonts w:ascii="Arial" w:cs="Arial" w:eastAsia="Arial" w:hAnsi="Arial"/>
          <w:sz w:val="22"/>
          <w:szCs w:val="22"/>
        </w:rPr>
        <w:t xml:space="preserve">Delivery windows must not precede effective dates. Basis trades require a reference contract. Physical events require origin and quality specification. Hedge quantities must be expressible in the same unit as the underlying physical position.</w:t>
      </w:r>
    </w:p>
    <w:p>
      <w:pPr>
        <w:spacing w:after="160"/>
        <w:jc w:val="both"/>
      </w:pPr>
      <w:r>
        <w:rPr>
          <w:rFonts w:ascii="Arial" w:cs="Arial" w:eastAsia="Arial" w:hAnsi="Arial"/>
          <w:b/>
          <w:bCs/>
          <w:sz w:val="22"/>
          <w:szCs w:val="22"/>
        </w:rPr>
        <w:t xml:space="preserve">Business rule validation: </w:t>
      </w:r>
      <w:r>
        <w:rPr>
          <w:rFonts w:ascii="Arial" w:cs="Arial" w:eastAsia="Arial" w:hAnsi="Arial"/>
          <w:sz w:val="22"/>
          <w:szCs w:val="22"/>
        </w:rPr>
        <w:t xml:space="preserve">The system flags events that would create economically implausible states. For example, selling from a location where the book has no inventory generates a warning (not a block, since pre-sales are legitimate, but the trader must acknowledge the resulting short position). Internal transfers require matching events on both the sending and receiving books.</w:t>
      </w:r>
    </w:p>
    <w:p>
      <w:pPr>
        <w:pStyle w:val="Heading2"/>
        <w:spacing w:before="280" w:after="160"/>
      </w:pPr>
      <w:r>
        <w:rPr>
          <w:rFonts w:ascii="Arial" w:cs="Arial" w:eastAsia="Arial" w:hAnsi="Arial"/>
          <w:b/>
          <w:bCs/>
          <w:sz w:val="28"/>
          <w:szCs w:val="28"/>
        </w:rPr>
        <w:t xml:space="preserve">3.4 Ambiguity Prevention</w:t>
      </w:r>
    </w:p>
    <w:p>
      <w:pPr>
        <w:spacing w:after="160"/>
        <w:jc w:val="both"/>
      </w:pPr>
      <w:r>
        <w:rPr>
          <w:rFonts w:ascii="Arial" w:cs="Arial" w:eastAsia="Arial" w:hAnsi="Arial"/>
          <w:b w:val="false"/>
          <w:bCs w:val="false"/>
          <w:i w:val="false"/>
          <w:iCs w:val="false"/>
          <w:sz w:val="22"/>
          <w:szCs w:val="22"/>
        </w:rPr>
        <w:t xml:space="preserve">The system eliminates ambiguity by design. All critical dimensions (commodity, origin, location, book, counterparty) are selected from controlled vocabularies, not typed as free text. There is no field where a trader can type a commodity name or invent a location code. New entries in controlled vocabularies require administrative approval.</w:t>
      </w:r>
    </w:p>
    <w:p>
      <w:pPr>
        <w:spacing w:after="160"/>
        <w:jc w:val="both"/>
      </w:pPr>
      <w:r>
        <w:rPr>
          <w:rFonts w:ascii="Arial" w:cs="Arial" w:eastAsia="Arial" w:hAnsi="Arial"/>
          <w:b w:val="false"/>
          <w:bCs w:val="false"/>
          <w:i w:val="false"/>
          <w:iCs w:val="false"/>
          <w:sz w:val="22"/>
          <w:szCs w:val="22"/>
        </w:rPr>
        <w:t xml:space="preserve">Manual position adjustments are architecturally impossible. There is no screen, no API endpoint, and no database operation that allows a user to directly set a position number. If a position is wrong, the only remedy is to enter a correcting event that explains the discrepancy. This ensures that the audit trail is always complete and that every position can be reconstructed from first principles.</w:t>
      </w:r>
    </w:p>
    <w:p>
      <w:r>
        <w:br w:type="page"/>
      </w:r>
    </w:p>
    <w:p>
      <w:pPr>
        <w:pStyle w:val="Heading1"/>
        <w:spacing w:before="360" w:after="200"/>
      </w:pPr>
      <w:r>
        <w:rPr>
          <w:rFonts w:ascii="Arial" w:cs="Arial" w:eastAsia="Arial" w:hAnsi="Arial"/>
          <w:b/>
          <w:bCs/>
          <w:sz w:val="32"/>
          <w:szCs w:val="32"/>
        </w:rPr>
        <w:t xml:space="preserve">4. Risk &amp; Position Engine</w:t>
      </w:r>
    </w:p>
    <w:p>
      <w:pPr>
        <w:pStyle w:val="Heading2"/>
        <w:spacing w:before="280" w:after="160"/>
      </w:pPr>
      <w:r>
        <w:rPr>
          <w:rFonts w:ascii="Arial" w:cs="Arial" w:eastAsia="Arial" w:hAnsi="Arial"/>
          <w:b/>
          <w:bCs/>
          <w:sz w:val="28"/>
          <w:szCs w:val="28"/>
        </w:rPr>
        <w:t xml:space="preserve">4.1 Core Principle</w:t>
      </w:r>
    </w:p>
    <w:p>
      <w:pPr>
        <w:spacing w:after="160"/>
        <w:jc w:val="both"/>
      </w:pPr>
      <w:r>
        <w:rPr>
          <w:rFonts w:ascii="Arial" w:cs="Arial" w:eastAsia="Arial" w:hAnsi="Arial"/>
          <w:b w:val="false"/>
          <w:bCs w:val="false"/>
          <w:i w:val="false"/>
          <w:iCs w:val="false"/>
          <w:sz w:val="22"/>
          <w:szCs w:val="22"/>
        </w:rPr>
        <w:t xml:space="preserve">Positions are never input. They are computed as a pure mathematical function of events:</w:t>
      </w:r>
    </w:p>
    <w:p>
      <w:pPr>
        <w:spacing w:before="200" w:after="200"/>
        <w:jc w:val="center"/>
      </w:pPr>
      <w:r>
        <w:rPr>
          <w:rFonts w:ascii="Arial" w:cs="Arial" w:eastAsia="Arial" w:hAnsi="Arial"/>
          <w:b/>
          <w:bCs/>
          <w:i/>
          <w:iCs/>
          <w:sz w:val="22"/>
          <w:szCs w:val="22"/>
        </w:rPr>
        <w:t xml:space="preserve">Position(t, d) = Σ EventImpact(e)  for all e where e.timestamp ≤ t and e.dimensions ⊇ d</w:t>
      </w:r>
    </w:p>
    <w:p>
      <w:pPr>
        <w:spacing w:after="160"/>
        <w:jc w:val="both"/>
      </w:pPr>
      <w:r>
        <w:rPr>
          <w:rFonts w:ascii="Arial" w:cs="Arial" w:eastAsia="Arial" w:hAnsi="Arial"/>
          <w:b w:val="false"/>
          <w:bCs w:val="false"/>
          <w:i w:val="false"/>
          <w:iCs w:val="false"/>
          <w:sz w:val="22"/>
          <w:szCs w:val="22"/>
        </w:rPr>
        <w:t xml:space="preserve">Where t is a point in time and d is a set of dimensional filters (country, product, book, trader, delivery period). The function EventImpact maps each event to its signed contribution to the position. A physical purchase adds to the long position; a physical sale adds to the short position; a futures hedge adds a financial offset. The position is the algebraic sum of all impacts.</w:t>
      </w:r>
    </w:p>
    <w:p>
      <w:pPr>
        <w:spacing w:after="160"/>
        <w:jc w:val="both"/>
      </w:pPr>
      <w:r>
        <w:rPr>
          <w:rFonts w:ascii="Arial" w:cs="Arial" w:eastAsia="Arial" w:hAnsi="Arial"/>
          <w:b w:val="false"/>
          <w:bCs w:val="false"/>
          <w:i w:val="false"/>
          <w:iCs w:val="false"/>
          <w:sz w:val="22"/>
          <w:szCs w:val="22"/>
        </w:rPr>
        <w:t xml:space="preserve">This architecture guarantees three properties. First, determinism: given the same set of events, the position is always the same. Second, auditability: every position number can be decomposed into its constituent events. Third, reproducibility: the system can reconstruct the position at any historical point in time by replaying events up to that timestamp.</w:t>
      </w:r>
    </w:p>
    <w:p>
      <w:pPr>
        <w:pStyle w:val="Heading2"/>
        <w:spacing w:before="280" w:after="160"/>
      </w:pPr>
      <w:r>
        <w:rPr>
          <w:rFonts w:ascii="Arial" w:cs="Arial" w:eastAsia="Arial" w:hAnsi="Arial"/>
          <w:b/>
          <w:bCs/>
          <w:sz w:val="28"/>
          <w:szCs w:val="28"/>
        </w:rPr>
        <w:t xml:space="preserve">4.2 Exposure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Exposure Type</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Generated By</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Decomposition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Flat price long/short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Physical purchases and sales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Net physical position valued at outright price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Futures hedge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Futures execution events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Offsetting financial position against flat price exposure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Basis exposure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Basis trades, unpriced physical contracts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Exposure to the differential between cash and futures prices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Options delta/gamma/vega</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Options execution events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Non-linear exposure decomposed into Greeks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FX exposure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Any event denominated in non-base currency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Currency risk arising from cross-border trades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Freight exposure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Freight bookings and commitments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Cost exposure to ocean and inland freight rate movements</w:t>
            </w:r>
          </w:p>
        </w:tc>
      </w:tr>
    </w:tbl>
    <w:p>
      <w:pPr>
        <w:spacing w:after="200"/>
      </w:pPr>
    </w:p>
    <w:p>
      <w:pPr>
        <w:pStyle w:val="Heading2"/>
        <w:spacing w:before="280" w:after="160"/>
      </w:pPr>
      <w:r>
        <w:rPr>
          <w:rFonts w:ascii="Arial" w:cs="Arial" w:eastAsia="Arial" w:hAnsi="Arial"/>
          <w:b/>
          <w:bCs/>
          <w:sz w:val="28"/>
          <w:szCs w:val="28"/>
        </w:rPr>
        <w:t xml:space="preserve">4.3 Position Decomposition</w:t>
      </w:r>
    </w:p>
    <w:p>
      <w:pPr>
        <w:spacing w:after="160"/>
        <w:jc w:val="both"/>
      </w:pPr>
      <w:r>
        <w:rPr>
          <w:rFonts w:ascii="Arial" w:cs="Arial" w:eastAsia="Arial" w:hAnsi="Arial"/>
          <w:b w:val="false"/>
          <w:bCs w:val="false"/>
          <w:i w:val="false"/>
          <w:iCs w:val="false"/>
          <w:sz w:val="22"/>
          <w:szCs w:val="22"/>
        </w:rPr>
        <w:t xml:space="preserve">Every event carries dimensional tags (country, commodity, book, trader, delivery period). Positions are therefore naturally decomposable: a position by country is a GROUP BY on the country dimension; a position by trader is a GROUP BY on trader_id. There is no separate aggregation logic or mapping table. The dimensions are intrinsic to the events.</w:t>
      </w:r>
    </w:p>
    <w:p>
      <w:pPr>
        <w:spacing w:after="160"/>
        <w:jc w:val="both"/>
      </w:pPr>
      <w:r>
        <w:rPr>
          <w:rFonts w:ascii="Arial" w:cs="Arial" w:eastAsia="Arial" w:hAnsi="Arial"/>
          <w:b w:val="false"/>
          <w:bCs w:val="false"/>
          <w:i w:val="false"/>
          <w:iCs w:val="false"/>
          <w:sz w:val="22"/>
          <w:szCs w:val="22"/>
        </w:rPr>
        <w:t xml:space="preserve">This means that a desk head can see total exposure for Argentina soybeans, drill down by trader, then drill into individual events, all from the same computational pipeline. There is no reconciliation between summary and detail views because both are derived from the same source.</w:t>
      </w:r>
    </w:p>
    <w:p>
      <w:pPr>
        <w:pStyle w:val="Heading2"/>
        <w:spacing w:before="280" w:after="160"/>
      </w:pPr>
      <w:r>
        <w:rPr>
          <w:rFonts w:ascii="Arial" w:cs="Arial" w:eastAsia="Arial" w:hAnsi="Arial"/>
          <w:b/>
          <w:bCs/>
          <w:sz w:val="28"/>
          <w:szCs w:val="28"/>
        </w:rPr>
        <w:t xml:space="preserve">4.4 P&amp;L Attribution</w:t>
      </w:r>
    </w:p>
    <w:p>
      <w:pPr>
        <w:spacing w:after="160"/>
        <w:jc w:val="both"/>
      </w:pPr>
      <w:r>
        <w:rPr>
          <w:rFonts w:ascii="Arial" w:cs="Arial" w:eastAsia="Arial" w:hAnsi="Arial"/>
          <w:b w:val="false"/>
          <w:bCs w:val="false"/>
          <w:i w:val="false"/>
          <w:iCs w:val="false"/>
          <w:sz w:val="22"/>
          <w:szCs w:val="22"/>
        </w:rPr>
        <w:t xml:space="preserve">P&amp;L is decomposed into five orthogonal components, each computed independently:</w:t>
      </w:r>
    </w:p>
    <w:p>
      <w:pPr>
        <w:spacing w:after="160"/>
        <w:jc w:val="both"/>
      </w:pPr>
      <w:r>
        <w:rPr>
          <w:rFonts w:ascii="Arial" w:cs="Arial" w:eastAsia="Arial" w:hAnsi="Arial"/>
          <w:b/>
          <w:bCs/>
          <w:sz w:val="22"/>
          <w:szCs w:val="22"/>
        </w:rPr>
        <w:t xml:space="preserve">Price P&amp;L: </w:t>
      </w:r>
      <w:r>
        <w:rPr>
          <w:rFonts w:ascii="Arial" w:cs="Arial" w:eastAsia="Arial" w:hAnsi="Arial"/>
          <w:sz w:val="22"/>
          <w:szCs w:val="22"/>
        </w:rPr>
        <w:t xml:space="preserve">Change in flat price multiplied by the net flat-price-exposed position. This isolates the impact of outright price movements on the portfolio.</w:t>
      </w:r>
    </w:p>
    <w:p>
      <w:pPr>
        <w:spacing w:after="160"/>
        <w:jc w:val="both"/>
      </w:pPr>
      <w:r>
        <w:rPr>
          <w:rFonts w:ascii="Arial" w:cs="Arial" w:eastAsia="Arial" w:hAnsi="Arial"/>
          <w:b/>
          <w:bCs/>
          <w:sz w:val="22"/>
          <w:szCs w:val="22"/>
        </w:rPr>
        <w:t xml:space="preserve">Basis P&amp;L: </w:t>
      </w:r>
      <w:r>
        <w:rPr>
          <w:rFonts w:ascii="Arial" w:cs="Arial" w:eastAsia="Arial" w:hAnsi="Arial"/>
          <w:sz w:val="22"/>
          <w:szCs w:val="22"/>
        </w:rPr>
        <w:t xml:space="preserve">Change in basis differential multiplied by the basis-exposed position. This captures the impact of cash-futures spread movements, which is where most origination desks generate margin.</w:t>
      </w:r>
    </w:p>
    <w:p>
      <w:pPr>
        <w:spacing w:after="160"/>
        <w:jc w:val="both"/>
      </w:pPr>
      <w:r>
        <w:rPr>
          <w:rFonts w:ascii="Arial" w:cs="Arial" w:eastAsia="Arial" w:hAnsi="Arial"/>
          <w:b/>
          <w:bCs/>
          <w:sz w:val="22"/>
          <w:szCs w:val="22"/>
        </w:rPr>
        <w:t xml:space="preserve">Timing P&amp;L: </w:t>
      </w:r>
      <w:r>
        <w:rPr>
          <w:rFonts w:ascii="Arial" w:cs="Arial" w:eastAsia="Arial" w:hAnsi="Arial"/>
          <w:sz w:val="22"/>
          <w:szCs w:val="22"/>
        </w:rPr>
        <w:t xml:space="preserve">Cost of carry, roll costs, and storage financing charges. This reflects the time value component of holding physical inventory or rolling futures positions.</w:t>
      </w:r>
    </w:p>
    <w:p>
      <w:pPr>
        <w:spacing w:after="160"/>
        <w:jc w:val="both"/>
      </w:pPr>
      <w:r>
        <w:rPr>
          <w:rFonts w:ascii="Arial" w:cs="Arial" w:eastAsia="Arial" w:hAnsi="Arial"/>
          <w:b/>
          <w:bCs/>
          <w:sz w:val="22"/>
          <w:szCs w:val="22"/>
        </w:rPr>
        <w:t xml:space="preserve">FX P&amp;L: </w:t>
      </w:r>
      <w:r>
        <w:rPr>
          <w:rFonts w:ascii="Arial" w:cs="Arial" w:eastAsia="Arial" w:hAnsi="Arial"/>
          <w:sz w:val="22"/>
          <w:szCs w:val="22"/>
        </w:rPr>
        <w:t xml:space="preserve">Change in exchange rates multiplied by the foreign-currency-denominated exposure. For a firm with operations across multiple countries and currencies, this is a material and often under-managed risk dimension.</w:t>
      </w:r>
    </w:p>
    <w:p>
      <w:pPr>
        <w:spacing w:after="160"/>
        <w:jc w:val="both"/>
      </w:pPr>
      <w:r>
        <w:rPr>
          <w:rFonts w:ascii="Arial" w:cs="Arial" w:eastAsia="Arial" w:hAnsi="Arial"/>
          <w:b/>
          <w:bCs/>
          <w:sz w:val="22"/>
          <w:szCs w:val="22"/>
        </w:rPr>
        <w:t xml:space="preserve">Logistics P&amp;L: </w:t>
      </w:r>
      <w:r>
        <w:rPr>
          <w:rFonts w:ascii="Arial" w:cs="Arial" w:eastAsia="Arial" w:hAnsi="Arial"/>
          <w:sz w:val="22"/>
          <w:szCs w:val="22"/>
        </w:rPr>
        <w:t xml:space="preserve">Difference between actual and budgeted logistics costs (trucking, elevation, ocean freight, port charges). This component connects the Risk Engine to the Logistics Optimization Engine and closes the loop between planned and realized execution margins.</w:t>
      </w:r>
    </w:p>
    <w:p>
      <w:pPr>
        <w:pStyle w:val="Heading2"/>
        <w:spacing w:before="280" w:after="160"/>
      </w:pPr>
      <w:r>
        <w:rPr>
          <w:rFonts w:ascii="Arial" w:cs="Arial" w:eastAsia="Arial" w:hAnsi="Arial"/>
          <w:b/>
          <w:bCs/>
          <w:sz w:val="28"/>
          <w:szCs w:val="28"/>
        </w:rPr>
        <w:t xml:space="preserve">4.5 False Position Prevention</w:t>
      </w:r>
    </w:p>
    <w:p>
      <w:pPr>
        <w:spacing w:after="160"/>
        <w:jc w:val="both"/>
      </w:pPr>
      <w:r>
        <w:rPr>
          <w:rFonts w:ascii="Arial" w:cs="Arial" w:eastAsia="Arial" w:hAnsi="Arial"/>
          <w:b w:val="false"/>
          <w:bCs w:val="false"/>
          <w:i w:val="false"/>
          <w:iCs w:val="false"/>
          <w:sz w:val="22"/>
          <w:szCs w:val="22"/>
        </w:rPr>
        <w:t xml:space="preserve">A persistent problem in multi-desk commodity trading operations is the creation of false positions caused by mis-allocation. The canonical example: the Singapore trading desk sells Argentine-origin soybeans against a futures hedge, but the Argentine origination desk has already committed that physical inventory to a different buyer. The result is a phantom short position that does not correspond to any real economic exposure.</w:t>
      </w:r>
    </w:p>
    <w:p>
      <w:pPr>
        <w:spacing w:after="160"/>
        <w:jc w:val="both"/>
      </w:pPr>
      <w:r>
        <w:rPr>
          <w:rFonts w:ascii="Arial" w:cs="Arial" w:eastAsia="Arial" w:hAnsi="Arial"/>
          <w:b w:val="false"/>
          <w:bCs w:val="false"/>
          <w:i w:val="false"/>
          <w:iCs w:val="false"/>
          <w:sz w:val="22"/>
          <w:szCs w:val="22"/>
        </w:rPr>
        <w:t xml:space="preserve">This platform prevents false positions through three mechanisms:</w:t>
      </w:r>
    </w:p>
    <w:p>
      <w:pPr>
        <w:spacing w:after="160"/>
        <w:jc w:val="both"/>
      </w:pPr>
      <w:r>
        <w:rPr>
          <w:rFonts w:ascii="Arial" w:cs="Arial" w:eastAsia="Arial" w:hAnsi="Arial"/>
          <w:b/>
          <w:bCs/>
          <w:sz w:val="22"/>
          <w:szCs w:val="22"/>
        </w:rPr>
        <w:t xml:space="preserve">Origin tagging: </w:t>
      </w:r>
      <w:r>
        <w:rPr>
          <w:rFonts w:ascii="Arial" w:cs="Arial" w:eastAsia="Arial" w:hAnsi="Arial"/>
          <w:sz w:val="22"/>
          <w:szCs w:val="22"/>
        </w:rPr>
        <w:t xml:space="preserve">Every physical event requires an explicit origin tag from a controlled vocabulary. Positions are computed per (origin, destination, book) tuple. A sale of AR_UPRIVER soybeans from the Singapore book requires that the Singapore book holds AR_UPRIVER inventory, either directly or via an explicit internal transfer event.</w:t>
      </w:r>
    </w:p>
    <w:p>
      <w:pPr>
        <w:spacing w:after="160"/>
        <w:jc w:val="both"/>
      </w:pPr>
      <w:r>
        <w:rPr>
          <w:rFonts w:ascii="Arial" w:cs="Arial" w:eastAsia="Arial" w:hAnsi="Arial"/>
          <w:b/>
          <w:bCs/>
          <w:sz w:val="22"/>
          <w:szCs w:val="22"/>
        </w:rPr>
        <w:t xml:space="preserve">Cross-book controls: </w:t>
      </w:r>
      <w:r>
        <w:rPr>
          <w:rFonts w:ascii="Arial" w:cs="Arial" w:eastAsia="Arial" w:hAnsi="Arial"/>
          <w:sz w:val="22"/>
          <w:szCs w:val="22"/>
        </w:rPr>
        <w:t xml:space="preserve">Exposure that crosses book boundaries (e.g., one desk selling against another desk's inventory) requires an explicit Internal Transfer event. Without this event, the selling desk shows a short position and the origination desk shows a long position. The system does not net these across books. Both positions are visible, and the inconsistency is flagged.</w:t>
      </w:r>
    </w:p>
    <w:p>
      <w:pPr>
        <w:spacing w:after="160"/>
        <w:jc w:val="both"/>
      </w:pPr>
      <w:r>
        <w:rPr>
          <w:rFonts w:ascii="Arial" w:cs="Arial" w:eastAsia="Arial" w:hAnsi="Arial"/>
          <w:b/>
          <w:bCs/>
          <w:sz w:val="22"/>
          <w:szCs w:val="22"/>
        </w:rPr>
        <w:t xml:space="preserve">Impossible state detection: </w:t>
      </w:r>
      <w:r>
        <w:rPr>
          <w:rFonts w:ascii="Arial" w:cs="Arial" w:eastAsia="Arial" w:hAnsi="Arial"/>
          <w:sz w:val="22"/>
          <w:szCs w:val="22"/>
        </w:rPr>
        <w:t xml:space="preserve">The AI layer continuously scans for impossible states: a book that is short physical in an origin it has never purchased; a delivery commitment that exceeds available inventory at the committed location; a hedge ratio that implies a position larger than the physical book. These states are flagged to the relevant trader and desk head with a causal explanation tracing back to the specific events that created the inconsistency.</w:t>
      </w:r>
    </w:p>
    <w:p>
      <w:pPr>
        <w:spacing w:after="160"/>
        <w:jc w:val="both"/>
      </w:pPr>
      <w:r>
        <w:rPr>
          <w:rFonts w:ascii="Arial" w:cs="Arial" w:eastAsia="Arial" w:hAnsi="Arial"/>
          <w:b w:val="false"/>
          <w:bCs w:val="false"/>
          <w:i w:val="false"/>
          <w:iCs w:val="false"/>
          <w:sz w:val="22"/>
          <w:szCs w:val="22"/>
        </w:rPr>
        <w:t xml:space="preserve">Critically, the AI layer detects and explains. It does not override. If the math says the position is short 5,000 MT, the position is short 5,000 MT. The AI explains why and suggests corrective actions (e.g., entering an internal transfer), but the position number itself is never adjusted by any mechanism other than the entry of new events.</w:t>
      </w:r>
    </w:p>
    <w:p>
      <w:r>
        <w:br w:type="page"/>
      </w:r>
    </w:p>
    <w:p>
      <w:pPr>
        <w:pStyle w:val="Heading1"/>
        <w:spacing w:before="360" w:after="200"/>
      </w:pPr>
      <w:r>
        <w:rPr>
          <w:rFonts w:ascii="Arial" w:cs="Arial" w:eastAsia="Arial" w:hAnsi="Arial"/>
          <w:b/>
          <w:bCs/>
          <w:sz w:val="32"/>
          <w:szCs w:val="32"/>
        </w:rPr>
        <w:t xml:space="preserve">5. Logistics Optimization Engine</w:t>
      </w:r>
    </w:p>
    <w:p>
      <w:pPr>
        <w:pStyle w:val="Heading2"/>
        <w:spacing w:before="280" w:after="160"/>
      </w:pPr>
      <w:r>
        <w:rPr>
          <w:rFonts w:ascii="Arial" w:cs="Arial" w:eastAsia="Arial" w:hAnsi="Arial"/>
          <w:b/>
          <w:bCs/>
          <w:sz w:val="28"/>
          <w:szCs w:val="28"/>
        </w:rPr>
        <w:t xml:space="preserve">5.1 Problem Statement</w:t>
      </w:r>
    </w:p>
    <w:p>
      <w:pPr>
        <w:spacing w:after="160"/>
        <w:jc w:val="both"/>
      </w:pPr>
      <w:r>
        <w:rPr>
          <w:rFonts w:ascii="Arial" w:cs="Arial" w:eastAsia="Arial" w:hAnsi="Arial"/>
          <w:b w:val="false"/>
          <w:bCs w:val="false"/>
          <w:i w:val="false"/>
          <w:iCs w:val="false"/>
          <w:sz w:val="22"/>
          <w:szCs w:val="22"/>
        </w:rPr>
        <w:t xml:space="preserve">In commodity trading, the firm does not set the price. Prices are determined by global supply and demand dynamics, exchange-traded benchmarks, and basis differentials that reflect local conditions. Margins are structurally thin, typically in the range of 1-3% of contract value for physical trading operations.</w:t>
      </w:r>
    </w:p>
    <w:p>
      <w:pPr>
        <w:spacing w:after="160"/>
        <w:jc w:val="both"/>
      </w:pPr>
      <w:r>
        <w:rPr>
          <w:rFonts w:ascii="Arial" w:cs="Arial" w:eastAsia="Arial" w:hAnsi="Arial"/>
          <w:b w:val="false"/>
          <w:bCs w:val="false"/>
          <w:i w:val="false"/>
          <w:iCs w:val="false"/>
          <w:sz w:val="22"/>
          <w:szCs w:val="22"/>
        </w:rPr>
        <w:t xml:space="preserve">The only structural edge available to a physical trading firm is execution efficiency, and the largest component of execution efficiency is logistics: the allocation of physical inventory across storage locations to contractual commitments, subject to capacity constraints, quality requirements, transport availability, and timing windows. The difference between optimal and sub-optimal logistics decisions can represent 20-40 basis points of margin on a book that moves millions of metric tons per year. This is operations research, not heuristics.</w:t>
      </w:r>
    </w:p>
    <w:p>
      <w:pPr>
        <w:pStyle w:val="Heading2"/>
        <w:spacing w:before="280" w:after="160"/>
      </w:pPr>
      <w:r>
        <w:rPr>
          <w:rFonts w:ascii="Arial" w:cs="Arial" w:eastAsia="Arial" w:hAnsi="Arial"/>
          <w:b/>
          <w:bCs/>
          <w:sz w:val="28"/>
          <w:szCs w:val="28"/>
        </w:rPr>
        <w:t xml:space="preserve">5.2 Decision Variables</w:t>
      </w:r>
    </w:p>
    <w:p>
      <w:pPr>
        <w:spacing w:after="160"/>
        <w:jc w:val="both"/>
      </w:pPr>
      <w:r>
        <w:rPr>
          <w:rFonts w:ascii="Arial" w:cs="Arial" w:eastAsia="Arial" w:hAnsi="Arial"/>
          <w:b w:val="false"/>
          <w:bCs w:val="false"/>
          <w:i w:val="false"/>
          <w:iCs w:val="false"/>
          <w:sz w:val="22"/>
          <w:szCs w:val="22"/>
        </w:rPr>
        <w:t xml:space="preserve">The optimization model defines the following decision variables:</w:t>
      </w:r>
    </w:p>
    <w:p>
      <w:pPr>
        <w:spacing w:after="160"/>
        <w:jc w:val="both"/>
      </w:pPr>
      <w:r>
        <w:rPr>
          <w:rFonts w:ascii="Arial" w:cs="Arial" w:eastAsia="Arial" w:hAnsi="Arial"/>
          <w:b/>
          <w:bCs/>
          <w:i/>
          <w:iCs/>
          <w:sz w:val="22"/>
          <w:szCs w:val="22"/>
        </w:rPr>
        <w:t xml:space="preserve">x_ijk: </w:t>
      </w:r>
      <w:r>
        <w:rPr>
          <w:rFonts w:ascii="Arial" w:cs="Arial" w:eastAsia="Arial" w:hAnsi="Arial"/>
          <w:sz w:val="22"/>
          <w:szCs w:val="22"/>
        </w:rPr>
        <w:t xml:space="preserve">Continuous. Quantity (MT) of product i allocated from storage location j to contract k. This is the primary decision variable.</w:t>
      </w:r>
    </w:p>
    <w:p>
      <w:pPr>
        <w:spacing w:after="160"/>
        <w:jc w:val="both"/>
      </w:pPr>
      <w:r>
        <w:rPr>
          <w:rFonts w:ascii="Arial" w:cs="Arial" w:eastAsia="Arial" w:hAnsi="Arial"/>
          <w:b/>
          <w:bCs/>
          <w:i/>
          <w:iCs/>
          <w:sz w:val="22"/>
          <w:szCs w:val="22"/>
        </w:rPr>
        <w:t xml:space="preserve">t_ijk: </w:t>
      </w:r>
      <w:r>
        <w:rPr>
          <w:rFonts w:ascii="Arial" w:cs="Arial" w:eastAsia="Arial" w:hAnsi="Arial"/>
          <w:sz w:val="22"/>
          <w:szCs w:val="22"/>
        </w:rPr>
        <w:t xml:space="preserve">Integer. Delivery period (week) in which allocation x_ijk is scheduled for execution. Captures timing optionality within contractual delivery windows.</w:t>
      </w:r>
    </w:p>
    <w:p>
      <w:pPr>
        <w:spacing w:after="160"/>
        <w:jc w:val="both"/>
      </w:pPr>
      <w:r>
        <w:rPr>
          <w:rFonts w:ascii="Arial" w:cs="Arial" w:eastAsia="Arial" w:hAnsi="Arial"/>
          <w:b/>
          <w:bCs/>
          <w:i/>
          <w:iCs/>
          <w:sz w:val="22"/>
          <w:szCs w:val="22"/>
        </w:rPr>
        <w:t xml:space="preserve">r_ij: </w:t>
      </w:r>
      <w:r>
        <w:rPr>
          <w:rFonts w:ascii="Arial" w:cs="Arial" w:eastAsia="Arial" w:hAnsi="Arial"/>
          <w:sz w:val="22"/>
          <w:szCs w:val="22"/>
        </w:rPr>
        <w:t xml:space="preserve">Binary. Whether transport route from location j to delivery point of contract k is activated. Controls fixed costs associated with route activation (e.g., minimum truck fleet commitments).</w:t>
      </w:r>
    </w:p>
    <w:p>
      <w:pPr>
        <w:spacing w:after="160"/>
        <w:jc w:val="both"/>
      </w:pPr>
      <w:r>
        <w:rPr>
          <w:rFonts w:ascii="Arial" w:cs="Arial" w:eastAsia="Arial" w:hAnsi="Arial"/>
          <w:b/>
          <w:bCs/>
          <w:i/>
          <w:iCs/>
          <w:sz w:val="22"/>
          <w:szCs w:val="22"/>
        </w:rPr>
        <w:t xml:space="preserve">y_jt: </w:t>
      </w:r>
      <w:r>
        <w:rPr>
          <w:rFonts w:ascii="Arial" w:cs="Arial" w:eastAsia="Arial" w:hAnsi="Arial"/>
          <w:sz w:val="22"/>
          <w:szCs w:val="22"/>
        </w:rPr>
        <w:t xml:space="preserve">Integer. Number of truck arrivals scheduled at location j during period t. Subject to throughput constraints at each facility.</w:t>
      </w:r>
    </w:p>
    <w:p>
      <w:pPr>
        <w:pStyle w:val="Heading2"/>
        <w:spacing w:before="280" w:after="160"/>
      </w:pPr>
      <w:r>
        <w:rPr>
          <w:rFonts w:ascii="Arial" w:cs="Arial" w:eastAsia="Arial" w:hAnsi="Arial"/>
          <w:b/>
          <w:bCs/>
          <w:sz w:val="28"/>
          <w:szCs w:val="28"/>
        </w:rPr>
        <w:t xml:space="preserve">5.3 Objective Function</w:t>
      </w:r>
    </w:p>
    <w:p>
      <w:pPr>
        <w:spacing w:after="160"/>
        <w:jc w:val="both"/>
      </w:pPr>
      <w:r>
        <w:rPr>
          <w:rFonts w:ascii="Arial" w:cs="Arial" w:eastAsia="Arial" w:hAnsi="Arial"/>
          <w:b w:val="false"/>
          <w:bCs w:val="false"/>
          <w:i w:val="false"/>
          <w:iCs w:val="false"/>
          <w:sz w:val="22"/>
          <w:szCs w:val="22"/>
        </w:rPr>
        <w:t xml:space="preserve">The objective is to maximize the expected total contribution margin:</w:t>
      </w:r>
    </w:p>
    <w:p>
      <w:pPr>
        <w:spacing w:before="200" w:after="100"/>
        <w:jc w:val="center"/>
      </w:pPr>
      <w:r>
        <w:rPr>
          <w:rFonts w:ascii="Arial" w:cs="Arial" w:eastAsia="Arial" w:hAnsi="Arial"/>
          <w:b/>
          <w:bCs/>
          <w:sz w:val="22"/>
          <w:szCs w:val="22"/>
        </w:rPr>
        <w:t xml:space="preserve">Maximize:</w:t>
      </w:r>
    </w:p>
    <w:p>
      <w:pPr>
        <w:spacing w:after="100"/>
        <w:jc w:val="center"/>
      </w:pPr>
      <w:r>
        <w:rPr>
          <w:rFonts w:ascii="Arial" w:cs="Arial" w:eastAsia="Arial" w:hAnsi="Arial"/>
          <w:i/>
          <w:iCs/>
          <w:sz w:val="22"/>
          <w:szCs w:val="22"/>
        </w:rPr>
        <w:t xml:space="preserve">Σ(margin_k × Σ x_ijk)</w:t>
      </w:r>
    </w:p>
    <w:p>
      <w:pPr>
        <w:spacing w:after="100"/>
        <w:jc w:val="center"/>
      </w:pPr>
      <w:r>
        <w:rPr>
          <w:rFonts w:ascii="Arial" w:cs="Arial" w:eastAsia="Arial" w:hAnsi="Arial"/>
          <w:i/>
          <w:iCs/>
          <w:sz w:val="22"/>
          <w:szCs w:val="22"/>
        </w:rPr>
        <w:t xml:space="preserve">− Σ(transport_cost_jk × x_ijk)</w:t>
      </w:r>
    </w:p>
    <w:p>
      <w:pPr>
        <w:spacing w:after="100"/>
        <w:jc w:val="center"/>
      </w:pPr>
      <w:r>
        <w:rPr>
          <w:rFonts w:ascii="Arial" w:cs="Arial" w:eastAsia="Arial" w:hAnsi="Arial"/>
          <w:i/>
          <w:iCs/>
          <w:sz w:val="22"/>
          <w:szCs w:val="22"/>
        </w:rPr>
        <w:t xml:space="preserve">− Σ(storage_cost_jt × inventory_jt)</w:t>
      </w:r>
    </w:p>
    <w:p>
      <w:pPr>
        <w:spacing w:after="200"/>
        <w:jc w:val="center"/>
      </w:pPr>
      <w:r>
        <w:rPr>
          <w:rFonts w:ascii="Arial" w:cs="Arial" w:eastAsia="Arial" w:hAnsi="Arial"/>
          <w:i/>
          <w:iCs/>
          <w:sz w:val="22"/>
          <w:szCs w:val="22"/>
        </w:rPr>
        <w:t xml:space="preserve">− Σ(penalty_k × delay_k)</w:t>
      </w:r>
    </w:p>
    <w:p>
      <w:pPr>
        <w:spacing w:after="160"/>
        <w:jc w:val="both"/>
      </w:pPr>
      <w:r>
        <w:rPr>
          <w:rFonts w:ascii="Arial" w:cs="Arial" w:eastAsia="Arial" w:hAnsi="Arial"/>
          <w:b w:val="false"/>
          <w:bCs w:val="false"/>
          <w:i w:val="false"/>
          <w:iCs w:val="false"/>
          <w:sz w:val="22"/>
          <w:szCs w:val="22"/>
        </w:rPr>
        <w:t xml:space="preserve">Where margin_k is the expected contribution margin on contract k, transport_cost_jk is the cost per MT of moving product from location j to contract k's delivery point, storage_cost_jt is the per-period cost of holding inventory at location j, and penalty_k captures the economic cost of late delivery on contract k.</w:t>
      </w:r>
    </w:p>
    <w:p>
      <w:pPr>
        <w:pStyle w:val="Heading2"/>
        <w:spacing w:before="280" w:after="160"/>
      </w:pPr>
      <w:r>
        <w:rPr>
          <w:rFonts w:ascii="Arial" w:cs="Arial" w:eastAsia="Arial" w:hAnsi="Arial"/>
          <w:b/>
          <w:bCs/>
          <w:sz w:val="28"/>
          <w:szCs w:val="28"/>
        </w:rPr>
        <w:t xml:space="preserve">5.4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Constraint</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Form</w:t>
            </w:r>
          </w:p>
        </w:tc>
        <w:tc>
          <w:tcPr>
            <w:tcW w:type="dxa" w:w="3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Description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Storage capacity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Σ_i x_ij ≤ Capacity_j for all j</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inventory at any location cannot exceed its physical capacity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Inventory balance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Inventory_jt = Inventory_j(t-1) + Arrivals_jt − Departures_jt</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Conservation of mass: inventory at each location and period must balance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Product compatibility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x_ijk = 0 if product i is incompatible with storage j</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Some products cannot be stored together (e.g., GMO and non-GMO segregation)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Truck throughput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y_jt ≤ MaxTrucks_jt for all j, t</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 of truck arrivals per period limited by facility loading/unloading capacity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Contractual commitments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Σ_ij x_ijk ≥ Committed_k for all k with firm commitments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Firm commitments must be fulfilled; optional contracts can be partially filled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Quality matching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quality(i) ∈ acceptable_range(k)</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Product quality must meet contract specifications (protein, moisture, etc.)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Delivery timing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t_ijk ∈ window(k)</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Delivery must occur within the contractual delivery window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Flow conservation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Σ_k x_ijk ≤ available_inventory(i, j)</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Cannot allocate more of product i from location j than is physically available</w:t>
            </w:r>
          </w:p>
        </w:tc>
      </w:tr>
    </w:tbl>
    <w:p>
      <w:pPr>
        <w:spacing w:after="200"/>
      </w:pPr>
    </w:p>
    <w:p>
      <w:pPr>
        <w:pStyle w:val="Heading2"/>
        <w:spacing w:before="280" w:after="160"/>
      </w:pPr>
      <w:r>
        <w:rPr>
          <w:rFonts w:ascii="Arial" w:cs="Arial" w:eastAsia="Arial" w:hAnsi="Arial"/>
          <w:b/>
          <w:bCs/>
          <w:sz w:val="28"/>
          <w:szCs w:val="28"/>
        </w:rPr>
        <w:t xml:space="preserve">5.5 Implementation</w:t>
      </w:r>
    </w:p>
    <w:p>
      <w:pPr>
        <w:spacing w:after="160"/>
        <w:jc w:val="both"/>
      </w:pPr>
      <w:r>
        <w:rPr>
          <w:rFonts w:ascii="Arial" w:cs="Arial" w:eastAsia="Arial" w:hAnsi="Arial"/>
          <w:b w:val="false"/>
          <w:bCs w:val="false"/>
          <w:i w:val="false"/>
          <w:iCs w:val="false"/>
          <w:sz w:val="22"/>
          <w:szCs w:val="22"/>
        </w:rPr>
        <w:t xml:space="preserve">The optimization problem is formulated as a mixed-integer linear program (MILP) and solved using an industrial-grade solver. The recommended solver hierarchy is: Gurobi (best performance, commercial license), CPLEX (comparable performance, IBM license), or CBC (open-source, adequate for smaller instances). For a typical problem instance with 50-100 storage locations, 200-500 active contracts, and 10-20 product grades, the solver produces an optimal solution in 3-15 seconds.</w:t>
      </w:r>
    </w:p>
    <w:p>
      <w:pPr>
        <w:spacing w:after="160"/>
        <w:jc w:val="both"/>
      </w:pPr>
      <w:r>
        <w:rPr>
          <w:rFonts w:ascii="Arial" w:cs="Arial" w:eastAsia="Arial" w:hAnsi="Arial"/>
          <w:b w:val="false"/>
          <w:bCs w:val="false"/>
          <w:i w:val="false"/>
          <w:iCs w:val="false"/>
          <w:sz w:val="22"/>
          <w:szCs w:val="22"/>
        </w:rPr>
        <w:t xml:space="preserve">The optimization is re-run on a rolling basis, typically daily or triggered by significant events (new contract, truck arrival, storage disruption). Each run produces a recommended allocation plan that is presented to the operations team as a set of draft events. The team reviews the recommendations, confirms or modifies individual allocations, and the confirmed allocations are recorded as events in the ledger.</w:t>
      </w:r>
    </w:p>
    <w:p>
      <w:pPr>
        <w:pStyle w:val="Heading2"/>
        <w:spacing w:before="280" w:after="160"/>
      </w:pPr>
      <w:r>
        <w:rPr>
          <w:rFonts w:ascii="Arial" w:cs="Arial" w:eastAsia="Arial" w:hAnsi="Arial"/>
          <w:b/>
          <w:bCs/>
          <w:sz w:val="28"/>
          <w:szCs w:val="28"/>
        </w:rPr>
        <w:t xml:space="preserve">5.6 Outputs</w:t>
      </w:r>
    </w:p>
    <w:p>
      <w:pPr>
        <w:spacing w:after="160"/>
        <w:jc w:val="both"/>
      </w:pPr>
      <w:r>
        <w:rPr>
          <w:rFonts w:ascii="Arial" w:cs="Arial" w:eastAsia="Arial" w:hAnsi="Arial"/>
          <w:b/>
          <w:bCs/>
          <w:sz w:val="22"/>
          <w:szCs w:val="22"/>
        </w:rPr>
        <w:t xml:space="preserve">Optimal allocation plan: </w:t>
      </w:r>
      <w:r>
        <w:rPr>
          <w:rFonts w:ascii="Arial" w:cs="Arial" w:eastAsia="Arial" w:hAnsi="Arial"/>
          <w:sz w:val="22"/>
          <w:szCs w:val="22"/>
        </w:rPr>
        <w:t xml:space="preserve">For each contract, which product from which location in which period. This is the primary operational output.</w:t>
      </w:r>
    </w:p>
    <w:p>
      <w:pPr>
        <w:spacing w:after="160"/>
        <w:jc w:val="both"/>
      </w:pPr>
      <w:r>
        <w:rPr>
          <w:rFonts w:ascii="Arial" w:cs="Arial" w:eastAsia="Arial" w:hAnsi="Arial"/>
          <w:b/>
          <w:bCs/>
          <w:sz w:val="22"/>
          <w:szCs w:val="22"/>
        </w:rPr>
        <w:t xml:space="preserve">Shadow prices: </w:t>
      </w:r>
      <w:r>
        <w:rPr>
          <w:rFonts w:ascii="Arial" w:cs="Arial" w:eastAsia="Arial" w:hAnsi="Arial"/>
          <w:sz w:val="22"/>
          <w:szCs w:val="22"/>
        </w:rPr>
        <w:t xml:space="preserve">The marginal value of relaxing each binding constraint. For example, if storage at Rosario is at capacity, the shadow price tells you the dollar value of one additional MT of capacity. This informs infrastructure investment decisions.</w:t>
      </w:r>
    </w:p>
    <w:p>
      <w:pPr>
        <w:spacing w:after="160"/>
        <w:jc w:val="both"/>
      </w:pPr>
      <w:r>
        <w:rPr>
          <w:rFonts w:ascii="Arial" w:cs="Arial" w:eastAsia="Arial" w:hAnsi="Arial"/>
          <w:b/>
          <w:bCs/>
          <w:sz w:val="22"/>
          <w:szCs w:val="22"/>
        </w:rPr>
        <w:t xml:space="preserve">Cost of suboptimal decisions: </w:t>
      </w:r>
      <w:r>
        <w:rPr>
          <w:rFonts w:ascii="Arial" w:cs="Arial" w:eastAsia="Arial" w:hAnsi="Arial"/>
          <w:sz w:val="22"/>
          <w:szCs w:val="22"/>
        </w:rPr>
        <w:t xml:space="preserve">If a trader overrides the optimal plan (e.g., allocating from a more expensive location due to a relationship), the system computes and displays the cost of that decision relative to the optimal. This is not punitive; it is informational. It creates accountability and learning.</w:t>
      </w:r>
    </w:p>
    <w:p>
      <w:pPr>
        <w:spacing w:after="160"/>
        <w:jc w:val="both"/>
      </w:pPr>
      <w:r>
        <w:rPr>
          <w:rFonts w:ascii="Arial" w:cs="Arial" w:eastAsia="Arial" w:hAnsi="Arial"/>
          <w:b/>
          <w:bCs/>
          <w:sz w:val="22"/>
          <w:szCs w:val="22"/>
        </w:rPr>
        <w:t xml:space="preserve">Scenario comparison: </w:t>
      </w:r>
      <w:r>
        <w:rPr>
          <w:rFonts w:ascii="Arial" w:cs="Arial" w:eastAsia="Arial" w:hAnsi="Arial"/>
          <w:sz w:val="22"/>
          <w:szCs w:val="22"/>
        </w:rPr>
        <w:t xml:space="preserve">The system supports what-if analysis. What if we lose access to Location X? What if Vessel Y is delayed by two weeks? What if we accept an additional 10,000 MT contract? Each scenario is a re-run of the optimizer with modified inputs, and the results are presented as a comparison against the baseline plan.</w:t>
      </w:r>
    </w:p>
    <w:p>
      <w:r>
        <w:br w:type="page"/>
      </w:r>
    </w:p>
    <w:p>
      <w:pPr>
        <w:pStyle w:val="Heading1"/>
        <w:spacing w:before="360" w:after="200"/>
      </w:pPr>
      <w:r>
        <w:rPr>
          <w:rFonts w:ascii="Arial" w:cs="Arial" w:eastAsia="Arial" w:hAnsi="Arial"/>
          <w:b/>
          <w:bCs/>
          <w:sz w:val="32"/>
          <w:szCs w:val="32"/>
        </w:rPr>
        <w:t xml:space="preserve">6. Research &amp; Decision Intelligence</w:t>
      </w:r>
    </w:p>
    <w:p>
      <w:pPr>
        <w:pStyle w:val="Heading2"/>
        <w:spacing w:before="280" w:after="160"/>
      </w:pPr>
      <w:r>
        <w:rPr>
          <w:rFonts w:ascii="Arial" w:cs="Arial" w:eastAsia="Arial" w:hAnsi="Arial"/>
          <w:b/>
          <w:bCs/>
          <w:sz w:val="28"/>
          <w:szCs w:val="28"/>
        </w:rPr>
        <w:t xml:space="preserve">6.1 Design Philosophy</w:t>
      </w:r>
    </w:p>
    <w:p>
      <w:pPr>
        <w:spacing w:after="160"/>
        <w:jc w:val="both"/>
      </w:pPr>
      <w:r>
        <w:rPr>
          <w:rFonts w:ascii="Arial" w:cs="Arial" w:eastAsia="Arial" w:hAnsi="Arial"/>
          <w:b w:val="false"/>
          <w:bCs w:val="false"/>
          <w:i w:val="false"/>
          <w:iCs w:val="false"/>
          <w:sz w:val="22"/>
          <w:szCs w:val="22"/>
        </w:rPr>
        <w:t xml:space="preserve">Most research platforms in commodity trading are generic: they provide data, charts, and reports that are disconnected from the firm's actual positions. An analyst might produce a bullish report on soybeans without knowing that the firm is already heavily long. The research is accurate but irrelevant to decision-making.</w:t>
      </w:r>
    </w:p>
    <w:p>
      <w:pPr>
        <w:spacing w:after="160"/>
        <w:jc w:val="both"/>
      </w:pPr>
      <w:r>
        <w:rPr>
          <w:rFonts w:ascii="Arial" w:cs="Arial" w:eastAsia="Arial" w:hAnsi="Arial"/>
          <w:b w:val="false"/>
          <w:bCs w:val="false"/>
          <w:i w:val="false"/>
          <w:iCs w:val="false"/>
          <w:sz w:val="22"/>
          <w:szCs w:val="22"/>
        </w:rPr>
        <w:t xml:space="preserve">This platform's Research layer is contextual. It knows the firm's actual positions, committed logistics, and exposure concentrations. Every piece of analysis is filtered through the lens of the firm's current state. The output is not a report; it is a decision-ready assessment of impact on the firm's specific portfolio.</w:t>
      </w:r>
    </w:p>
    <w:p>
      <w:pPr>
        <w:pStyle w:val="Heading2"/>
        <w:spacing w:before="280" w:after="160"/>
      </w:pPr>
      <w:r>
        <w:rPr>
          <w:rFonts w:ascii="Arial" w:cs="Arial" w:eastAsia="Arial" w:hAnsi="Arial"/>
          <w:b/>
          <w:bCs/>
          <w:sz w:val="28"/>
          <w:szCs w:val="28"/>
        </w:rPr>
        <w:t xml:space="preserve">6.2 External Data Integration</w:t>
      </w:r>
    </w:p>
    <w:p>
      <w:pPr>
        <w:spacing w:after="160"/>
        <w:jc w:val="both"/>
      </w:pPr>
      <w:r>
        <w:rPr>
          <w:rFonts w:ascii="Arial" w:cs="Arial" w:eastAsia="Arial" w:hAnsi="Arial"/>
          <w:b w:val="false"/>
          <w:bCs w:val="false"/>
          <w:i w:val="false"/>
          <w:iCs w:val="false"/>
          <w:sz w:val="22"/>
          <w:szCs w:val="22"/>
        </w:rPr>
        <w:t xml:space="preserve">The system integrates five categories of external data:</w:t>
      </w:r>
    </w:p>
    <w:p>
      <w:pPr>
        <w:spacing w:after="160"/>
        <w:jc w:val="both"/>
      </w:pPr>
      <w:r>
        <w:rPr>
          <w:rFonts w:ascii="Arial" w:cs="Arial" w:eastAsia="Arial" w:hAnsi="Arial"/>
          <w:b/>
          <w:bCs/>
          <w:sz w:val="22"/>
          <w:szCs w:val="22"/>
        </w:rPr>
        <w:t xml:space="preserve">Weather: </w:t>
      </w:r>
      <w:r>
        <w:rPr>
          <w:rFonts w:ascii="Arial" w:cs="Arial" w:eastAsia="Arial" w:hAnsi="Arial"/>
          <w:sz w:val="22"/>
          <w:szCs w:val="22"/>
        </w:rPr>
        <w:t xml:space="preserve">Satellite imagery, NOAA forecasts, and proprietary weather models for key growing regions. Relevant for crop yield estimation and basis forecasting.</w:t>
      </w:r>
    </w:p>
    <w:p>
      <w:pPr>
        <w:spacing w:after="160"/>
        <w:jc w:val="both"/>
      </w:pPr>
      <w:r>
        <w:rPr>
          <w:rFonts w:ascii="Arial" w:cs="Arial" w:eastAsia="Arial" w:hAnsi="Arial"/>
          <w:b/>
          <w:bCs/>
          <w:sz w:val="22"/>
          <w:szCs w:val="22"/>
        </w:rPr>
        <w:t xml:space="preserve">Policy: </w:t>
      </w:r>
      <w:r>
        <w:rPr>
          <w:rFonts w:ascii="Arial" w:cs="Arial" w:eastAsia="Arial" w:hAnsi="Arial"/>
          <w:sz w:val="22"/>
          <w:szCs w:val="22"/>
        </w:rPr>
        <w:t xml:space="preserve">Export bans, tariff changes, tax modifications (e.g., Argentine export retentions), sanitary regulations. These can cause abrupt basis dislocations and require rapid re-optimization of logistics.</w:t>
      </w:r>
    </w:p>
    <w:p>
      <w:pPr>
        <w:spacing w:after="160"/>
        <w:jc w:val="both"/>
      </w:pPr>
      <w:r>
        <w:rPr>
          <w:rFonts w:ascii="Arial" w:cs="Arial" w:eastAsia="Arial" w:hAnsi="Arial"/>
          <w:b/>
          <w:bCs/>
          <w:sz w:val="22"/>
          <w:szCs w:val="22"/>
        </w:rPr>
        <w:t xml:space="preserve">Freight: </w:t>
      </w:r>
      <w:r>
        <w:rPr>
          <w:rFonts w:ascii="Arial" w:cs="Arial" w:eastAsia="Arial" w:hAnsi="Arial"/>
          <w:sz w:val="22"/>
          <w:szCs w:val="22"/>
        </w:rPr>
        <w:t xml:space="preserve">Baltic Dry Index, vessel tracking (AIS data), port congestion metrics, inland barge and truck rate indices. Freight is a material component of landed cost and can invert trade economics.</w:t>
      </w:r>
    </w:p>
    <w:p>
      <w:pPr>
        <w:spacing w:after="160"/>
        <w:jc w:val="both"/>
      </w:pPr>
      <w:r>
        <w:rPr>
          <w:rFonts w:ascii="Arial" w:cs="Arial" w:eastAsia="Arial" w:hAnsi="Arial"/>
          <w:b/>
          <w:bCs/>
          <w:sz w:val="22"/>
          <w:szCs w:val="22"/>
        </w:rPr>
        <w:t xml:space="preserve">Global stocks and balances: </w:t>
      </w:r>
      <w:r>
        <w:rPr>
          <w:rFonts w:ascii="Arial" w:cs="Arial" w:eastAsia="Arial" w:hAnsi="Arial"/>
          <w:sz w:val="22"/>
          <w:szCs w:val="22"/>
        </w:rPr>
        <w:t xml:space="preserve">USDA WASDE, CONAB, ABIOVE, Rosario Grain Exchange estimates. These drive medium-term price expectations and are inputs to scenario analysis.</w:t>
      </w:r>
    </w:p>
    <w:p>
      <w:pPr>
        <w:spacing w:after="160"/>
        <w:jc w:val="both"/>
      </w:pPr>
      <w:r>
        <w:rPr>
          <w:rFonts w:ascii="Arial" w:cs="Arial" w:eastAsia="Arial" w:hAnsi="Arial"/>
          <w:b/>
          <w:bCs/>
          <w:sz w:val="22"/>
          <w:szCs w:val="22"/>
        </w:rPr>
        <w:t xml:space="preserve">Macro indicators: </w:t>
      </w:r>
      <w:r>
        <w:rPr>
          <w:rFonts w:ascii="Arial" w:cs="Arial" w:eastAsia="Arial" w:hAnsi="Arial"/>
          <w:sz w:val="22"/>
          <w:szCs w:val="22"/>
        </w:rPr>
        <w:t xml:space="preserve">Interest rates (affecting cost of carry), FX forwards (affecting cross-currency exposure), and credit spreads (affecting counterparty risk). These are inputs to P&amp;L projections and stress testing.</w:t>
      </w:r>
    </w:p>
    <w:p>
      <w:pPr>
        <w:pStyle w:val="Heading2"/>
        <w:spacing w:before="280" w:after="160"/>
      </w:pPr>
      <w:r>
        <w:rPr>
          <w:rFonts w:ascii="Arial" w:cs="Arial" w:eastAsia="Arial" w:hAnsi="Arial"/>
          <w:b/>
          <w:bCs/>
          <w:sz w:val="28"/>
          <w:szCs w:val="28"/>
        </w:rPr>
        <w:t xml:space="preserve">6.3 Outputs</w:t>
      </w:r>
    </w:p>
    <w:p>
      <w:pPr>
        <w:spacing w:after="160"/>
        <w:jc w:val="both"/>
      </w:pPr>
      <w:r>
        <w:rPr>
          <w:rFonts w:ascii="Arial" w:cs="Arial" w:eastAsia="Arial" w:hAnsi="Arial"/>
          <w:b/>
          <w:bCs/>
          <w:sz w:val="22"/>
          <w:szCs w:val="22"/>
        </w:rPr>
        <w:t xml:space="preserve">Scenario analysis: </w:t>
      </w:r>
      <w:r>
        <w:rPr>
          <w:rFonts w:ascii="Arial" w:cs="Arial" w:eastAsia="Arial" w:hAnsi="Arial"/>
          <w:sz w:val="22"/>
          <w:szCs w:val="22"/>
        </w:rPr>
        <w:t xml:space="preserve">Answering questions like: If Argentina declares an export ban on soybeans, what is the impact on our book? The system traces through positions, committed logistics, and basis exposures to produce a dollar-denominated impact estimate, not a generic market commentary.</w:t>
      </w:r>
    </w:p>
    <w:p>
      <w:pPr>
        <w:spacing w:after="160"/>
        <w:jc w:val="both"/>
      </w:pPr>
      <w:r>
        <w:rPr>
          <w:rFonts w:ascii="Arial" w:cs="Arial" w:eastAsia="Arial" w:hAnsi="Arial"/>
          <w:b/>
          <w:bCs/>
          <w:sz w:val="22"/>
          <w:szCs w:val="22"/>
        </w:rPr>
        <w:t xml:space="preserve">Stress testing: </w:t>
      </w:r>
      <w:r>
        <w:rPr>
          <w:rFonts w:ascii="Arial" w:cs="Arial" w:eastAsia="Arial" w:hAnsi="Arial"/>
          <w:sz w:val="22"/>
          <w:szCs w:val="22"/>
        </w:rPr>
        <w:t xml:space="preserve">Both historical (replaying the 2012 drought, the 2018 US-China trade war) and hypothetical (simultaneous basis widening + FX depreciation + freight spike). Stresses are applied to the firm's actual positions, not to a hypothetical portfolio.</w:t>
      </w:r>
    </w:p>
    <w:p>
      <w:pPr>
        <w:spacing w:after="160"/>
        <w:jc w:val="both"/>
      </w:pPr>
      <w:r>
        <w:rPr>
          <w:rFonts w:ascii="Arial" w:cs="Arial" w:eastAsia="Arial" w:hAnsi="Arial"/>
          <w:b/>
          <w:bCs/>
          <w:sz w:val="22"/>
          <w:szCs w:val="22"/>
        </w:rPr>
        <w:t xml:space="preserve">Risk concentration alerts: </w:t>
      </w:r>
      <w:r>
        <w:rPr>
          <w:rFonts w:ascii="Arial" w:cs="Arial" w:eastAsia="Arial" w:hAnsi="Arial"/>
          <w:sz w:val="22"/>
          <w:szCs w:val="22"/>
        </w:rPr>
        <w:t xml:space="preserve">Automated detection of portfolio concentrations that exceed predefined thresholds. For example: 85% of soybean short physical exposure is concentrated in the Rosario corridor; or 60% of corn basis exposure references a single futures month.</w:t>
      </w:r>
    </w:p>
    <w:p>
      <w:pPr>
        <w:pStyle w:val="Heading2"/>
        <w:spacing w:before="280" w:after="160"/>
      </w:pPr>
      <w:r>
        <w:rPr>
          <w:rFonts w:ascii="Arial" w:cs="Arial" w:eastAsia="Arial" w:hAnsi="Arial"/>
          <w:b/>
          <w:bCs/>
          <w:sz w:val="28"/>
          <w:szCs w:val="28"/>
        </w:rPr>
        <w:t xml:space="preserve">6.4 Integration with Other Engines</w:t>
      </w:r>
    </w:p>
    <w:p>
      <w:pPr>
        <w:spacing w:after="160"/>
        <w:jc w:val="both"/>
      </w:pPr>
      <w:r>
        <w:rPr>
          <w:rFonts w:ascii="Arial" w:cs="Arial" w:eastAsia="Arial" w:hAnsi="Arial"/>
          <w:b w:val="false"/>
          <w:bCs w:val="false"/>
          <w:i w:val="false"/>
          <w:iCs w:val="false"/>
          <w:sz w:val="22"/>
          <w:szCs w:val="22"/>
        </w:rPr>
        <w:t xml:space="preserve">The Research layer reads from the Event Ledger (Layer 1), the Position Engine (Layer 2), and the Logistics Engine (Layer 3). It does not write back to any of them. It is strictly advisory. If a scenario analysis suggests that a position should be hedged, the trader must enter the hedge event manually. The system explains consequences; it does not take autonomous action.</w:t>
      </w:r>
    </w:p>
    <w:p>
      <w:r>
        <w:br w:type="page"/>
      </w:r>
    </w:p>
    <w:p>
      <w:pPr>
        <w:pStyle w:val="Heading1"/>
        <w:spacing w:before="360" w:after="200"/>
      </w:pPr>
      <w:r>
        <w:rPr>
          <w:rFonts w:ascii="Arial" w:cs="Arial" w:eastAsia="Arial" w:hAnsi="Arial"/>
          <w:b/>
          <w:bCs/>
          <w:sz w:val="32"/>
          <w:szCs w:val="32"/>
        </w:rPr>
        <w:t xml:space="preserve">7. Human Interface</w:t>
      </w:r>
    </w:p>
    <w:p>
      <w:pPr>
        <w:pStyle w:val="Heading2"/>
        <w:spacing w:before="280" w:after="160"/>
      </w:pPr>
      <w:r>
        <w:rPr>
          <w:rFonts w:ascii="Arial" w:cs="Arial" w:eastAsia="Arial" w:hAnsi="Arial"/>
          <w:b/>
          <w:bCs/>
          <w:sz w:val="28"/>
          <w:szCs w:val="28"/>
        </w:rPr>
        <w:t xml:space="preserve">7.1 Design Philosophy</w:t>
      </w:r>
    </w:p>
    <w:p>
      <w:pPr>
        <w:spacing w:after="160"/>
        <w:jc w:val="both"/>
      </w:pPr>
      <w:r>
        <w:rPr>
          <w:rFonts w:ascii="Arial" w:cs="Arial" w:eastAsia="Arial" w:hAnsi="Arial"/>
          <w:b w:val="false"/>
          <w:bCs w:val="false"/>
          <w:i w:val="false"/>
          <w:iCs w:val="false"/>
          <w:sz w:val="22"/>
          <w:szCs w:val="22"/>
        </w:rPr>
        <w:t xml:space="preserve">Traders do not use dashboards. This is not a preference; it is an empirical observation validated across decades of ETRM implementations. Systems that prioritize visual dashboards over workflow efficiency are abandoned in favor of Excel within weeks of deployment. The interface must be faster than Excel for the tasks traders perform daily, or it will not be adopted.</w:t>
      </w:r>
    </w:p>
    <w:p>
      <w:pPr>
        <w:pStyle w:val="Heading2"/>
        <w:spacing w:before="280" w:after="160"/>
      </w:pPr>
      <w:r>
        <w:rPr>
          <w:rFonts w:ascii="Arial" w:cs="Arial" w:eastAsia="Arial" w:hAnsi="Arial"/>
          <w:b/>
          <w:bCs/>
          <w:sz w:val="28"/>
          <w:szCs w:val="28"/>
        </w:rPr>
        <w:t xml:space="preserve">7.2 Structured Event Entry</w:t>
      </w:r>
    </w:p>
    <w:p>
      <w:pPr>
        <w:spacing w:after="160"/>
        <w:jc w:val="both"/>
      </w:pPr>
      <w:r>
        <w:rPr>
          <w:rFonts w:ascii="Arial" w:cs="Arial" w:eastAsia="Arial" w:hAnsi="Arial"/>
          <w:b w:val="false"/>
          <w:bCs w:val="false"/>
          <w:i w:val="false"/>
          <w:iCs w:val="false"/>
          <w:sz w:val="22"/>
          <w:szCs w:val="22"/>
        </w:rPr>
        <w:t xml:space="preserve">Event entry is guided and constrained. The trader selects an event type, and the system presents only the fields relevant to that type. Critical dimensions (commodity, origin, counterparty, location, book) are selected from searchable, autocompleted controlled vocabularies. Quantities are entered with explicit units. Prices are entered with explicit price types. The system validates the event before confirmation and provides immediate feedback on the impact of the event on the trader's position.</w:t>
      </w:r>
    </w:p>
    <w:p>
      <w:pPr>
        <w:spacing w:after="160"/>
        <w:jc w:val="both"/>
      </w:pPr>
      <w:r>
        <w:rPr>
          <w:rFonts w:ascii="Arial" w:cs="Arial" w:eastAsia="Arial" w:hAnsi="Arial"/>
          <w:b w:val="false"/>
          <w:bCs w:val="false"/>
          <w:i w:val="false"/>
          <w:iCs w:val="false"/>
          <w:sz w:val="22"/>
          <w:szCs w:val="22"/>
        </w:rPr>
        <w:t xml:space="preserve">The goal is not to slow traders down with bureaucratic forms. The goal is to capture structured data at the point of origin so that no downstream reconciliation, cleanup, or interpretation is needed. The time saved on post-trade processing far exceeds the additional seconds required for structured entry.</w:t>
      </w:r>
    </w:p>
    <w:p>
      <w:pPr>
        <w:pStyle w:val="Heading2"/>
        <w:spacing w:before="280" w:after="160"/>
      </w:pPr>
      <w:r>
        <w:rPr>
          <w:rFonts w:ascii="Arial" w:cs="Arial" w:eastAsia="Arial" w:hAnsi="Arial"/>
          <w:b/>
          <w:bCs/>
          <w:sz w:val="28"/>
          <w:szCs w:val="28"/>
        </w:rPr>
        <w:t xml:space="preserve">7.3 Natural Language Query</w:t>
      </w:r>
    </w:p>
    <w:p>
      <w:pPr>
        <w:spacing w:after="160"/>
        <w:jc w:val="both"/>
      </w:pPr>
      <w:r>
        <w:rPr>
          <w:rFonts w:ascii="Arial" w:cs="Arial" w:eastAsia="Arial" w:hAnsi="Arial"/>
          <w:b w:val="false"/>
          <w:bCs w:val="false"/>
          <w:i w:val="false"/>
          <w:iCs w:val="false"/>
          <w:sz w:val="22"/>
          <w:szCs w:val="22"/>
        </w:rPr>
        <w:t xml:space="preserve">The system supports natural language queries for explanation and exploration. Examples:</w:t>
      </w:r>
    </w:p>
    <w:p>
      <w:pPr>
        <w:spacing w:after="160"/>
        <w:jc w:val="both"/>
      </w:pPr>
      <w:r>
        <w:rPr>
          <w:rFonts w:ascii="Arial" w:cs="Arial" w:eastAsia="Arial" w:hAnsi="Arial"/>
          <w:b w:val="false"/>
          <w:bCs w:val="false"/>
          <w:i w:val="false"/>
          <w:iCs w:val="false"/>
          <w:sz w:val="22"/>
          <w:szCs w:val="22"/>
        </w:rPr>
        <w:t xml:space="preserve">"Why does my soy position show negative 5,000 MT?" The system identifies the events that contribute to the position, traces the causal chain, and presents the explanation: three sales of 2,000 MT each against one purchase of 1,000 MT, with the deficit arising from a cancelled delivery event on February 3rd.</w:t>
      </w:r>
    </w:p>
    <w:p>
      <w:pPr>
        <w:spacing w:after="160"/>
        <w:jc w:val="both"/>
      </w:pPr>
      <w:r>
        <w:rPr>
          <w:rFonts w:ascii="Arial" w:cs="Arial" w:eastAsia="Arial" w:hAnsi="Arial"/>
          <w:b w:val="false"/>
          <w:bCs w:val="false"/>
          <w:i w:val="false"/>
          <w:iCs w:val="false"/>
          <w:sz w:val="22"/>
          <w:szCs w:val="22"/>
        </w:rPr>
        <w:t xml:space="preserve">"What happens to my P&amp;L if CBOT May soy drops 20 cents?" The system computes the first-order impact on the flat price P&amp;L, adjusts for delta on any options positions, and estimates the second-order basis impact based on historical basis-futures correlation.</w:t>
      </w:r>
    </w:p>
    <w:p>
      <w:pPr>
        <w:spacing w:after="160"/>
        <w:jc w:val="both"/>
      </w:pPr>
      <w:r>
        <w:rPr>
          <w:rFonts w:ascii="Arial" w:cs="Arial" w:eastAsia="Arial" w:hAnsi="Arial"/>
          <w:b w:val="false"/>
          <w:bCs w:val="false"/>
          <w:i w:val="false"/>
          <w:iCs w:val="false"/>
          <w:sz w:val="22"/>
          <w:szCs w:val="22"/>
        </w:rPr>
        <w:t xml:space="preserve">"Show me all unpriced soy purchases for March delivery." The system queries the event ledger, filters for the specified criteria, and presents the results with current basis-implied valuations.</w:t>
      </w:r>
    </w:p>
    <w:p>
      <w:pPr>
        <w:pStyle w:val="Heading2"/>
        <w:spacing w:before="280" w:after="160"/>
      </w:pPr>
      <w:r>
        <w:rPr>
          <w:rFonts w:ascii="Arial" w:cs="Arial" w:eastAsia="Arial" w:hAnsi="Arial"/>
          <w:b/>
          <w:bCs/>
          <w:sz w:val="28"/>
          <w:szCs w:val="28"/>
        </w:rPr>
        <w:t xml:space="preserve">7.4 Audit Trail</w:t>
      </w:r>
    </w:p>
    <w:p>
      <w:pPr>
        <w:spacing w:after="160"/>
        <w:jc w:val="both"/>
      </w:pPr>
      <w:r>
        <w:rPr>
          <w:rFonts w:ascii="Arial" w:cs="Arial" w:eastAsia="Arial" w:hAnsi="Arial"/>
          <w:b w:val="false"/>
          <w:bCs w:val="false"/>
          <w:i w:val="false"/>
          <w:iCs w:val="false"/>
          <w:sz w:val="22"/>
          <w:szCs w:val="22"/>
        </w:rPr>
        <w:t xml:space="preserve">Every derived number in the system is traceable. Clicking on a position number reveals the events that compose it. Clicking on a P&amp;L number reveals the price changes, position changes, and attribution logic that produced it. Clicking on an optimization recommendation reveals the objective function coefficients, binding constraints, and shadow prices that drove it.</w:t>
      </w:r>
    </w:p>
    <w:p>
      <w:pPr>
        <w:spacing w:after="160"/>
        <w:jc w:val="both"/>
      </w:pPr>
      <w:r>
        <w:rPr>
          <w:rFonts w:ascii="Arial" w:cs="Arial" w:eastAsia="Arial" w:hAnsi="Arial"/>
          <w:b w:val="false"/>
          <w:bCs w:val="false"/>
          <w:i w:val="false"/>
          <w:iCs w:val="false"/>
          <w:sz w:val="22"/>
          <w:szCs w:val="22"/>
        </w:rPr>
        <w:t xml:space="preserve">This is not a reporting feature. It is a trust mechanism. Traders will not rely on a number they cannot explain. Full traceability is a precondition for adoption.</w:t>
      </w:r>
    </w:p>
    <w:p>
      <w:r>
        <w:br w:type="page"/>
      </w:r>
    </w:p>
    <w:p>
      <w:pPr>
        <w:pStyle w:val="Heading1"/>
        <w:spacing w:before="360" w:after="200"/>
      </w:pPr>
      <w:r>
        <w:rPr>
          <w:rFonts w:ascii="Arial" w:cs="Arial" w:eastAsia="Arial" w:hAnsi="Arial"/>
          <w:b/>
          <w:bCs/>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Requirement</w:t>
            </w:r>
          </w:p>
        </w:tc>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Specification</w:t>
            </w:r>
          </w:p>
        </w:tc>
        <w:tc>
          <w:tcPr>
            <w:tcW w:type="dxa" w:w="4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Implementation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Auditability</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Complete event history with cryptographic integrity. Every state of the system reconstructable at any point in time.</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Append-only ledger with SHA-256 chain hashing. No delete operations. Amendment-via-new-event pattern. SOX-compliant access logging.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Explainability</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Every derived number (position, P&amp;L, optimization result) traceable to source events and computational logic.</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Lineage tracking on every computation. Dependency graphs stored and queryable. Natural language explanation engine for non-technical users.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Determinism</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inputs produce same outputs. No stochastic elements in core position or P&amp;L computation.</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Pure functional computation in Layers 2 and 3. Monte Carlo simulations (Layer 4 only) explicitly labeled as probabilistic and segregated from deterministic outputs.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Scalability</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Support 10,000+ events per day. Position recomputation in under 5 seconds. Query response time under 1 second for standard decompositions.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Event-sourced architecture with materialized views. Incremental position updates on new events. Pre-computed aggregations for common query patterns.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Role-based access control at book level. Trader A cannot see Trader B's events unless authorized. Encryption at rest and in transit.</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OAuth 2.0 authentication. Book-level RBAC enforced at the query layer. TLS 1.3 in transit. AES-256 at rest. Audit log of all access.</w:t>
            </w:r>
          </w:p>
        </w:tc>
      </w:tr>
    </w:tbl>
    <w:p>
      <w:r>
        <w:br w:type="page"/>
      </w:r>
    </w:p>
    <w:p>
      <w:pPr>
        <w:pStyle w:val="Heading1"/>
        <w:spacing w:before="360" w:after="200"/>
      </w:pPr>
      <w:r>
        <w:rPr>
          <w:rFonts w:ascii="Arial" w:cs="Arial" w:eastAsia="Arial" w:hAnsi="Arial"/>
          <w:b/>
          <w:bCs/>
          <w:sz w:val="32"/>
          <w:szCs w:val="32"/>
        </w:rPr>
        <w:t xml:space="preserve">9. Why This Cannot Be Replicated with Excel or ETRMs</w:t>
      </w:r>
    </w:p>
    <w:p>
      <w:pPr>
        <w:pStyle w:val="Heading2"/>
        <w:spacing w:before="280" w:after="160"/>
      </w:pPr>
      <w:r>
        <w:rPr>
          <w:rFonts w:ascii="Arial" w:cs="Arial" w:eastAsia="Arial" w:hAnsi="Arial"/>
          <w:b/>
          <w:bCs/>
          <w:sz w:val="28"/>
          <w:szCs w:val="28"/>
        </w:rPr>
        <w:t xml:space="preserve">9.1 Excel Limitations</w:t>
      </w:r>
    </w:p>
    <w:p>
      <w:pPr>
        <w:spacing w:after="160"/>
        <w:jc w:val="both"/>
      </w:pPr>
      <w:r>
        <w:rPr>
          <w:rFonts w:ascii="Arial" w:cs="Arial" w:eastAsia="Arial" w:hAnsi="Arial"/>
          <w:b w:val="false"/>
          <w:bCs w:val="false"/>
          <w:i w:val="false"/>
          <w:iCs w:val="false"/>
          <w:sz w:val="22"/>
          <w:szCs w:val="22"/>
        </w:rPr>
        <w:t xml:space="preserve">Excel is the de facto operational tool in most commodity trading desks. It is also the root cause of the three structural problems this platform addresses.</w:t>
      </w:r>
    </w:p>
    <w:p>
      <w:pPr>
        <w:spacing w:after="160"/>
        <w:jc w:val="both"/>
      </w:pPr>
      <w:r>
        <w:rPr>
          <w:rFonts w:ascii="Arial" w:cs="Arial" w:eastAsia="Arial" w:hAnsi="Arial"/>
          <w:b w:val="false"/>
          <w:bCs w:val="false"/>
          <w:i w:val="false"/>
          <w:iCs w:val="false"/>
          <w:sz w:val="22"/>
          <w:szCs w:val="22"/>
        </w:rPr>
        <w:t xml:space="preserve">No referential integrity. Excel does not enforce data types, controlled vocabularies, or relational constraints. A trader can type "soy" in one cell and "soybeans" in another, and these are treated as different products. Position aggregation across workbooks is a manual, error-prone reconciliation exercise.</w:t>
      </w:r>
    </w:p>
    <w:p>
      <w:pPr>
        <w:spacing w:after="160"/>
        <w:jc w:val="both"/>
      </w:pPr>
      <w:r>
        <w:rPr>
          <w:rFonts w:ascii="Arial" w:cs="Arial" w:eastAsia="Arial" w:hAnsi="Arial"/>
          <w:b w:val="false"/>
          <w:bCs w:val="false"/>
          <w:i w:val="false"/>
          <w:iCs w:val="false"/>
          <w:sz w:val="22"/>
          <w:szCs w:val="22"/>
        </w:rPr>
        <w:t xml:space="preserve">No computational integrity. Formulas can be overwritten. Links between workbooks break. Version control is non-existent. Two traders querying the same position from different workbooks get different answers, and neither can explain the discrepancy without hours of manual investigation.</w:t>
      </w:r>
    </w:p>
    <w:p>
      <w:pPr>
        <w:spacing w:after="160"/>
        <w:jc w:val="both"/>
      </w:pPr>
      <w:r>
        <w:rPr>
          <w:rFonts w:ascii="Arial" w:cs="Arial" w:eastAsia="Arial" w:hAnsi="Arial"/>
          <w:b w:val="false"/>
          <w:bCs w:val="false"/>
          <w:i w:val="false"/>
          <w:iCs w:val="false"/>
          <w:sz w:val="22"/>
          <w:szCs w:val="22"/>
        </w:rPr>
        <w:t xml:space="preserve">No optimization capability. Excel Solver is a toy. It cannot handle the dimensionality, constraint complexity, or integer variables required for real logistics optimization. Logistics decisions are made by experienced operators using judgment and heuristics, which is better than nothing but leaves significant margin on the table.</w:t>
      </w:r>
    </w:p>
    <w:p>
      <w:pPr>
        <w:spacing w:after="160"/>
        <w:jc w:val="both"/>
      </w:pPr>
      <w:r>
        <w:rPr>
          <w:rFonts w:ascii="Arial" w:cs="Arial" w:eastAsia="Arial" w:hAnsi="Arial"/>
          <w:b w:val="false"/>
          <w:bCs w:val="false"/>
          <w:i w:val="false"/>
          <w:iCs w:val="false"/>
          <w:sz w:val="22"/>
          <w:szCs w:val="22"/>
        </w:rPr>
        <w:t xml:space="preserve">No auditability. There is no audit trail in a workbook. When a number changes, the previous value is gone. When a regulator asks how a position was constructed, the answer is a manual reconstruction that may or may not match the original.</w:t>
      </w:r>
    </w:p>
    <w:p>
      <w:pPr>
        <w:pStyle w:val="Heading2"/>
        <w:spacing w:before="280" w:after="160"/>
      </w:pPr>
      <w:r>
        <w:rPr>
          <w:rFonts w:ascii="Arial" w:cs="Arial" w:eastAsia="Arial" w:hAnsi="Arial"/>
          <w:b/>
          <w:bCs/>
          <w:sz w:val="28"/>
          <w:szCs w:val="28"/>
        </w:rPr>
        <w:t xml:space="preserve">9.2 ETRM Limitations</w:t>
      </w:r>
    </w:p>
    <w:p>
      <w:pPr>
        <w:spacing w:after="160"/>
        <w:jc w:val="both"/>
      </w:pPr>
      <w:r>
        <w:rPr>
          <w:rFonts w:ascii="Arial" w:cs="Arial" w:eastAsia="Arial" w:hAnsi="Arial"/>
          <w:b w:val="false"/>
          <w:bCs w:val="false"/>
          <w:i w:val="false"/>
          <w:iCs w:val="false"/>
          <w:sz w:val="22"/>
          <w:szCs w:val="22"/>
        </w:rPr>
        <w:t xml:space="preserve">Enterprise Trading and Risk Management systems address some of Excel's shortcomings but fail on the specific problems this platform solves.</w:t>
      </w:r>
    </w:p>
    <w:p>
      <w:pPr>
        <w:spacing w:after="160"/>
        <w:jc w:val="both"/>
      </w:pPr>
      <w:r>
        <w:rPr>
          <w:rFonts w:ascii="Arial" w:cs="Arial" w:eastAsia="Arial" w:hAnsi="Arial"/>
          <w:b w:val="false"/>
          <w:bCs w:val="false"/>
          <w:i w:val="false"/>
          <w:iCs w:val="false"/>
          <w:sz w:val="22"/>
          <w:szCs w:val="22"/>
        </w:rPr>
        <w:t xml:space="preserve">Position entry is manual. Most ETRMs allow and even require direct position entry or manual adjustment. This violates the core principle. The moment a user can manually set a position, reconciliation becomes necessary, and the single source of truth is compromised.</w:t>
      </w:r>
    </w:p>
    <w:p>
      <w:pPr>
        <w:spacing w:after="160"/>
        <w:jc w:val="both"/>
      </w:pPr>
      <w:r>
        <w:rPr>
          <w:rFonts w:ascii="Arial" w:cs="Arial" w:eastAsia="Arial" w:hAnsi="Arial"/>
          <w:b w:val="false"/>
          <w:bCs w:val="false"/>
          <w:i w:val="false"/>
          <w:iCs w:val="false"/>
          <w:sz w:val="22"/>
          <w:szCs w:val="22"/>
        </w:rPr>
        <w:t xml:space="preserve">No integrated logistics optimization. ETRMs manage trades and risk. They do not optimize physical logistics. Logistics modules, where they exist, are scheduling tools, not optimization engines. They tell you what is planned; they do not tell you what is optimal.</w:t>
      </w:r>
    </w:p>
    <w:p>
      <w:pPr>
        <w:spacing w:after="160"/>
        <w:jc w:val="both"/>
      </w:pPr>
      <w:r>
        <w:rPr>
          <w:rFonts w:ascii="Arial" w:cs="Arial" w:eastAsia="Arial" w:hAnsi="Arial"/>
          <w:b w:val="false"/>
          <w:bCs w:val="false"/>
          <w:i w:val="false"/>
          <w:iCs w:val="false"/>
          <w:sz w:val="22"/>
          <w:szCs w:val="22"/>
        </w:rPr>
        <w:t xml:space="preserve">No contextual intelligence. ETRM analytics modules provide standard risk metrics (VaR, Greeks, exposure reports) but do not integrate external data in a way that is contextual to the firm's actual portfolio. The research function remains a separate, disconnected activity.</w:t>
      </w:r>
    </w:p>
    <w:p>
      <w:pPr>
        <w:pStyle w:val="Heading2"/>
        <w:spacing w:before="280" w:after="160"/>
      </w:pPr>
      <w:r>
        <w:rPr>
          <w:rFonts w:ascii="Arial" w:cs="Arial" w:eastAsia="Arial" w:hAnsi="Arial"/>
          <w:b/>
          <w:bCs/>
          <w:sz w:val="28"/>
          <w:szCs w:val="28"/>
        </w:rPr>
        <w:t xml:space="preserve">9.3 This Platform's Structural Advantage</w:t>
      </w:r>
    </w:p>
    <w:p>
      <w:pPr>
        <w:spacing w:after="160"/>
        <w:jc w:val="both"/>
      </w:pPr>
      <w:r>
        <w:rPr>
          <w:rFonts w:ascii="Arial" w:cs="Arial" w:eastAsia="Arial" w:hAnsi="Arial"/>
          <w:b w:val="false"/>
          <w:bCs w:val="false"/>
          <w:i w:val="false"/>
          <w:iCs w:val="false"/>
          <w:sz w:val="22"/>
          <w:szCs w:val="22"/>
        </w:rPr>
        <w:t xml:space="preserve">Event-driven positions are always correct by construction. There is no reconciliation problem because there is only one computational path from events to positions. Integrated logistics optimization quantifies the value of every decision and the cost of every deviation. Contextual intelligence connects research to the portfolio, making every insight decision-relevant. A single platform eliminates the interfaces, manual handoffs, and reconciliation processes that consume operational time and introduce errors.</w:t>
      </w:r>
    </w:p>
    <w:p>
      <w:r>
        <w:br w:type="page"/>
      </w:r>
    </w:p>
    <w:p>
      <w:pPr>
        <w:pStyle w:val="Heading1"/>
        <w:spacing w:before="360" w:after="200"/>
      </w:pPr>
      <w:r>
        <w:rPr>
          <w:rFonts w:ascii="Arial" w:cs="Arial" w:eastAsia="Arial" w:hAnsi="Arial"/>
          <w:b/>
          <w:bCs/>
          <w:sz w:val="32"/>
          <w:szCs w:val="32"/>
        </w:rPr>
        <w:t xml:space="preserve">10. Key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Risk</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Impact</w:t>
            </w:r>
          </w:p>
        </w:tc>
        <w:tc>
          <w:tcPr>
            <w:tcW w:type="dxa" w:w="4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Mitigation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Organizational resistance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Traders accustomed to Excel and existing workflows may resist adoption, leading to parallel systems and loss of single-source-of-truth integrity.</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Phased rollout. Start with one desk (e.g., Argentine origination) and prove value before expanding. Measure adoption by tracking percentage of events entered through the platform vs. Excel.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quality at migration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Historical data in existing systems is inconsistent, incomplete, and may contain compensating errors that mask underlying issues.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Parallel run period of 3-6 months. Both systems operate simultaneously. Discrepancies are investigated and resolved. Migration is declared complete only when positions match for 30 consecutive business days.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Model risk in optimization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Incorrect constraints or objective function coefficients could produce recommendations that lose money or violate contractual obligations.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Conservative default constraints. All optimization recommendations require human confirmation. Shadow mode for first 90 days (recommendations generated but not acted upon). Post-hoc analysis of recommendation quality.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Over-reliance on automation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Users stop thinking critically about positions and logistics because the system does it for them, leading to blind trust and missed edge cases.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Mandatory human confirmation for all events and optimization actions. System explains its reasoning but never executes autonomously. Regular training on the underlying models so users understand what the system is doing.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Integration complexity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Legacy systems (ERP, accounting, vessel nomination, port systems) require interfaces that may be fragile or slow.</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API-first design. All data enters and exits through well-defined REST APIs. Adapters built for each legacy system. Monitoring and alerting on all integration points. Graceful degradation if an upstream system is unavailable.</w:t>
            </w:r>
          </w:p>
        </w:tc>
      </w:tr>
    </w:tbl>
    <w:p>
      <w:r>
        <w:br w:type="page"/>
      </w:r>
    </w:p>
    <w:p>
      <w:pPr>
        <w:pStyle w:val="Heading1"/>
        <w:spacing w:before="360" w:after="200"/>
      </w:pPr>
      <w:r>
        <w:rPr>
          <w:rFonts w:ascii="Arial" w:cs="Arial" w:eastAsia="Arial" w:hAnsi="Arial"/>
          <w:b/>
          <w:bCs/>
          <w:sz w:val="32"/>
          <w:szCs w:val="32"/>
        </w:rPr>
        <w:t xml:space="preserve">Appendix A: Glossary</w:t>
      </w:r>
    </w:p>
    <w:p>
      <w:pPr>
        <w:spacing w:after="160"/>
        <w:jc w:val="both"/>
      </w:pPr>
      <w:r>
        <w:rPr>
          <w:rFonts w:ascii="Arial" w:cs="Arial" w:eastAsia="Arial" w:hAnsi="Arial"/>
          <w:b/>
          <w:bCs/>
          <w:sz w:val="22"/>
          <w:szCs w:val="22"/>
        </w:rPr>
        <w:t xml:space="preserve">Basis: </w:t>
      </w:r>
      <w:r>
        <w:rPr>
          <w:rFonts w:ascii="Arial" w:cs="Arial" w:eastAsia="Arial" w:hAnsi="Arial"/>
          <w:sz w:val="22"/>
          <w:szCs w:val="22"/>
        </w:rPr>
        <w:t xml:space="preserve">The difference between the cash (physical) price at a specific location and the price of the reference futures contract. Basis reflects local supply/demand dynamics, transport costs, and quality differentials.</w:t>
      </w:r>
    </w:p>
    <w:p>
      <w:pPr>
        <w:spacing w:after="160"/>
        <w:jc w:val="both"/>
      </w:pPr>
      <w:r>
        <w:rPr>
          <w:rFonts w:ascii="Arial" w:cs="Arial" w:eastAsia="Arial" w:hAnsi="Arial"/>
          <w:b/>
          <w:bCs/>
          <w:sz w:val="22"/>
          <w:szCs w:val="22"/>
        </w:rPr>
        <w:t xml:space="preserve">Book: </w:t>
      </w:r>
      <w:r>
        <w:rPr>
          <w:rFonts w:ascii="Arial" w:cs="Arial" w:eastAsia="Arial" w:hAnsi="Arial"/>
          <w:sz w:val="22"/>
          <w:szCs w:val="22"/>
        </w:rPr>
        <w:t xml:space="preserve">A logical grouping of trades and positions, typically aligned with a trading desk or strategy. Each book has its own P&amp;L and risk limits.</w:t>
      </w:r>
    </w:p>
    <w:p>
      <w:pPr>
        <w:spacing w:after="160"/>
        <w:jc w:val="both"/>
      </w:pPr>
      <w:r>
        <w:rPr>
          <w:rFonts w:ascii="Arial" w:cs="Arial" w:eastAsia="Arial" w:hAnsi="Arial"/>
          <w:b/>
          <w:bCs/>
          <w:sz w:val="22"/>
          <w:szCs w:val="22"/>
        </w:rPr>
        <w:t xml:space="preserve">Carry: </w:t>
      </w:r>
      <w:r>
        <w:rPr>
          <w:rFonts w:ascii="Arial" w:cs="Arial" w:eastAsia="Arial" w:hAnsi="Arial"/>
          <w:sz w:val="22"/>
          <w:szCs w:val="22"/>
        </w:rPr>
        <w:t xml:space="preserve">The cost of holding physical inventory over time, including storage fees, insurance, financing costs, and quality degradation.</w:t>
      </w:r>
    </w:p>
    <w:p>
      <w:pPr>
        <w:spacing w:after="160"/>
        <w:jc w:val="both"/>
      </w:pPr>
      <w:r>
        <w:rPr>
          <w:rFonts w:ascii="Arial" w:cs="Arial" w:eastAsia="Arial" w:hAnsi="Arial"/>
          <w:b/>
          <w:bCs/>
          <w:sz w:val="22"/>
          <w:szCs w:val="22"/>
        </w:rPr>
        <w:t xml:space="preserve">Contango: </w:t>
      </w:r>
      <w:r>
        <w:rPr>
          <w:rFonts w:ascii="Arial" w:cs="Arial" w:eastAsia="Arial" w:hAnsi="Arial"/>
          <w:sz w:val="22"/>
          <w:szCs w:val="22"/>
        </w:rPr>
        <w:t xml:space="preserve">A market structure where futures prices for later delivery periods are higher than for nearer periods, reflecting positive carry costs.</w:t>
      </w:r>
    </w:p>
    <w:p>
      <w:pPr>
        <w:spacing w:after="160"/>
        <w:jc w:val="both"/>
      </w:pPr>
      <w:r>
        <w:rPr>
          <w:rFonts w:ascii="Arial" w:cs="Arial" w:eastAsia="Arial" w:hAnsi="Arial"/>
          <w:b/>
          <w:bCs/>
          <w:sz w:val="22"/>
          <w:szCs w:val="22"/>
        </w:rPr>
        <w:t xml:space="preserve">ETRM: </w:t>
      </w:r>
      <w:r>
        <w:rPr>
          <w:rFonts w:ascii="Arial" w:cs="Arial" w:eastAsia="Arial" w:hAnsi="Arial"/>
          <w:sz w:val="22"/>
          <w:szCs w:val="22"/>
        </w:rPr>
        <w:t xml:space="preserve">Enterprise Trading and Risk Management system. Software platforms used by commodity firms to manage trades, positions, and risk.</w:t>
      </w:r>
    </w:p>
    <w:p>
      <w:pPr>
        <w:spacing w:after="160"/>
        <w:jc w:val="both"/>
      </w:pPr>
      <w:r>
        <w:rPr>
          <w:rFonts w:ascii="Arial" w:cs="Arial" w:eastAsia="Arial" w:hAnsi="Arial"/>
          <w:b/>
          <w:bCs/>
          <w:sz w:val="22"/>
          <w:szCs w:val="22"/>
        </w:rPr>
        <w:t xml:space="preserve">Event Ledger: </w:t>
      </w:r>
      <w:r>
        <w:rPr>
          <w:rFonts w:ascii="Arial" w:cs="Arial" w:eastAsia="Arial" w:hAnsi="Arial"/>
          <w:sz w:val="22"/>
          <w:szCs w:val="22"/>
        </w:rPr>
        <w:t xml:space="preserve">The immutable, append-only data store at the core of this platform. All economic and physical facts are recorded as events.</w:t>
      </w:r>
    </w:p>
    <w:p>
      <w:pPr>
        <w:spacing w:after="160"/>
        <w:jc w:val="both"/>
      </w:pPr>
      <w:r>
        <w:rPr>
          <w:rFonts w:ascii="Arial" w:cs="Arial" w:eastAsia="Arial" w:hAnsi="Arial"/>
          <w:b/>
          <w:bCs/>
          <w:sz w:val="22"/>
          <w:szCs w:val="22"/>
        </w:rPr>
        <w:t xml:space="preserve">Fixing: </w:t>
      </w:r>
      <w:r>
        <w:rPr>
          <w:rFonts w:ascii="Arial" w:cs="Arial" w:eastAsia="Arial" w:hAnsi="Arial"/>
          <w:sz w:val="22"/>
          <w:szCs w:val="22"/>
        </w:rPr>
        <w:t xml:space="preserve">The act of converting an unpriced (basis) contract into a fixed-price contract by locking in the futures reference price.</w:t>
      </w:r>
    </w:p>
    <w:p>
      <w:pPr>
        <w:spacing w:after="160"/>
        <w:jc w:val="both"/>
      </w:pPr>
      <w:r>
        <w:rPr>
          <w:rFonts w:ascii="Arial" w:cs="Arial" w:eastAsia="Arial" w:hAnsi="Arial"/>
          <w:b/>
          <w:bCs/>
          <w:sz w:val="22"/>
          <w:szCs w:val="22"/>
        </w:rPr>
        <w:t xml:space="preserve">Greeks: </w:t>
      </w:r>
      <w:r>
        <w:rPr>
          <w:rFonts w:ascii="Arial" w:cs="Arial" w:eastAsia="Arial" w:hAnsi="Arial"/>
          <w:sz w:val="22"/>
          <w:szCs w:val="22"/>
        </w:rPr>
        <w:t xml:space="preserve">Risk sensitivities of options positions: Delta (price sensitivity), Gamma (delta sensitivity), Vega (volatility sensitivity), Theta (time decay).</w:t>
      </w:r>
    </w:p>
    <w:p>
      <w:pPr>
        <w:spacing w:after="160"/>
        <w:jc w:val="both"/>
      </w:pPr>
      <w:r>
        <w:rPr>
          <w:rFonts w:ascii="Arial" w:cs="Arial" w:eastAsia="Arial" w:hAnsi="Arial"/>
          <w:b/>
          <w:bCs/>
          <w:sz w:val="22"/>
          <w:szCs w:val="22"/>
        </w:rPr>
        <w:t xml:space="preserve">MILP: </w:t>
      </w:r>
      <w:r>
        <w:rPr>
          <w:rFonts w:ascii="Arial" w:cs="Arial" w:eastAsia="Arial" w:hAnsi="Arial"/>
          <w:sz w:val="22"/>
          <w:szCs w:val="22"/>
        </w:rPr>
        <w:t xml:space="preserve">Mixed-Integer Linear Program. A mathematical optimization problem where some variables are continuous and others are integers, subject to linear constraints.</w:t>
      </w:r>
    </w:p>
    <w:p>
      <w:pPr>
        <w:spacing w:after="160"/>
        <w:jc w:val="both"/>
      </w:pPr>
      <w:r>
        <w:rPr>
          <w:rFonts w:ascii="Arial" w:cs="Arial" w:eastAsia="Arial" w:hAnsi="Arial"/>
          <w:b/>
          <w:bCs/>
          <w:sz w:val="22"/>
          <w:szCs w:val="22"/>
        </w:rPr>
        <w:t xml:space="preserve">Origin: </w:t>
      </w:r>
      <w:r>
        <w:rPr>
          <w:rFonts w:ascii="Arial" w:cs="Arial" w:eastAsia="Arial" w:hAnsi="Arial"/>
          <w:sz w:val="22"/>
          <w:szCs w:val="22"/>
        </w:rPr>
        <w:t xml:space="preserve">The country or region where a physical commodity was produced. Critical for quality, logistics, and regulatory compliance.</w:t>
      </w:r>
    </w:p>
    <w:p>
      <w:pPr>
        <w:spacing w:after="160"/>
        <w:jc w:val="both"/>
      </w:pPr>
      <w:r>
        <w:rPr>
          <w:rFonts w:ascii="Arial" w:cs="Arial" w:eastAsia="Arial" w:hAnsi="Arial"/>
          <w:b/>
          <w:bCs/>
          <w:sz w:val="22"/>
          <w:szCs w:val="22"/>
        </w:rPr>
        <w:t xml:space="preserve">Shadow Price: </w:t>
      </w:r>
      <w:r>
        <w:rPr>
          <w:rFonts w:ascii="Arial" w:cs="Arial" w:eastAsia="Arial" w:hAnsi="Arial"/>
          <w:sz w:val="22"/>
          <w:szCs w:val="22"/>
        </w:rPr>
        <w:t xml:space="preserve">The marginal value of relaxing a binding constraint in an optimization problem. Indicates how much the objective function would improve if the constraint were loosened by one unit.</w:t>
      </w:r>
    </w:p>
    <w:p>
      <w:pPr>
        <w:spacing w:after="160"/>
        <w:jc w:val="both"/>
      </w:pPr>
      <w:r>
        <w:rPr>
          <w:rFonts w:ascii="Arial" w:cs="Arial" w:eastAsia="Arial" w:hAnsi="Arial"/>
          <w:b/>
          <w:bCs/>
          <w:sz w:val="22"/>
          <w:szCs w:val="22"/>
        </w:rPr>
        <w:t xml:space="preserve">Unpriced: </w:t>
      </w:r>
      <w:r>
        <w:rPr>
          <w:rFonts w:ascii="Arial" w:cs="Arial" w:eastAsia="Arial" w:hAnsi="Arial"/>
          <w:sz w:val="22"/>
          <w:szCs w:val="22"/>
        </w:rPr>
        <w:t xml:space="preserve">A physical contract where the quantity and basis differential are agreed but the flat price is not yet fixed against the futures reference.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Bunge Ops — Architecture Specification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2026-02-10T16:08:36.445Z</dcterms:created>
  <dcterms:modified xsi:type="dcterms:W3CDTF">2026-02-10T16:08:36.445Z</dcterms:modified>
</cp:coreProperties>
</file>

<file path=docProps/custom.xml><?xml version="1.0" encoding="utf-8"?>
<Properties xmlns="http://schemas.openxmlformats.org/officeDocument/2006/custom-properties" xmlns:vt="http://schemas.openxmlformats.org/officeDocument/2006/docPropsVTypes"/>
</file>