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Sensor-guided</w:t>
      </w:r>
      <w:r>
        <w:t xml:space="preserve"> </w:t>
      </w:r>
      <w:r>
        <w:t xml:space="preserve">Side-dressing</w:t>
      </w:r>
      <w:r>
        <w:t xml:space="preserve"> </w:t>
      </w:r>
      <w:r>
        <w:t xml:space="preserve">Decision</w:t>
      </w:r>
      <w:r>
        <w:t xml:space="preserve"> </w:t>
      </w:r>
      <w:r>
        <w:t xml:space="preserve">Making</w:t>
      </w:r>
    </w:p>
    <w:p>
      <w:pPr>
        <w:pStyle w:val="Author"/>
      </w:pPr>
      <w:r>
        <w:t xml:space="preserve">Taro</w:t>
      </w:r>
      <w:r>
        <w:t xml:space="preserve"> </w:t>
      </w:r>
      <w:r>
        <w:t xml:space="preserve">Mieno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and</w:t>
      </w:r>
      <w:r>
        <w:t xml:space="preserve"> </w:t>
      </w:r>
      <w:r>
        <w:t xml:space="preserve">John</w:t>
      </w:r>
      <w:r>
        <w:t xml:space="preserve"> </w:t>
      </w:r>
      <w:r>
        <w:t xml:space="preserve">Doe</w:t>
      </w:r>
      <w:r>
        <w:rPr>
          <w:rStyle w:val="FootnoteReference"/>
        </w:rPr>
        <w:footnoteReference w:id="22"/>
      </w:r>
    </w:p>
    <w:p>
      <w:pPr>
        <w:pStyle w:val="Date"/>
      </w:pPr>
      <w:r>
        <w:t xml:space="preserve">2020-11-11</w:t>
      </w:r>
    </w:p>
    <w:p>
      <w:pPr>
        <w:pStyle w:val="Abstract"/>
      </w:pPr>
      <w:r>
        <w:t xml:space="preserve">Abstract:</w:t>
      </w:r>
      <w:r>
        <w:t xml:space="preserve"> </w:t>
      </w: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is</w:t>
      </w:r>
      <w:r>
        <w:t xml:space="preserve"> </w:t>
      </w:r>
      <w:r>
        <w:t xml:space="preserve">so</w:t>
      </w:r>
      <w:r>
        <w:t xml:space="preserve"> </w:t>
      </w:r>
      <w:r>
        <w:t xml:space="preserve">awesome</w:t>
      </w:r>
      <w:r>
        <w:t xml:space="preserve"> </w:t>
      </w:r>
      <w:r>
        <w:t xml:space="preserve">that</w:t>
      </w:r>
      <w:r>
        <w:t xml:space="preserve"> </w:t>
      </w:r>
      <w:r>
        <w:t xml:space="preserve">you</w:t>
      </w:r>
      <w:r>
        <w:t xml:space="preserve"> </w:t>
      </w:r>
      <w:r>
        <w:t xml:space="preserve">cannot</w:t>
      </w:r>
      <w:r>
        <w:t xml:space="preserve"> </w:t>
      </w:r>
      <w:r>
        <w:t xml:space="preserve">reject</w:t>
      </w:r>
      <w:r>
        <w:t xml:space="preserve"> </w:t>
      </w:r>
      <w:r>
        <w:t xml:space="preserve">this</w:t>
      </w:r>
      <w:r>
        <w:t xml:space="preserve"> </w:t>
      </w:r>
      <w:r>
        <w:t xml:space="preserve">paper.</w:t>
      </w:r>
    </w:p>
    <w:bookmarkStart w:id="25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issue this article addresses is</w:t>
      </w:r>
      <w:r>
        <w:t xml:space="preserve"> </w:t>
      </w:r>
      <w:r>
        <w:rPr>
          <w:b/>
        </w:rPr>
        <w:t xml:space="preserve">super</w:t>
      </w:r>
      <w:r>
        <w:t xml:space="preserve"> </w:t>
      </w:r>
      <w:r>
        <w:rPr>
          <w:i/>
        </w:rPr>
        <w:t xml:space="preserve">important</w:t>
      </w:r>
      <w:r>
        <w:t xml:space="preserve">!</w:t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examined bluh bluh.</w:t>
      </w:r>
    </w:p>
    <w:p>
      <w:pPr>
        <w:pStyle w:val="BodyText"/>
      </w:pPr>
      <w:r>
        <w:t xml:space="preserve">bluh bluh</w:t>
      </w:r>
      <w:r>
        <w:t xml:space="preserve"> </w:t>
      </w:r>
      <w:r>
        <w:t xml:space="preserve">[2]</w:t>
      </w:r>
    </w:p>
    <w:p>
      <w:pPr>
        <w:pStyle w:val="BodyText"/>
      </w:pPr>
      <w:r>
        <w:t xml:space="preserve">bluh bluh</w:t>
      </w:r>
      <w:r>
        <w:t xml:space="preserve"> </w:t>
      </w:r>
      <w:r>
        <w:t xml:space="preserve">[1,2]</w:t>
      </w:r>
    </w:p>
    <w:p>
      <w:pPr>
        <w:pStyle w:val="BodyText"/>
      </w:pPr>
      <w:r>
        <w:t xml:space="preserve">bluh bluh</w:t>
      </w:r>
      <w:r>
        <w:t xml:space="preserve"> </w:t>
      </w:r>
      <w:r>
        <w:t xml:space="preserve">[2]</w:t>
      </w:r>
    </w:p>
    <w:bookmarkStart w:id="24" w:name="X10ef71eeb27add0e5cef9a2a6cd04e5b981939b"/>
    <w:p>
      <w:pPr>
        <w:pStyle w:val="Heading5"/>
      </w:pPr>
      <w:r>
        <w:t xml:space="preserve">page break (you cannot see this text on the output WORD file)</w:t>
      </w:r>
    </w:p>
    <w:bookmarkEnd w:id="24"/>
    <w:bookmarkEnd w:id="25"/>
    <w:bookmarkStart w:id="30" w:name="materials-and-methods"/>
    <w:p>
      <w:pPr>
        <w:pStyle w:val="Heading1"/>
      </w:pPr>
      <w:r>
        <w:t xml:space="preserve">Materials and Methods</w:t>
      </w:r>
    </w:p>
    <w:p>
      <w:pPr>
        <w:pStyle w:val="FirstParagraph"/>
      </w:pPr>
      <w:r>
        <w:t xml:space="preserve">This line break does not work:</w:t>
      </w:r>
      <w:r>
        <w:t xml:space="preserve"> </w:t>
      </w:r>
      <w:r>
        <w:t xml:space="preserve"> </w:t>
      </w:r>
      <w:r>
        <w:t xml:space="preserve">See?</w:t>
      </w:r>
    </w:p>
    <w:p>
      <w:pPr>
        <w:pStyle w:val="BodyText"/>
      </w:pPr>
      <w:r>
        <w:t xml:space="preserve">This line break does work:</w:t>
      </w:r>
    </w:p>
    <w:p>
      <w:pPr>
        <w:pStyle w:val="BodyText"/>
      </w:pPr>
    </w:p>
    <w:p>
      <w:pPr>
        <w:pStyle w:val="BodyText"/>
      </w:pPr>
      <w:r>
        <w:t xml:space="preserve">See?</w:t>
      </w:r>
    </w:p>
    <w:bookmarkStart w:id="26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The number of observations are 598 and 1376 for Zones 2 and 3, respectively.</w:t>
      </w:r>
    </w:p>
    <w:p>
      <w:pPr>
        <w:pStyle w:val="BodyText"/>
      </w:pPr>
      <w:r>
        <w:t xml:space="preserve">Table</w:t>
      </w:r>
      <w:r>
        <w:t xml:space="preserve"> </w:t>
      </w:r>
      <w:r>
        <w:t xml:space="preserve">1</w:t>
      </w:r>
      <w:r>
        <w:t xml:space="preserve"> </w:t>
      </w:r>
      <w:r>
        <w:t xml:space="preserve">presents summary statistics by zone.</w:t>
      </w:r>
    </w:p>
    <w:bookmarkEnd w:id="26"/>
    <w:bookmarkStart w:id="29" w:name="statistical-model"/>
    <w:p>
      <w:pPr>
        <w:pStyle w:val="Heading2"/>
      </w:pPr>
      <w:r>
        <w:t xml:space="preserve">Statistical Model</w:t>
      </w:r>
    </w:p>
    <w:p>
      <w:pPr>
        <w:pStyle w:val="FirstParagraph"/>
      </w:pPr>
      <w:bookmarkStart w:id="27" w:name="eq:eqn1"/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t>+</m:t>
          </m:r>
          <m:r>
            <m:t>ε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  <w:bookmarkEnd w:id="27"/>
    </w:p>
    <w:p>
      <w:pPr>
        <w:pStyle w:val="FirstParagraph"/>
      </w:pPr>
      <w:r>
        <w:t xml:space="preserve">Equations written in the</w:t>
      </w:r>
      <w:r>
        <w:t xml:space="preserve"> </w:t>
      </w:r>
      <w:r>
        <w:rPr>
          <w:rStyle w:val="VerbatimChar"/>
        </w:rPr>
        <w:t xml:space="preserve">aligned</w:t>
      </w:r>
      <w:r>
        <w:t xml:space="preserve"> </w:t>
      </w:r>
      <w:r>
        <w:t xml:space="preserve">environment.</w:t>
      </w:r>
    </w:p>
    <w:p>
      <w:pPr>
        <w:pStyle w:val="BodyText"/>
      </w:pPr>
      <w:bookmarkStart w:id="28" w:name="eq:eqn2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z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f</m:t>
                    </m:r>
                  </m:e>
                  <m:sub>
                    <m:r>
                      <m:t>z</m:t>
                    </m:r>
                  </m:sub>
                </m:sSub>
                <m:r>
                  <m:t>(</m:t>
                </m:r>
                <m:r>
                  <m:t>S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g</m:t>
                    </m:r>
                  </m:e>
                  <m:sub>
                    <m:r>
                      <m:t>z</m:t>
                    </m:r>
                  </m:sub>
                </m:sSub>
                <m:r>
                  <m:t>(</m:t>
                </m:r>
                <m:r>
                  <m:t>N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h</m:t>
                    </m:r>
                  </m:e>
                  <m:sub>
                    <m:r>
                      <m:t>z</m:t>
                    </m:r>
                  </m:sub>
                </m:sSub>
                <m:r>
                  <m:t>(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z</m:t>
                    </m:r>
                  </m:sub>
                </m:sSub>
              </m:e>
            </m:mr>
            <m:mr>
              <m:e/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k</m:t>
                    </m:r>
                  </m:sup>
                  <m:e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  <m:r>
                  <m:t>(</m:t>
                </m:r>
                <m:r>
                  <m:t>S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g</m:t>
                    </m:r>
                  </m:e>
                  <m:sub>
                    <m:r>
                      <m:t>z</m:t>
                    </m:r>
                  </m:sub>
                </m:sSub>
                <m:r>
                  <m:t>(</m:t>
                </m:r>
                <m:r>
                  <m:t>N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h</m:t>
                    </m:r>
                  </m:e>
                  <m:sub>
                    <m:r>
                      <m:t>z</m:t>
                    </m:r>
                  </m:sub>
                </m:sSub>
                <m:r>
                  <m:t>(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z</m:t>
                    </m:r>
                  </m:sub>
                </m:sSub>
              </m:e>
            </m:mr>
          </m:m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  <w:bookmarkEnd w:id="28"/>
    </w:p>
    <w:p>
      <w:pPr>
        <w:pStyle w:val="FirstParagraph"/>
      </w:pPr>
      <w:r>
        <w:t xml:space="preserve">Equations written in the</w:t>
      </w:r>
      <w:r>
        <w:t xml:space="preserve"> 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environment.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/>
      </m:oMathPara>
    </w:p>
    <w:bookmarkEnd w:id="29"/>
    <w:bookmarkEnd w:id="30"/>
    <w:bookmarkStart w:id="31" w:name="results-and-discussions"/>
    <w:p>
      <w:pPr>
        <w:pStyle w:val="Heading1"/>
      </w:pPr>
      <w:r>
        <w:t xml:space="preserve">Results and Discussions</w:t>
      </w:r>
    </w:p>
    <w:p>
      <w:pPr>
        <w:pStyle w:val="FirstParagraph"/>
      </w:pPr>
      <w:r>
        <w:t xml:space="preserve">Table</w:t>
      </w:r>
      <w:r>
        <w:t xml:space="preserve"> </w:t>
      </w:r>
      <w:r>
        <w:t xml:space="preserve">1</w:t>
      </w:r>
      <w:r>
        <w:t xml:space="preserve"> </w:t>
      </w:r>
      <w:r>
        <w:t xml:space="preserve">presents the regression results.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1</w:t>
      </w:r>
      <w:r>
        <w:t xml:space="preserve"> </w:t>
      </w:r>
      <w:r>
        <w:t xml:space="preserve">presents the distribution of yields by zone.</w:t>
      </w:r>
    </w:p>
    <w:bookmarkEnd w:id="31"/>
    <w:bookmarkStart w:id="33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bluh blu</w:t>
      </w:r>
      <w:r>
        <w:rPr>
          <w:rStyle w:val="FootnoteReference"/>
        </w:rPr>
        <w:footnoteReference w:id="32"/>
      </w:r>
    </w:p>
    <w:bookmarkEnd w:id="33"/>
    <w:bookmarkStart w:id="35" w:name="figures"/>
    <w:p>
      <w:pPr>
        <w:pStyle w:val="Heading1"/>
      </w:pPr>
      <w:r>
        <w:t xml:space="preserve">Figures</w:t>
      </w:r>
    </w:p>
    <w:p>
      <w:pPr>
        <w:pStyle w:val="CaptionedFigure"/>
      </w:pPr>
      <w:r>
        <w:drawing>
          <wp:inline>
            <wp:extent cx="4572000" cy="3657600"/>
            <wp:effectExtent b="0" l="0" r="0" t="0"/>
            <wp:docPr descr="Figure 1: The Distribution of Yield by Zone" title="" id="1" name="Picture"/>
            <a:graphic>
              <a:graphicData uri="http://schemas.openxmlformats.org/drawingml/2006/picture">
                <pic:pic>
                  <pic:nvPicPr>
                    <pic:cNvPr descr="sample_to_word_files/figure-docx/fig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The Distribution of Yield by Zone</w:t>
      </w:r>
    </w:p>
    <w:bookmarkEnd w:id="35"/>
    <w:bookmarkStart w:id="36" w:name="tables"/>
    <w:p>
      <w:pPr>
        <w:pStyle w:val="Heading1"/>
      </w:pPr>
      <w:r>
        <w:t xml:space="preserve">Tables</w:t>
      </w:r>
    </w:p>
    <w:p>
      <w:pPr>
        <w:pStyle w:val=""/>
      </w:pPr>
      <w:r>
        <w:t xml:space="preserve">Table 1: Summary Statistics by Zone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676"/>
        <w:tblLook w:firstRow="1" w:lastRow="0" w:firstColumn="0" w:lastColumn="0" w:noHBand="0" w:noVBand="1"/>
      </w:tblPr>
      <w:tblGrid>
        <w:gridCol w:w="1096"/>
        <w:gridCol w:w="2514"/>
        <w:gridCol w:w="998"/>
        <w:gridCol w:w="1328"/>
        <w:gridCol w:w="1206"/>
        <w:gridCol w:w="1206"/>
        <w:gridCol w:w="1328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Zone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get_N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Zone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Yield (kg/ha)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12932.11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3994.57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4344.71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24459.46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Nitrogen Rate (kg/ha)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145.57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Seed Rate (1000/ha)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98.61</w:t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Zone 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Yield (kg/ha)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13430.38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4132.89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4026.51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23319.59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Nitrogen Rate (kg/ha)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143.75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Seed Rate (1000/ha)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98.82</w:t>
            </w:r>
          </w:p>
        </w:tc>
      </w:tr>
    </w:tbl>
    <w:bookmarkEnd w:id="36"/>
    <w:bookmarkStart w:id="40" w:name="references"/>
    <w:p>
      <w:pPr>
        <w:pStyle w:val="Heading1"/>
      </w:pPr>
      <w:r>
        <w:t xml:space="preserve">References</w:t>
      </w:r>
    </w:p>
    <w:bookmarkStart w:id="39" w:name="refs"/>
    <w:bookmarkStart w:id="37" w:name="ref-adrian2005producer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Adrian, A.M.; Norwood, S.H.; Mask, P.L. Producers’ perceptions and attitudes toward precision agriculture technologies.</w:t>
      </w:r>
      <w:r>
        <w:t xml:space="preserve"> </w:t>
      </w:r>
      <w:r>
        <w:rPr>
          <w:i/>
        </w:rPr>
        <w:t xml:space="preserve">Computers and electronics in agriculture</w:t>
      </w:r>
      <w:r>
        <w:t xml:space="preserve"> </w:t>
      </w:r>
      <w:r>
        <w:rPr>
          <w:b/>
        </w:rPr>
        <w:t xml:space="preserve">2005</w:t>
      </w:r>
      <w:r>
        <w:t xml:space="preserve">,</w:t>
      </w:r>
      <w:r>
        <w:t xml:space="preserve"> </w:t>
      </w:r>
      <w:r>
        <w:rPr>
          <w:i/>
        </w:rPr>
        <w:t xml:space="preserve">48</w:t>
      </w:r>
      <w:r>
        <w:t xml:space="preserve">, 256–271.</w:t>
      </w:r>
    </w:p>
    <w:bookmarkEnd w:id="37"/>
    <w:bookmarkStart w:id="38" w:name="ref-shrader1966estimati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Shrader, W.; Fuller, W.; Cady, F. Estimation of a common nitrogen response function for corn (zea mays) in different crop rotations 1.</w:t>
      </w:r>
      <w:r>
        <w:t xml:space="preserve"> </w:t>
      </w:r>
      <w:r>
        <w:rPr>
          <w:i/>
        </w:rPr>
        <w:t xml:space="preserve">Agronomy Journal</w:t>
      </w:r>
      <w:r>
        <w:t xml:space="preserve"> </w:t>
      </w:r>
      <w:r>
        <w:rPr>
          <w:b/>
        </w:rPr>
        <w:t xml:space="preserve">1966</w:t>
      </w:r>
      <w:r>
        <w:t xml:space="preserve">,</w:t>
      </w:r>
      <w:r>
        <w:t xml:space="preserve"> </w:t>
      </w:r>
      <w:r>
        <w:rPr>
          <w:i/>
        </w:rPr>
        <w:t xml:space="preserve">58</w:t>
      </w:r>
      <w:r>
        <w:t xml:space="preserve">, 397–401.</w:t>
      </w:r>
    </w:p>
    <w:bookmarkEnd w:id="38"/>
    <w:bookmarkEnd w:id="39"/>
    <w:bookmarkEnd w:id="40"/>
    <w:sectPr w:rsidR="00916B70" w:rsidRPr="00916B7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Nebraska</w:t>
      </w:r>
      <w:r>
        <w:t xml:space="preserve"> </w:t>
      </w:r>
      <w:r>
        <w:t xml:space="preserve">Lincoln,</w:t>
      </w:r>
      <w:r>
        <w:t xml:space="preserve"> </w:t>
      </w:r>
      <w:hyperlink r:id="rId21">
        <w:r>
          <w:rPr>
            <w:rStyle w:val="Hyperlink"/>
          </w:rPr>
          <w:t xml:space="preserve">tmieno2@unl.edu</w:t>
        </w:r>
      </w:hyperlink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Random</w:t>
      </w:r>
      <w:r>
        <w:t xml:space="preserve"> </w:t>
      </w:r>
      <w:r>
        <w:t xml:space="preserve">University,</w:t>
      </w:r>
      <w:r>
        <w:t xml:space="preserve"> </w:t>
      </w:r>
      <w:hyperlink r:id="rId23">
        <w:r>
          <w:rPr>
            <w:rStyle w:val="Hyperlink"/>
          </w:rPr>
          <w:t xml:space="preserve">johndoe@email.com</w:t>
        </w:r>
      </w:hyperlink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676DD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4468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9830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E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B6C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FC5D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AE22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7E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F44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E6A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316F9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F77B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EF07BC"/>
    <w:pPr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16B7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C7A0C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16B70"/>
    <w:rPr>
      <w:rFonts w:ascii="Times New Roman" w:hAnsi="Times New Roman"/>
    </w:rPr>
  </w:style>
  <w:style w:type="paragraph" w:customStyle="1" w:styleId="pagebreak">
    <w:name w:val="pagebreak"/>
    <w:basedOn w:val="Heading5"/>
    <w:qFormat/>
    <w:rsid w:val="00916B70"/>
    <w:rPr>
      <w:sz w:val="16"/>
    </w:rPr>
  </w:style>
  <w:style w:type="character" w:styleId="FollowedHyperlink">
    <w:name w:val="FollowedHyperlink"/>
    <w:basedOn w:val="DefaultParagraphFont"/>
    <w:semiHidden/>
    <w:unhideWhenUsed/>
    <w:rsid w:val="00D20DCD"/>
    <w:rPr>
      <w:color w:val="800080" w:themeColor="followedHyperlink"/>
      <w:u w:val="single"/>
    </w:rPr>
  </w:style>
  <w:style w:type="paragraph" w:customStyle="1" w:styleId="">
    <w:name w:val=""/>
    <w:basedOn w:val="Body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3" Target="mailto:johndoe@email.com" TargetMode="External" /><Relationship Type="http://schemas.openxmlformats.org/officeDocument/2006/relationships/hyperlink" Id="rId21" Target="mailto:tmieno2@un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johndoe@email.com" TargetMode="External" /><Relationship Type="http://schemas.openxmlformats.org/officeDocument/2006/relationships/hyperlink" Id="rId21" Target="mailto:tmieno2@un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Sensor-guided Side-dressing Decision Making</dc:title>
  <dc:creator>Taro Mieno and John Doe</dc:creator>
  <cp:keywords/>
  <dcterms:created xsi:type="dcterms:W3CDTF">2020-11-11T18:15:40Z</dcterms:created>
  <dcterms:modified xsi:type="dcterms:W3CDTF">2020-11-11T18:15:40Z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Abstract: this research is so awesome that you cannot reject this paper.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bibliography.bib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agronomy.csl</vt:lpwstr>
  </property>
  <property fmtid="{D5CDD505-2E9C-101B-9397-08002B2CF9AE}" pid="16" name="date">
    <vt:lpwstr>2020-11-11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lastDelim">
    <vt:lpwstr>, </vt:lpwstr>
  </property>
  <property fmtid="{D5CDD505-2E9C-101B-9397-08002B2CF9AE}" pid="26" name="linkReferences">
    <vt:lpwstr>False</vt:lpwstr>
  </property>
  <property fmtid="{D5CDD505-2E9C-101B-9397-08002B2CF9AE}" pid="27" name="listingTemplate">
    <vt:lpwstr>listingTitle ititleDelim t</vt:lpwstr>
  </property>
  <property fmtid="{D5CDD505-2E9C-101B-9397-08002B2CF9AE}" pid="28" name="listingTitle">
    <vt:lpwstr>Listing</vt:lpwstr>
  </property>
  <property fmtid="{D5CDD505-2E9C-101B-9397-08002B2CF9AE}" pid="29" name="listings">
    <vt:lpwstr>False</vt:lpwstr>
  </property>
  <property fmtid="{D5CDD505-2E9C-101B-9397-08002B2CF9AE}" pid="30" name="lofTitle">
    <vt:lpwstr>List of Figures</vt:lpwstr>
  </property>
  <property fmtid="{D5CDD505-2E9C-101B-9397-08002B2CF9AE}" pid="31" name="lolTitle">
    <vt:lpwstr>List of Listings</vt:lpwstr>
  </property>
  <property fmtid="{D5CDD505-2E9C-101B-9397-08002B2CF9AE}" pid="32" name="lotTitle">
    <vt:lpwstr>List of Tables</vt:lpwstr>
  </property>
  <property fmtid="{D5CDD505-2E9C-101B-9397-08002B2CF9AE}" pid="33" name="lstLabels">
    <vt:lpwstr>arabic</vt:lpwstr>
  </property>
  <property fmtid="{D5CDD505-2E9C-101B-9397-08002B2CF9AE}" pid="34" name="lstPrefix">
    <vt:lpwstr/>
  </property>
  <property fmtid="{D5CDD505-2E9C-101B-9397-08002B2CF9AE}" pid="35" name="lstPrefixTemplate">
    <vt:lpwstr>p i</vt:lpwstr>
  </property>
  <property fmtid="{D5CDD505-2E9C-101B-9397-08002B2CF9AE}" pid="36" name="nameInLink">
    <vt:lpwstr>False</vt:lpwstr>
  </property>
  <property fmtid="{D5CDD505-2E9C-101B-9397-08002B2CF9AE}" pid="37" name="numberSections">
    <vt:lpwstr>False</vt:lpwstr>
  </property>
  <property fmtid="{D5CDD505-2E9C-101B-9397-08002B2CF9AE}" pid="38" name="output">
    <vt:lpwstr/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