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Sensor-guided</w:t>
      </w:r>
      <w:r>
        <w:t xml:space="preserve"> </w:t>
      </w:r>
      <w:r>
        <w:t xml:space="preserve">Side-dressing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2020-11-12</w:t>
      </w:r>
    </w:p>
    <w:p>
      <w:pPr>
        <w:pStyle w:val="Abstract"/>
      </w:pPr>
      <w:r>
        <w:t xml:space="preserve">Abstract: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is</w:t>
      </w:r>
      <w:r>
        <w:t xml:space="preserve"> </w:t>
      </w:r>
      <w:r>
        <w:t xml:space="preserve">so</w:t>
      </w:r>
      <w:r>
        <w:t xml:space="preserve"> </w:t>
      </w:r>
      <w:r>
        <w:t xml:space="preserve">awesome</w:t>
      </w:r>
      <w:r>
        <w:t xml:space="preserve"> </w:t>
      </w:r>
      <w:r>
        <w:t xml:space="preserve">that</w:t>
      </w:r>
      <w:r>
        <w:t xml:space="preserve"> </w:t>
      </w:r>
      <w:r>
        <w:t xml:space="preserve">you</w:t>
      </w:r>
      <w:r>
        <w:t xml:space="preserve"> </w:t>
      </w:r>
      <w:r>
        <w:t xml:space="preserve">cannot</w:t>
      </w:r>
      <w:r>
        <w:t xml:space="preserve"> </w:t>
      </w:r>
      <w:r>
        <w:t xml:space="preserve">reject</w:t>
      </w:r>
      <w:r>
        <w:t xml:space="preserve"> </w:t>
      </w:r>
      <w:r>
        <w:t xml:space="preserve">this</w:t>
      </w:r>
      <w:r>
        <w:t xml:space="preserve"> </w:t>
      </w:r>
      <w:r>
        <w:t xml:space="preserve">paper.</w:t>
      </w:r>
    </w:p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issue this article addresses is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rPr>
          <w:i/>
        </w:rPr>
        <w:t xml:space="preserve">important</w:t>
      </w:r>
      <w:r>
        <w:t xml:space="preserve">!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examined bluh bluh.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[1,2]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[2]</w:t>
      </w:r>
    </w:p>
    <w:bookmarkStart w:id="24" w:name="X10ef71eeb27add0e5cef9a2a6cd04e5b981939b"/>
    <w:p>
      <w:pPr>
        <w:pStyle w:val="Heading5"/>
      </w:pPr>
      <w:r>
        <w:t xml:space="preserve">page break (you cannot see this text on the output WORD file)</w:t>
      </w:r>
    </w:p>
    <w:bookmarkEnd w:id="24"/>
    <w:bookmarkEnd w:id="25"/>
    <w:bookmarkStart w:id="30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This line break does not work:</w:t>
      </w:r>
      <w:r>
        <w:t xml:space="preserve"> </w:t>
      </w:r>
      <w:r>
        <w:t xml:space="preserve"> </w:t>
      </w:r>
      <w:r>
        <w:t xml:space="preserve">See?</w:t>
      </w:r>
    </w:p>
    <w:p>
      <w:pPr>
        <w:pStyle w:val="BodyText"/>
      </w:pPr>
      <w:r>
        <w:t xml:space="preserve">This line break does work:</w:t>
      </w:r>
    </w:p>
    <w:p>
      <w:pPr>
        <w:pStyle w:val="BodyText"/>
      </w:pPr>
    </w:p>
    <w:p>
      <w:pPr>
        <w:pStyle w:val="BodyText"/>
      </w:pPr>
      <w:r>
        <w:t xml:space="preserve">See?</w:t>
      </w:r>
    </w:p>
    <w:bookmarkStart w:id="26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number of observations are 598 and 1376 for Zones 2 and 3, respectively.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summary statistics by zone.</w:t>
      </w:r>
    </w:p>
    <w:bookmarkEnd w:id="26"/>
    <w:bookmarkStart w:id="29" w:name="statistical-model"/>
    <w:p>
      <w:pPr>
        <w:pStyle w:val="Heading2"/>
      </w:pPr>
      <w:r>
        <w:t xml:space="preserve">Statistical Model</w:t>
      </w:r>
    </w:p>
    <w:p>
      <w:pPr>
        <w:pStyle w:val="FirstParagraph"/>
      </w:pPr>
      <w:r>
        <w:t xml:space="preserve">See equation (1) for the statistical model we use.</w:t>
      </w:r>
    </w:p>
    <w:p>
      <w:pPr>
        <w:pStyle w:val="BodyText"/>
      </w:pPr>
      <w:bookmarkStart w:id="27" w:name="eq:eqn1"/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+</m:t>
          </m:r>
          <m:r>
            <m:t>ε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  <w:bookmarkEnd w:id="27"/>
    </w:p>
    <w:p>
      <w:pPr>
        <w:pStyle w:val="FirstParagraph"/>
      </w:pPr>
      <w:r>
        <w:t xml:space="preserve">Equations written in the</w:t>
      </w:r>
      <w:r>
        <w:t xml:space="preserve"> </w:t>
      </w:r>
      <w:r>
        <w:rPr>
          <w:rStyle w:val="VerbatimChar"/>
        </w:rPr>
        <w:t xml:space="preserve">aligned</w:t>
      </w:r>
      <w:r>
        <w:t xml:space="preserve"> </w:t>
      </w:r>
      <w:r>
        <w:t xml:space="preserve">environment (Equation (eq. 2)).</w:t>
      </w:r>
    </w:p>
    <w:p>
      <w:pPr>
        <w:pStyle w:val="BodyText"/>
      </w:pPr>
      <w:bookmarkStart w:id="28" w:name="eq:eqn2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z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h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z</m:t>
                    </m:r>
                  </m:sub>
                </m:sSub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r>
                  <m:t>(</m:t>
                </m:r>
                <m:r>
                  <m:t>S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g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N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h</m:t>
                    </m:r>
                  </m:e>
                  <m:sub>
                    <m:r>
                      <m:t>z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  <m: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z</m:t>
                    </m:r>
                  </m:sub>
                </m:sSub>
              </m:e>
            </m:mr>
          </m:m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  <w:bookmarkEnd w:id="28"/>
    </w:p>
    <w:p>
      <w:pPr>
        <w:pStyle w:val="FirstParagraph"/>
      </w:pPr>
      <w:r>
        <w:t xml:space="preserve">Equations written in the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environment.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/>
      </m:oMathPara>
    </w:p>
    <w:bookmarkEnd w:id="29"/>
    <w:bookmarkEnd w:id="30"/>
    <w:bookmarkStart w:id="31" w:name="results-and-discussions"/>
    <w:p>
      <w:pPr>
        <w:pStyle w:val="Heading1"/>
      </w:pPr>
      <w:r>
        <w:t xml:space="preserve">Results and Discussions</w:t>
      </w:r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regression results.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distribution of yields by zone.</w:t>
      </w:r>
    </w:p>
    <w:bookmarkEnd w:id="31"/>
    <w:bookmarkStart w:id="3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bluh blu</w:t>
      </w:r>
      <w:r>
        <w:rPr>
          <w:rStyle w:val="FootnoteReference"/>
        </w:rPr>
        <w:footnoteReference w:id="32"/>
      </w:r>
    </w:p>
    <w:bookmarkEnd w:id="33"/>
    <w:bookmarkStart w:id="35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The Distribution of Yield by Zone" title="" id="1" name="Picture"/>
            <a:graphic>
              <a:graphicData uri="http://schemas.openxmlformats.org/drawingml/2006/picture">
                <pic:pic>
                  <pic:nvPicPr>
                    <pic:cNvPr descr="sample_to_word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Distribution of Yield by Zone</w:t>
      </w:r>
    </w:p>
    <w:bookmarkEnd w:id="35"/>
    <w:bookmarkStart w:id="36" w:name="tables"/>
    <w:p>
      <w:pPr>
        <w:pStyle w:val="Heading1"/>
      </w:pPr>
      <w:r>
        <w:t xml:space="preserve">Tables</w:t>
      </w:r>
    </w:p>
    <w:p>
      <w:pPr>
        <w:pStyle w:val=""/>
      </w:pPr>
      <w:r>
        <w:t xml:space="preserve">Table 1: Summary Statistics by Zone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76"/>
        <w:tblLook w:firstRow="1" w:lastRow="0" w:firstColumn="0" w:lastColumn="0" w:noHBand="0" w:noVBand="1"/>
      </w:tblPr>
      <w:tblGrid>
        <w:gridCol w:w="1096"/>
        <w:gridCol w:w="2514"/>
        <w:gridCol w:w="998"/>
        <w:gridCol w:w="1328"/>
        <w:gridCol w:w="1206"/>
        <w:gridCol w:w="1206"/>
        <w:gridCol w:w="132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get_N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12932.11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4344.71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24459.46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98.61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13430.38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4132.89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4026.51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23319.59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143.75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98.82</w:t>
            </w:r>
          </w:p>
        </w:tc>
      </w:tr>
    </w:tbl>
    <w:bookmarkEnd w:id="36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7" w:name="ref-adrian2005producer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Adrian, A.M.; Norwood, S.H.; Mask, P.L. Producers’ perceptions and attitudes toward precision agriculture technologies.</w:t>
      </w:r>
      <w:r>
        <w:t xml:space="preserve"> </w:t>
      </w:r>
      <w:r>
        <w:rPr>
          <w:i/>
        </w:rPr>
        <w:t xml:space="preserve">Computers and electronics in agriculture</w:t>
      </w:r>
      <w:r>
        <w:t xml:space="preserve"> </w:t>
      </w:r>
      <w:r>
        <w:rPr>
          <w:b/>
        </w:rPr>
        <w:t xml:space="preserve">2005</w:t>
      </w:r>
      <w:r>
        <w:t xml:space="preserve">,</w:t>
      </w:r>
      <w:r>
        <w:t xml:space="preserve"> </w:t>
      </w:r>
      <w:r>
        <w:rPr>
          <w:i/>
        </w:rPr>
        <w:t xml:space="preserve">48</w:t>
      </w:r>
      <w:r>
        <w:t xml:space="preserve">, 256–271.</w:t>
      </w:r>
    </w:p>
    <w:bookmarkEnd w:id="37"/>
    <w:bookmarkStart w:id="38" w:name="ref-shrader1966estim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Shrader, W.; Fuller, W.; Cady, F. Estimation of a common nitrogen response function for corn (zea mays) in different crop rotations 1.</w:t>
      </w:r>
      <w:r>
        <w:t xml:space="preserve"> </w:t>
      </w:r>
      <w:r>
        <w:rPr>
          <w:i/>
        </w:rPr>
        <w:t xml:space="preserve">Agronomy Journal</w:t>
      </w:r>
      <w:r>
        <w:t xml:space="preserve"> </w:t>
      </w:r>
      <w:r>
        <w:rPr>
          <w:b/>
        </w:rPr>
        <w:t xml:space="preserve">1966</w:t>
      </w:r>
      <w:r>
        <w:t xml:space="preserve">,</w:t>
      </w:r>
      <w:r>
        <w:t xml:space="preserve"> </w:t>
      </w:r>
      <w:r>
        <w:rPr>
          <w:i/>
        </w:rPr>
        <w:t xml:space="preserve">58</w:t>
      </w:r>
      <w:r>
        <w:t xml:space="preserve">, 397–401.</w:t>
      </w:r>
    </w:p>
    <w:bookmarkEnd w:id="38"/>
    <w:bookmarkEnd w:id="39"/>
    <w:bookmarkEnd w:id="40"/>
    <w:sectPr w:rsidR="00916B70" w:rsidRPr="00916B7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</w:t>
      </w:r>
      <w:r>
        <w:t xml:space="preserve"> </w:t>
      </w:r>
      <w:r>
        <w:t xml:space="preserve">Lincoln,</w:t>
      </w:r>
      <w:r>
        <w:t xml:space="preserve"> </w:t>
      </w:r>
      <w:hyperlink r:id="rId21">
        <w:r>
          <w:rPr>
            <w:rStyle w:val="Hyperlink"/>
          </w:rPr>
          <w:t xml:space="preserve">tmieno2@unl.edu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Random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johndoe@email.com</w:t>
        </w:r>
      </w:hyperlink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76D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68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983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B6C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FC5D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AE2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7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F44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6A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316F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7B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F07BC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16B7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7A0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16B70"/>
    <w:rPr>
      <w:rFonts w:ascii="Times New Roman" w:hAnsi="Times New Roman"/>
    </w:rPr>
  </w:style>
  <w:style w:type="paragraph" w:customStyle="1" w:styleId="pagebreak">
    <w:name w:val="pagebreak"/>
    <w:basedOn w:val="Heading5"/>
    <w:qFormat/>
    <w:rsid w:val="00916B70"/>
    <w:rPr>
      <w:sz w:val="16"/>
    </w:rPr>
  </w:style>
  <w:style w:type="character" w:styleId="FollowedHyperlink">
    <w:name w:val="FollowedHyperlink"/>
    <w:basedOn w:val="DefaultParagraphFont"/>
    <w:semiHidden/>
    <w:unhideWhenUsed/>
    <w:rsid w:val="00D20DCD"/>
    <w:rPr>
      <w:color w:val="800080" w:themeColor="followedHyperlink"/>
      <w:u w:val="single"/>
    </w:rPr>
  </w:style>
  <w:style w:type="paragraph" w:customStyle="1" w:styleId="">
    <w:name w:val="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Sensor-guided Side-dressing Decision Making</dc:title>
  <dc:creator>Taro Mieno and John Doe</dc:creator>
  <cp:keywords/>
  <dcterms:created xsi:type="dcterms:W3CDTF">2020-11-12T15:04:10Z</dcterms:created>
  <dcterms:modified xsi:type="dcterms:W3CDTF">2020-11-12T15:04:10Z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this research is so awesome that you cannot reject this paper.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bibliography.bib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agronomy.csl</vt:lpwstr>
  </property>
  <property fmtid="{D5CDD505-2E9C-101B-9397-08002B2CF9AE}" pid="16" name="date">
    <vt:lpwstr>2020-11-12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output">
    <vt:lpwstr/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