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E93" w:rsidRPr="00192512" w:rsidRDefault="00222E93" w:rsidP="00222E93">
      <w:pPr>
        <w:pStyle w:val="Heading1"/>
        <w:jc w:val="center"/>
        <w:rPr>
          <w:rFonts w:ascii="Times New Roman" w:hAnsi="Times New Roman" w:cs="Times New Roman"/>
        </w:rPr>
      </w:pPr>
      <w:bookmarkStart w:id="0" w:name="appendix"/>
      <w:r>
        <w:rPr>
          <w:rFonts w:ascii="Times New Roman" w:hAnsi="Times New Roman" w:cs="Times New Roman"/>
        </w:rPr>
        <w:t>Appendix</w:t>
      </w:r>
    </w:p>
    <w:p w:rsidR="00222E93" w:rsidRDefault="00222E93" w:rsidP="00222E93">
      <w:pPr>
        <w:pStyle w:val="Heading1"/>
        <w:rPr>
          <w:rFonts w:ascii="Times New Roman" w:hAnsi="Times New Roman" w:cs="Times New Roman"/>
          <w:sz w:val="28"/>
          <w:szCs w:val="28"/>
        </w:rPr>
      </w:pPr>
      <w:bookmarkStart w:id="1" w:name="X56a949c4b4e6dfd4bb2009fe3397028d0cf2bd7"/>
      <w:bookmarkEnd w:id="0"/>
      <w:r w:rsidRPr="00222E93">
        <w:rPr>
          <w:rFonts w:ascii="Times New Roman" w:hAnsi="Times New Roman" w:cs="Times New Roman"/>
          <w:sz w:val="28"/>
          <w:szCs w:val="28"/>
        </w:rPr>
        <w:t>A.1 The Consequence of the Declining Block Rate Pricing Structure for Colorado</w:t>
      </w:r>
    </w:p>
    <w:p w:rsidR="00222E93" w:rsidRPr="00222E93" w:rsidRDefault="00222E93" w:rsidP="00222E93">
      <w:pPr>
        <w:pStyle w:val="BodyText"/>
      </w:pPr>
    </w:p>
    <w:p w:rsidR="00222E93" w:rsidRPr="00192512" w:rsidRDefault="00222E93" w:rsidP="00222E93">
      <w:pPr>
        <w:rPr>
          <w:rFonts w:ascii="Times New Roman" w:hAnsi="Times New Roman" w:cs="Times New Roman"/>
        </w:rPr>
      </w:pPr>
      <w:r>
        <w:rPr>
          <w:rFonts w:ascii="Times New Roman" w:hAnsi="Times New Roman" w:cs="Times New Roman"/>
        </w:rPr>
        <w:t>Table A.1</w:t>
      </w:r>
      <w:r w:rsidRPr="00192512">
        <w:rPr>
          <w:rFonts w:ascii="Times New Roman" w:hAnsi="Times New Roman" w:cs="Times New Roman"/>
        </w:rPr>
        <w:t>: The magnitude of potential bias when the endogeneity due to the declining block structure is untreated</w:t>
      </w:r>
    </w:p>
    <w:tbl>
      <w:tblPr>
        <w:tblW w:w="0" w:type="auto"/>
        <w:jc w:val="center"/>
        <w:tblLayout w:type="fixed"/>
        <w:tblLook w:val="0420" w:firstRow="1" w:lastRow="0" w:firstColumn="0" w:lastColumn="0" w:noHBand="0" w:noVBand="1"/>
      </w:tblPr>
      <w:tblGrid>
        <w:gridCol w:w="3528"/>
        <w:gridCol w:w="1291"/>
        <w:gridCol w:w="1291"/>
        <w:gridCol w:w="1291"/>
        <w:gridCol w:w="1291"/>
      </w:tblGrid>
      <w:tr w:rsidR="00222E93" w:rsidRPr="00192512" w:rsidTr="00CD55FB">
        <w:trPr>
          <w:cantSplit/>
          <w:tblHeader/>
          <w:jc w:val="center"/>
        </w:trPr>
        <w:tc>
          <w:tcPr>
            <w:tcW w:w="35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bookmarkStart w:id="2" w:name="_GoBack" w:colFirst="2" w:colLast="2"/>
            <w:r w:rsidRPr="00192512">
              <w:rPr>
                <w:rFonts w:ascii="Times New Roman" w:eastAsia="Arial" w:hAnsi="Times New Roman" w:cs="Times New Roman"/>
                <w:color w:val="111111"/>
                <w:sz w:val="22"/>
                <w:szCs w:val="22"/>
              </w:rPr>
              <w:t xml:space="preserve"> </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1</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2</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3</w:t>
            </w:r>
          </w:p>
        </w:tc>
        <w:tc>
          <w:tcPr>
            <w:tcW w:w="12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Model 4</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-44.65***</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-54.19***</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-34.85***</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-51.72***</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(6.05)</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(3.98)</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(5.70)</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(3.85)</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Pumping costs (squared)</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3.36***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2.76***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2.97***</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2.65***</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(0.58)</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(0.41)</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(0.55)</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(0.40)</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 yield (WY)</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0.15***</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0.10***</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(0.03)</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(0.02)</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Precipitation (P)</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-1.69**</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-1.23*</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-1.69**</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-1.32*</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(0.68)</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(0.68)</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Evapotranspiration</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-1.84</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-0.80</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-1.82</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-0.97</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(1.73)</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(1.73)</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(1.73)</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Growing Degree Days</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0.16*</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0.22***</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0.09</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(0.08)</w:t>
            </w:r>
          </w:p>
        </w:tc>
      </w:tr>
      <w:tr w:rsidR="00222E93" w:rsidRPr="00192512" w:rsidTr="00CD55FB">
        <w:trPr>
          <w:cantSplit/>
          <w:jc w:val="center"/>
        </w:trPr>
        <w:tc>
          <w:tcPr>
            <w:tcW w:w="3528"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Year FEs included?</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r>
      <w:tr w:rsidR="00222E93" w:rsidRPr="00192512" w:rsidTr="00CD55FB">
        <w:trPr>
          <w:cantSplit/>
          <w:jc w:val="center"/>
        </w:trPr>
        <w:tc>
          <w:tcPr>
            <w:tcW w:w="3528"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w:t>
            </w:r>
            <w:proofErr w:type="spellStart"/>
            <w:r w:rsidRPr="00192512">
              <w:rPr>
                <w:rFonts w:ascii="Times New Roman" w:eastAsia="Arial" w:hAnsi="Times New Roman" w:cs="Times New Roman"/>
                <w:color w:val="111111"/>
                <w:sz w:val="22"/>
                <w:szCs w:val="22"/>
              </w:rPr>
              <w:t>hp</w:t>
            </w:r>
            <w:proofErr w:type="spellEnd"/>
            <w:r w:rsidRPr="00192512">
              <w:rPr>
                <w:rFonts w:ascii="Times New Roman" w:eastAsia="Arial" w:hAnsi="Times New Roman" w:cs="Times New Roman"/>
                <w:color w:val="111111"/>
                <w:sz w:val="22"/>
                <w:szCs w:val="22"/>
              </w:rPr>
              <w:t>-price tier FEs included?</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No</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No</w:t>
            </w:r>
          </w:p>
        </w:tc>
      </w:tr>
      <w:tr w:rsidR="00222E93" w:rsidRPr="00192512" w:rsidTr="00CD55FB">
        <w:trPr>
          <w:cantSplit/>
          <w:jc w:val="center"/>
        </w:trPr>
        <w:tc>
          <w:tcPr>
            <w:tcW w:w="3528" w:type="dxa"/>
            <w:tcBorders>
              <w:bottom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Well FEs included?</w:t>
            </w:r>
          </w:p>
        </w:tc>
        <w:tc>
          <w:tcPr>
            <w:tcW w:w="1291" w:type="dxa"/>
            <w:tcBorders>
              <w:bottom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No</w:t>
            </w:r>
          </w:p>
        </w:tc>
        <w:tc>
          <w:tcPr>
            <w:tcW w:w="1291" w:type="dxa"/>
            <w:tcBorders>
              <w:bottom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c>
          <w:tcPr>
            <w:tcW w:w="1291" w:type="dxa"/>
            <w:tcBorders>
              <w:bottom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No</w:t>
            </w:r>
          </w:p>
        </w:tc>
        <w:tc>
          <w:tcPr>
            <w:tcW w:w="1291" w:type="dxa"/>
            <w:tcBorders>
              <w:bottom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Yes</w:t>
            </w:r>
          </w:p>
        </w:tc>
      </w:tr>
      <w:tr w:rsidR="00222E93" w:rsidRPr="00192512" w:rsidTr="00CD55FB">
        <w:trPr>
          <w:cantSplit/>
          <w:jc w:val="center"/>
        </w:trPr>
        <w:tc>
          <w:tcPr>
            <w:tcW w:w="3528"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proofErr w:type="spellStart"/>
            <w:r w:rsidRPr="00192512">
              <w:rPr>
                <w:rFonts w:ascii="Times New Roman" w:eastAsia="Arial" w:hAnsi="Times New Roman" w:cs="Times New Roman"/>
                <w:color w:val="111111"/>
                <w:sz w:val="22"/>
                <w:szCs w:val="22"/>
              </w:rPr>
              <w:t>Num.Obs</w:t>
            </w:r>
            <w:proofErr w:type="spellEnd"/>
            <w:r w:rsidRPr="00192512">
              <w:rPr>
                <w:rFonts w:ascii="Times New Roman" w:eastAsia="Arial" w:hAnsi="Times New Roman" w:cs="Times New Roman"/>
                <w:color w:val="111111"/>
                <w:sz w:val="22"/>
                <w:szCs w:val="22"/>
              </w:rPr>
              <w:t>.</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c>
          <w:tcPr>
            <w:tcW w:w="1291" w:type="dxa"/>
            <w:tcBorders>
              <w:top w:val="single" w:sz="8"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5916</w:t>
            </w:r>
          </w:p>
        </w:tc>
      </w:tr>
      <w:tr w:rsidR="00222E93" w:rsidRPr="00192512" w:rsidTr="00CD55FB">
        <w:trPr>
          <w:cantSplit/>
          <w:jc w:val="center"/>
        </w:trPr>
        <w:tc>
          <w:tcPr>
            <w:tcW w:w="3528" w:type="dxa"/>
            <w:tcBorders>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R2 Adj.</w:t>
            </w:r>
          </w:p>
        </w:tc>
        <w:tc>
          <w:tcPr>
            <w:tcW w:w="1291" w:type="dxa"/>
            <w:tcBorders>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0.868</w:t>
            </w:r>
          </w:p>
        </w:tc>
        <w:tc>
          <w:tcPr>
            <w:tcW w:w="1291" w:type="dxa"/>
            <w:tcBorders>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0.846</w:t>
            </w:r>
          </w:p>
        </w:tc>
        <w:tc>
          <w:tcPr>
            <w:tcW w:w="1291" w:type="dxa"/>
            <w:tcBorders>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0.873</w:t>
            </w:r>
          </w:p>
        </w:tc>
        <w:tc>
          <w:tcPr>
            <w:tcW w:w="1291" w:type="dxa"/>
            <w:tcBorders>
              <w:bottom w:val="single" w:sz="16" w:space="0" w:color="000000"/>
            </w:tcBorders>
            <w:shd w:val="clear" w:color="auto" w:fill="FFFFFF"/>
            <w:tcMar>
              <w:top w:w="0" w:type="dxa"/>
              <w:left w:w="0" w:type="dxa"/>
              <w:bottom w:w="0" w:type="dxa"/>
              <w:right w:w="0" w:type="dxa"/>
            </w:tcMar>
            <w:vAlign w:val="center"/>
          </w:tcPr>
          <w:p w:rsidR="00222E93" w:rsidRPr="00192512" w:rsidRDefault="00222E93" w:rsidP="00CD55FB">
            <w:pPr>
              <w:spacing w:before="40" w:after="40"/>
              <w:ind w:left="100" w:right="100"/>
              <w:rPr>
                <w:rFonts w:ascii="Times New Roman" w:hAnsi="Times New Roman" w:cs="Times New Roman"/>
              </w:rPr>
            </w:pPr>
            <w:r w:rsidRPr="00192512">
              <w:rPr>
                <w:rFonts w:ascii="Times New Roman" w:eastAsia="Arial" w:hAnsi="Times New Roman" w:cs="Times New Roman"/>
                <w:color w:val="111111"/>
                <w:sz w:val="22"/>
                <w:szCs w:val="22"/>
              </w:rPr>
              <w:t>0.849</w:t>
            </w:r>
          </w:p>
        </w:tc>
      </w:tr>
      <w:tr w:rsidR="00222E93" w:rsidRPr="00192512" w:rsidTr="00CD55FB">
        <w:trPr>
          <w:cantSplit/>
          <w:jc w:val="center"/>
        </w:trPr>
        <w:tc>
          <w:tcPr>
            <w:tcW w:w="8692" w:type="dxa"/>
            <w:gridSpan w:val="5"/>
            <w:shd w:val="clear" w:color="auto" w:fill="FFFFFF"/>
            <w:tcMar>
              <w:top w:w="0" w:type="dxa"/>
              <w:left w:w="0" w:type="dxa"/>
              <w:bottom w:w="0" w:type="dxa"/>
              <w:right w:w="0" w:type="dxa"/>
            </w:tcMar>
            <w:vAlign w:val="center"/>
          </w:tcPr>
          <w:p w:rsidR="00222E93" w:rsidRPr="00192512" w:rsidRDefault="00222E93" w:rsidP="00CD55FB">
            <w:pPr>
              <w:spacing w:after="0"/>
              <w:rPr>
                <w:rFonts w:ascii="Times New Roman" w:hAnsi="Times New Roman" w:cs="Times New Roman"/>
              </w:rPr>
            </w:pPr>
            <w:r w:rsidRPr="00192512">
              <w:rPr>
                <w:rFonts w:ascii="Times New Roman" w:eastAsia="Arial" w:hAnsi="Times New Roman" w:cs="Times New Roman"/>
                <w:color w:val="000000"/>
                <w:sz w:val="20"/>
                <w:szCs w:val="20"/>
              </w:rPr>
              <w:t>(Standard errors are clustered at the well level)</w:t>
            </w:r>
          </w:p>
        </w:tc>
      </w:tr>
      <w:tr w:rsidR="00222E93" w:rsidRPr="00192512" w:rsidTr="00CD55FB">
        <w:trPr>
          <w:cantSplit/>
          <w:jc w:val="center"/>
        </w:trPr>
        <w:tc>
          <w:tcPr>
            <w:tcW w:w="8692" w:type="dxa"/>
            <w:gridSpan w:val="5"/>
            <w:shd w:val="clear" w:color="auto" w:fill="FFFFFF"/>
            <w:tcMar>
              <w:top w:w="0" w:type="dxa"/>
              <w:left w:w="0" w:type="dxa"/>
              <w:bottom w:w="0" w:type="dxa"/>
              <w:right w:w="0" w:type="dxa"/>
            </w:tcMar>
            <w:vAlign w:val="center"/>
          </w:tcPr>
          <w:p w:rsidR="00222E93" w:rsidRPr="00192512" w:rsidRDefault="00222E93" w:rsidP="00CD55FB">
            <w:pPr>
              <w:spacing w:after="0"/>
              <w:rPr>
                <w:rFonts w:ascii="Times New Roman" w:hAnsi="Times New Roman" w:cs="Times New Roman"/>
              </w:rPr>
            </w:pPr>
            <w:r w:rsidRPr="00192512">
              <w:rPr>
                <w:rFonts w:ascii="Times New Roman" w:eastAsia="Arial" w:hAnsi="Times New Roman" w:cs="Times New Roman"/>
                <w:color w:val="000000"/>
                <w:sz w:val="20"/>
                <w:szCs w:val="20"/>
              </w:rPr>
              <w:t>* p &lt; 0.1, ** p &lt; 0.05, *** p &lt; 0.01</w:t>
            </w:r>
          </w:p>
        </w:tc>
      </w:tr>
    </w:tbl>
    <w:bookmarkEnd w:id="2"/>
    <w:p w:rsidR="00222E93" w:rsidRDefault="00222E93" w:rsidP="00222E93">
      <w:pPr>
        <w:pStyle w:val="BodyText"/>
        <w:rPr>
          <w:rFonts w:ascii="Times New Roman" w:hAnsi="Times New Roman" w:cs="Times New Roman"/>
        </w:rPr>
      </w:pPr>
      <w:r>
        <w:rPr>
          <w:rFonts w:ascii="Times New Roman" w:hAnsi="Times New Roman" w:cs="Times New Roman"/>
        </w:rPr>
        <w:t>Table A.1</w:t>
      </w:r>
      <w:r w:rsidRPr="00192512">
        <w:rPr>
          <w:rFonts w:ascii="Times New Roman" w:hAnsi="Times New Roman" w:cs="Times New Roman"/>
        </w:rPr>
        <w:t xml:space="preserve"> compares regression results using either well FE or well-</w:t>
      </w:r>
      <w:proofErr w:type="spellStart"/>
      <w:r w:rsidRPr="00192512">
        <w:rPr>
          <w:rFonts w:ascii="Times New Roman" w:hAnsi="Times New Roman" w:cs="Times New Roman"/>
        </w:rPr>
        <w:t>hp</w:t>
      </w:r>
      <w:proofErr w:type="spellEnd"/>
      <w:r w:rsidRPr="00192512">
        <w:rPr>
          <w:rFonts w:ascii="Times New Roman" w:hAnsi="Times New Roman" w:cs="Times New Roman"/>
        </w:rPr>
        <w:t>-price tier FE. While well-</w:t>
      </w:r>
      <w:proofErr w:type="spellStart"/>
      <w:r w:rsidRPr="00192512">
        <w:rPr>
          <w:rFonts w:ascii="Times New Roman" w:hAnsi="Times New Roman" w:cs="Times New Roman"/>
        </w:rPr>
        <w:t>hp</w:t>
      </w:r>
      <w:proofErr w:type="spellEnd"/>
      <w:r w:rsidRPr="00192512">
        <w:rPr>
          <w:rFonts w:ascii="Times New Roman" w:hAnsi="Times New Roman" w:cs="Times New Roman"/>
        </w:rPr>
        <w:t>-price tier FE avoids bias from spurious negative correlation between water use and marginal price due to DBR, well FE does not. Comparing columns 1 (with well-</w:t>
      </w:r>
      <w:proofErr w:type="spellStart"/>
      <w:r w:rsidRPr="00192512">
        <w:rPr>
          <w:rFonts w:ascii="Times New Roman" w:hAnsi="Times New Roman" w:cs="Times New Roman"/>
        </w:rPr>
        <w:t>hp</w:t>
      </w:r>
      <w:proofErr w:type="spellEnd"/>
      <w:r w:rsidRPr="00192512">
        <w:rPr>
          <w:rFonts w:ascii="Times New Roman" w:hAnsi="Times New Roman" w:cs="Times New Roman"/>
        </w:rPr>
        <w:t>-price tier FE) and 2 (with well FE) indicate a significant negative bias due to the DBR structure. Columns 3 and 4 present regression results when well yield is included to the models presented in columns 1 and 2, respectively. The results presented in Column 3 are the main results reported in the paper. Comparing columns 2 and 4 shows that the variation in pumping costs generated by the DBR structure dominates the overall variation in pumping costs and that the inclusion of well yield does not help alleviate the bias.</w:t>
      </w:r>
    </w:p>
    <w:p w:rsidR="00222E93" w:rsidRDefault="00222E93" w:rsidP="00222E93">
      <w:pPr>
        <w:pStyle w:val="BodyText"/>
        <w:rPr>
          <w:rFonts w:ascii="Times New Roman" w:hAnsi="Times New Roman" w:cs="Times New Roman"/>
        </w:rPr>
      </w:pPr>
    </w:p>
    <w:p w:rsidR="00222E93" w:rsidRPr="00222E93" w:rsidRDefault="00222E93" w:rsidP="00222E93">
      <w:pPr>
        <w:pStyle w:val="BodyText"/>
        <w:rPr>
          <w:rFonts w:ascii="Times New Roman" w:hAnsi="Times New Roman" w:cs="Times New Roman"/>
          <w:b/>
          <w:sz w:val="28"/>
          <w:szCs w:val="28"/>
        </w:rPr>
      </w:pPr>
      <w:r w:rsidRPr="00222E93">
        <w:rPr>
          <w:rFonts w:ascii="Times New Roman" w:hAnsi="Times New Roman" w:cs="Times New Roman"/>
          <w:b/>
          <w:sz w:val="28"/>
          <w:szCs w:val="28"/>
        </w:rPr>
        <w:t>A.2 Additional Figure</w:t>
      </w:r>
    </w:p>
    <w:p w:rsidR="00222E93" w:rsidRDefault="00222E93" w:rsidP="00222E93">
      <w:pPr>
        <w:pStyle w:val="BodyText"/>
        <w:rPr>
          <w:rFonts w:ascii="Times New Roman" w:hAnsi="Times New Roman" w:cs="Times New Roman"/>
        </w:rPr>
      </w:pPr>
    </w:p>
    <w:p w:rsidR="00222E93" w:rsidRPr="00192512" w:rsidRDefault="00222E93" w:rsidP="00222E93">
      <w:pPr>
        <w:pStyle w:val="ImageCaption"/>
        <w:rPr>
          <w:rFonts w:ascii="Times New Roman" w:hAnsi="Times New Roman" w:cs="Times New Roman"/>
        </w:rPr>
      </w:pPr>
      <w:r>
        <w:rPr>
          <w:rFonts w:ascii="Times New Roman" w:hAnsi="Times New Roman" w:cs="Times New Roman"/>
        </w:rPr>
        <w:t>Figure A.1</w:t>
      </w:r>
      <w:r w:rsidRPr="00192512">
        <w:rPr>
          <w:rFonts w:ascii="Times New Roman" w:hAnsi="Times New Roman" w:cs="Times New Roman"/>
        </w:rPr>
        <w:t>: Irrigation wells that are near and far from USGS monitoring wells</w:t>
      </w:r>
    </w:p>
    <w:bookmarkEnd w:id="1"/>
    <w:p w:rsidR="00222E93" w:rsidRPr="00192512" w:rsidRDefault="00222E93" w:rsidP="00222E93">
      <w:pPr>
        <w:pStyle w:val="BodyText"/>
        <w:rPr>
          <w:rFonts w:ascii="Times New Roman" w:hAnsi="Times New Roman" w:cs="Times New Roman"/>
        </w:rPr>
      </w:pPr>
    </w:p>
    <w:p w:rsidR="00A5409E" w:rsidRPr="00222E93" w:rsidRDefault="00A5409E" w:rsidP="00222E93"/>
    <w:sectPr w:rsidR="00A5409E" w:rsidRPr="00222E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9E"/>
    <w:rsid w:val="000A09E5"/>
    <w:rsid w:val="000D41B4"/>
    <w:rsid w:val="0013750D"/>
    <w:rsid w:val="00155E14"/>
    <w:rsid w:val="00220A96"/>
    <w:rsid w:val="00222E93"/>
    <w:rsid w:val="002D3A96"/>
    <w:rsid w:val="003B526B"/>
    <w:rsid w:val="00407E04"/>
    <w:rsid w:val="004C2F08"/>
    <w:rsid w:val="005A71E2"/>
    <w:rsid w:val="00675951"/>
    <w:rsid w:val="00681CA8"/>
    <w:rsid w:val="00693180"/>
    <w:rsid w:val="006F72FC"/>
    <w:rsid w:val="007478A4"/>
    <w:rsid w:val="00763F88"/>
    <w:rsid w:val="007D5DA4"/>
    <w:rsid w:val="007F47AE"/>
    <w:rsid w:val="008C1AC2"/>
    <w:rsid w:val="009859B9"/>
    <w:rsid w:val="00A5409E"/>
    <w:rsid w:val="00A722F2"/>
    <w:rsid w:val="00C23781"/>
    <w:rsid w:val="00C27A28"/>
    <w:rsid w:val="00CE32AE"/>
    <w:rsid w:val="00D33BE8"/>
    <w:rsid w:val="00E51CB7"/>
    <w:rsid w:val="00F47AEF"/>
    <w:rsid w:val="00F97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B41365"/>
  <w15:chartTrackingRefBased/>
  <w15:docId w15:val="{8A81809D-2D75-A342-9887-19B50796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E93"/>
    <w:pPr>
      <w:spacing w:after="200"/>
    </w:pPr>
    <w:rPr>
      <w:rFonts w:eastAsiaTheme="minorHAnsi"/>
      <w:lang w:eastAsia="en-US"/>
    </w:rPr>
  </w:style>
  <w:style w:type="paragraph" w:styleId="Heading1">
    <w:name w:val="heading 1"/>
    <w:basedOn w:val="Normal"/>
    <w:next w:val="BodyText"/>
    <w:link w:val="Heading1Char"/>
    <w:uiPriority w:val="9"/>
    <w:qFormat/>
    <w:rsid w:val="00222E93"/>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5409E"/>
    <w:pPr>
      <w:spacing w:before="180" w:after="180"/>
    </w:pPr>
  </w:style>
  <w:style w:type="character" w:customStyle="1" w:styleId="BodyTextChar">
    <w:name w:val="Body Text Char"/>
    <w:basedOn w:val="DefaultParagraphFont"/>
    <w:link w:val="BodyText"/>
    <w:rsid w:val="00A5409E"/>
    <w:rPr>
      <w:rFonts w:eastAsiaTheme="minorHAnsi"/>
      <w:lang w:eastAsia="en-US"/>
    </w:rPr>
  </w:style>
  <w:style w:type="paragraph" w:customStyle="1" w:styleId="ImageCaption">
    <w:name w:val="Image Caption"/>
    <w:basedOn w:val="Caption"/>
    <w:rsid w:val="00A5409E"/>
    <w:pPr>
      <w:spacing w:after="120"/>
    </w:pPr>
    <w:rPr>
      <w:rFonts w:eastAsiaTheme="minorHAnsi"/>
      <w:iCs w:val="0"/>
      <w:color w:val="auto"/>
      <w:sz w:val="24"/>
      <w:szCs w:val="24"/>
      <w:lang w:eastAsia="en-US"/>
    </w:rPr>
  </w:style>
  <w:style w:type="paragraph" w:styleId="Caption">
    <w:name w:val="caption"/>
    <w:basedOn w:val="Normal"/>
    <w:next w:val="Normal"/>
    <w:uiPriority w:val="35"/>
    <w:semiHidden/>
    <w:unhideWhenUsed/>
    <w:qFormat/>
    <w:rsid w:val="00A5409E"/>
    <w:rPr>
      <w:rFonts w:eastAsiaTheme="minorEastAsia"/>
      <w:i/>
      <w:iCs/>
      <w:color w:val="44546A" w:themeColor="text2"/>
      <w:sz w:val="18"/>
      <w:szCs w:val="18"/>
      <w:lang w:eastAsia="ja-JP"/>
    </w:rPr>
  </w:style>
  <w:style w:type="character" w:customStyle="1" w:styleId="Heading1Char">
    <w:name w:val="Heading 1 Char"/>
    <w:basedOn w:val="DefaultParagraphFont"/>
    <w:link w:val="Heading1"/>
    <w:uiPriority w:val="9"/>
    <w:rsid w:val="00222E93"/>
    <w:rPr>
      <w:rFonts w:eastAsiaTheme="majorEastAsia"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 Mieno</dc:creator>
  <cp:keywords/>
  <dc:description/>
  <cp:lastModifiedBy>Taro Mieno</cp:lastModifiedBy>
  <cp:revision>3</cp:revision>
  <dcterms:created xsi:type="dcterms:W3CDTF">2021-06-15T17:43:00Z</dcterms:created>
  <dcterms:modified xsi:type="dcterms:W3CDTF">2021-06-15T18:45:00Z</dcterms:modified>
</cp:coreProperties>
</file>