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TACA Protocol Lock v3</w:t>
      </w:r>
    </w:p>
    <w:p>
      <w:pPr>
        <w:jc w:val="center"/>
      </w:pPr>
      <w:r>
        <w:rPr>
          <w:i/>
          <w:sz w:val="26"/>
        </w:rPr>
        <w:t>Pre-Registration of the CRF Asymmetry-Detection Methodology</w:t>
      </w:r>
    </w:p>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6E4F0"/>
          </w:tcPr>
          <w:p>
            <w:r/>
            <w:r>
              <w:rPr>
                <w:b/>
                <w:sz w:val="19"/>
              </w:rPr>
              <w:t>Author</w:t>
            </w:r>
          </w:p>
        </w:tc>
        <w:tc>
          <w:tcPr>
            <w:tcW w:type="dxa" w:w="7056"/>
          </w:tcPr>
          <w:p>
            <w:r/>
            <w:r>
              <w:rPr>
                <w:sz w:val="19"/>
              </w:rPr>
              <w:t>Teodor Minchev</w:t>
            </w:r>
          </w:p>
        </w:tc>
      </w:tr>
      <w:tr>
        <w:tc>
          <w:tcPr>
            <w:tcW w:type="dxa" w:w="2304"/>
            <w:shd w:val="clear" w:color="auto" w:fill="D6E4F0"/>
          </w:tcPr>
          <w:p>
            <w:r/>
            <w:r>
              <w:rPr>
                <w:b/>
                <w:sz w:val="19"/>
              </w:rPr>
              <w:t>Version</w:t>
            </w:r>
          </w:p>
        </w:tc>
        <w:tc>
          <w:tcPr>
            <w:tcW w:type="dxa" w:w="7056"/>
          </w:tcPr>
          <w:p>
            <w:r/>
            <w:r>
              <w:rPr>
                <w:sz w:val="19"/>
              </w:rPr>
              <w:t>3.0</w:t>
            </w:r>
          </w:p>
        </w:tc>
      </w:tr>
      <w:tr>
        <w:tc>
          <w:tcPr>
            <w:tcW w:type="dxa" w:w="2304"/>
            <w:shd w:val="clear" w:color="auto" w:fill="D6E4F0"/>
          </w:tcPr>
          <w:p>
            <w:r/>
            <w:r>
              <w:rPr>
                <w:b/>
                <w:sz w:val="19"/>
              </w:rPr>
              <w:t>Lock date</w:t>
            </w:r>
          </w:p>
        </w:tc>
        <w:tc>
          <w:tcPr>
            <w:tcW w:type="dxa" w:w="7056"/>
          </w:tcPr>
          <w:p>
            <w:r/>
            <w:r>
              <w:rPr>
                <w:sz w:val="19"/>
              </w:rPr>
              <w:t>2026-06-22</w:t>
            </w:r>
          </w:p>
        </w:tc>
      </w:tr>
      <w:tr>
        <w:tc>
          <w:tcPr>
            <w:tcW w:type="dxa" w:w="2304"/>
            <w:shd w:val="clear" w:color="auto" w:fill="D6E4F0"/>
          </w:tcPr>
          <w:p>
            <w:r/>
            <w:r>
              <w:rPr>
                <w:b/>
                <w:sz w:val="19"/>
              </w:rPr>
              <w:t>Supersedes</w:t>
            </w:r>
          </w:p>
        </w:tc>
        <w:tc>
          <w:tcPr>
            <w:tcW w:type="dxa" w:w="7056"/>
          </w:tcPr>
          <w:p>
            <w:r/>
            <w:r>
              <w:rPr>
                <w:sz w:val="19"/>
              </w:rPr>
              <w:t>v2 (Zenodo concept DOI 10.5281/zenodo.20800460)</w:t>
            </w:r>
          </w:p>
        </w:tc>
      </w:tr>
      <w:tr>
        <w:tc>
          <w:tcPr>
            <w:tcW w:type="dxa" w:w="2304"/>
            <w:shd w:val="clear" w:color="auto" w:fill="D6E4F0"/>
          </w:tcPr>
          <w:p>
            <w:r/>
            <w:r>
              <w:rPr>
                <w:b/>
                <w:sz w:val="19"/>
              </w:rPr>
              <w:t>Status</w:t>
            </w:r>
          </w:p>
        </w:tc>
        <w:tc>
          <w:tcPr>
            <w:tcW w:type="dxa" w:w="7056"/>
          </w:tcPr>
          <w:p>
            <w:r/>
            <w:r>
              <w:rPr>
                <w:sz w:val="19"/>
              </w:rPr>
              <w:t>LOCKED — pre-registered prior to any case execution.</w:t>
            </w:r>
          </w:p>
        </w:tc>
      </w:tr>
    </w:tbl>
    <w:p/>
    <w:p>
      <w:pPr>
        <w:pStyle w:val="Heading1"/>
      </w:pPr>
      <w:r>
        <w:rPr>
          <w:color w:val="1F4E79"/>
        </w:rPr>
        <w:t>0. Meaning of the Lock</w:t>
      </w:r>
    </w:p>
    <w:p>
      <w:pPr>
        <w:spacing w:after="120"/>
      </w:pPr>
      <w:r>
        <w:rPr>
          <w:b w:val="0"/>
          <w:i w:val="0"/>
        </w:rPr>
        <w:t>This document fixes every methodological degree of freedom before a single empirical case is scored. Once locked, no parameter, definition, threshold, or hypothesis below may be altered during case work. Any change requires a new version (v4, v5, …), dated and justified, and applies only to cases scored after that new version. Cases already scored under a given version are never re-scored under a later version. This rule is the sole protection against hindsight-driven parameter drift.</w:t>
      </w:r>
    </w:p>
    <w:p>
      <w:pPr>
        <w:spacing w:after="120"/>
      </w:pPr>
      <w:r>
        <w:rPr>
          <w:b w:val="0"/>
          <w:i w:val="0"/>
        </w:rPr>
        <w:t>Parameters are tagged [PRINCIPAL] (author research commitment) or [DEFAULT] (set by the methodology; changeable only by versioned amendment).</w:t>
      </w:r>
    </w:p>
    <w:p>
      <w:pPr>
        <w:pStyle w:val="Heading2"/>
      </w:pPr>
      <w:r>
        <w:rPr>
          <w:color w:val="1F4E79"/>
        </w:rPr>
        <w:t>0.1 Amendment Record</w:t>
      </w:r>
    </w:p>
    <w:p>
      <w:pPr>
        <w:spacing w:after="120"/>
      </w:pPr>
      <w:r>
        <w:rPr>
          <w:b w:val="0"/>
          <w:i w:val="0"/>
        </w:rPr>
        <w:t>v1 → v2: case frame 1995–2020 → 2000–2023 + temporal holdout + regime stratification; measurability floor → two-part tail-aware rule; license fixed; numbering fixed.</w:t>
      </w:r>
    </w:p>
    <w:p>
      <w:pPr>
        <w:spacing w:after="120"/>
      </w:pPr>
      <w:r>
        <w:rPr>
          <w:b w:val="0"/>
          <w:i w:val="0"/>
        </w:rPr>
        <w:t>v2 → v3 (this version): issued before any case was scored — integrity-clean. Pins three feature operationalizations (#3, #4, #6 in Section 6.1) to single, computable, source-defined formulas. In v2 these read as concept labels ("addressable-market growth proxy", "revenue retention proxy", "contribution-margin trend") that two scorers could compute differently, which would break inter-rater agreement at the feature level. v3 makes the evidence model executable. No change to the metric, hypotheses, thresholds, frame, or controls.</w:t>
      </w:r>
    </w:p>
    <w:p>
      <w:pPr>
        <w:pStyle w:val="Heading1"/>
      </w:pPr>
      <w:r>
        <w:rPr>
          <w:color w:val="1F4E79"/>
        </w:rPr>
        <w:t>L. License</w:t>
      </w:r>
    </w:p>
    <w:p>
      <w:pPr>
        <w:spacing w:after="120"/>
      </w:pPr>
      <w:r>
        <w:rPr>
          <w:b w:val="0"/>
          <w:i w:val="0"/>
        </w:rPr>
        <w:t>CC BY 4.0 (Creative Commons Attribution 4.0 International), set as the single license in the Zenodo metadata.</w:t>
      </w:r>
    </w:p>
    <w:p>
      <w:pPr>
        <w:pStyle w:val="Heading1"/>
      </w:pPr>
      <w:r>
        <w:rPr>
          <w:color w:val="1F4E79"/>
        </w:rPr>
        <w:t>1. Purpose and Scope</w:t>
      </w:r>
    </w:p>
    <w:p>
      <w:pPr>
        <w:spacing w:after="120"/>
      </w:pPr>
      <w:r>
        <w:rPr>
          <w:b w:val="0"/>
          <w:i w:val="0"/>
        </w:rPr>
        <w:t>This protocol tests one claim of the Theory of Asymmetric Capital Accumulation (TACA):</w:t>
      </w:r>
    </w:p>
    <w:p>
      <w:pPr>
        <w:spacing w:after="120"/>
      </w:pPr>
      <w:r>
        <w:rPr>
          <w:b w:val="0"/>
          <w:i/>
        </w:rPr>
        <w:t>Asymmetry emerges when structural reality evolves faster than collective interpretation.</w:t>
      </w:r>
    </w:p>
    <w:p>
      <w:pPr>
        <w:spacing w:after="120"/>
      </w:pPr>
      <w:r>
        <w:rPr>
          <w:b w:val="0"/>
          <w:i w:val="0"/>
        </w:rPr>
        <w:t>It operationalizes that claim as a measurable, point-in-time divergence between what the market prices and what a locked evidence model implies, and specifies how that divergence is to be validated against realized outcomes.</w:t>
      </w:r>
    </w:p>
    <w:p>
      <w:pPr>
        <w:spacing w:after="120"/>
      </w:pPr>
      <w:r>
        <w:rPr>
          <w:b/>
          <w:i w:val="0"/>
        </w:rPr>
        <w:t>This protocol does NOT claim:</w:t>
      </w:r>
    </w:p>
    <w:p>
      <w:pPr>
        <w:pStyle w:val="ListBullet"/>
      </w:pPr>
      <w:r>
        <w:t>to measure a Structural Probability Transition directly (SPTs are latent);</w:t>
      </w:r>
    </w:p>
    <w:p>
      <w:pPr>
        <w:pStyle w:val="ListBullet"/>
      </w:pPr>
      <w:r>
        <w:t>predictive validity in advance of the empirical test;</w:t>
      </w:r>
    </w:p>
    <w:p>
      <w:pPr>
        <w:pStyle w:val="ListBullet"/>
      </w:pPr>
      <w:r>
        <w:t>that any single case validates the theory.</w:t>
      </w:r>
    </w:p>
    <w:p>
      <w:pPr>
        <w:spacing w:after="120"/>
      </w:pPr>
      <w:r>
        <w:rPr>
          <w:b w:val="0"/>
          <w:i w:val="0"/>
        </w:rPr>
        <w:t>It claims only that the methodology can be executed consistently, auditably, and point-in-time, and that its central hypotheses are falsifiable on a pre-registered sample with out-of-sample replication.</w:t>
      </w:r>
    </w:p>
    <w:p>
      <w:pPr>
        <w:pStyle w:val="Heading1"/>
      </w:pPr>
      <w:r>
        <w:rPr>
          <w:color w:val="1F4E79"/>
        </w:rPr>
        <w:t>2. Canonical Definitions (Name-Collision Resolution)</w:t>
      </w:r>
    </w:p>
    <w:p>
      <w:pPr>
        <w:spacing w:after="120"/>
      </w:pPr>
      <w:r>
        <w:rPr>
          <w:b/>
          <w:i w:val="0"/>
        </w:rPr>
        <w:t>Within this protocol and all cases scored under it, "CRF" has exactly one meaning:</w:t>
      </w:r>
    </w:p>
    <w:p>
      <w:pPr>
        <w:spacing w:after="120"/>
      </w:pPr>
      <w:r>
        <w:rPr>
          <w:b w:val="0"/>
          <w:i/>
        </w:rPr>
        <w:t>CRF (Cognitive Risk Friction) = an information-theoretic divergence between a market-perceived outcome distribution and an evidence-model outcome distribution, computed at a fixed point in time.</w:t>
      </w:r>
    </w:p>
    <w:p>
      <w:pPr>
        <w:spacing w:after="120"/>
      </w:pPr>
      <w:r>
        <w:rPr>
          <w:b w:val="0"/>
          <w:i w:val="0"/>
        </w:rPr>
        <w:t>The doctrinal "Cognitive Reflexivity Function" (epistemic-legitimacy construct, declared orthogonal to probability distributions) is explicitly excluded as an operational definition; it may be cited only as qualitative motivation, never as the measured quantity.</w:t>
      </w:r>
    </w:p>
    <w:p>
      <w:pPr>
        <w:pStyle w:val="ListBullet"/>
      </w:pPr>
      <w:r>
        <w:t>X — the locked outcome space (Section 4).</w:t>
      </w:r>
    </w:p>
    <w:p>
      <w:pPr>
        <w:pStyle w:val="ListBullet"/>
      </w:pPr>
      <w:r>
        <w:t>Q_t — the market-perceived distribution over X at time t (Section 5).</w:t>
      </w:r>
    </w:p>
    <w:p>
      <w:pPr>
        <w:pStyle w:val="ListBullet"/>
      </w:pPr>
      <w:r>
        <w:t>P_t — the evidence-model distribution over X at time t (Section 6).</w:t>
      </w:r>
    </w:p>
    <w:p>
      <w:pPr>
        <w:pStyle w:val="ListBullet"/>
      </w:pPr>
      <w:r>
        <w:t>R — the realized outcome, observed only at t+h (Section 8).</w:t>
      </w:r>
    </w:p>
    <w:p>
      <w:pPr>
        <w:pStyle w:val="Heading1"/>
      </w:pPr>
      <w:r>
        <w:rPr>
          <w:color w:val="1F4E79"/>
        </w:rPr>
        <w:t>3. The Metric</w:t>
      </w:r>
    </w:p>
    <w:p>
      <w:pPr>
        <w:spacing w:after="120"/>
        <w:jc w:val="center"/>
      </w:pPr>
      <w:r>
        <w:rPr>
          <w:b/>
          <w:i w:val="0"/>
          <w:sz w:val="24"/>
        </w:rPr>
        <w:t>CRF_t = JSD( Q_t || P_t )</w:t>
      </w:r>
    </w:p>
    <w:p>
      <w:pPr>
        <w:pStyle w:val="ListBullet"/>
      </w:pPr>
      <w:r>
        <w:t>JSD = Jensen–Shannon divergence, log base 2, range [0, 1]. [DEFAULT]</w:t>
      </w:r>
    </w:p>
    <w:p>
      <w:pPr>
        <w:pStyle w:val="ListBullet"/>
      </w:pPr>
      <w:r>
        <w:t>Chosen over KL because JSD is symmetric, always finite (even with disjoint support), and bounded — hence comparable across cases. [DEFAULT]</w:t>
      </w:r>
    </w:p>
    <w:p>
      <w:pPr>
        <w:pStyle w:val="Heading1"/>
      </w:pPr>
      <w:r>
        <w:rPr>
          <w:color w:val="1F4E79"/>
        </w:rPr>
        <w:t>4. Outcome Space X (LOCKED)</w:t>
      </w:r>
    </w:p>
    <w:p>
      <w:pPr>
        <w:pStyle w:val="ListBullet"/>
      </w:pPr>
      <w:r>
        <w:t>Variable: forward total return of the object over horizon h = 24 months. [PRINCIPAL]</w:t>
      </w:r>
    </w:p>
    <w:p>
      <w:pPr>
        <w:pStyle w:val="ListBullet"/>
      </w:pPr>
      <w:r>
        <w:t>Binning (return space), 10 bins: [DEFAULT]</w:t>
      </w:r>
    </w:p>
    <w:p>
      <w:pPr>
        <w:spacing w:after="120"/>
      </w:pPr>
      <w:r>
        <w:rPr>
          <w:b w:val="0"/>
          <w:i/>
        </w:rPr>
        <w:t>(-100%,-50%], (-50%,-25%], (-25%,-10%], (-10%,0%], (0%,10%], (10%,25%], (25%,50%], (50%,100%], (100%,200%], (200%,+inf)</w:t>
      </w:r>
    </w:p>
    <w:p>
      <w:pPr>
        <w:spacing w:after="120"/>
      </w:pPr>
      <w:r>
        <w:rPr>
          <w:b w:val="0"/>
          <w:i w:val="0"/>
        </w:rPr>
        <w:t>Bins are deliberately asymmetric to preserve right-tail resolution. The right-tail bins are the top three: (50%,100%], (100%,200%], (200%,+inf).</w:t>
      </w:r>
    </w:p>
    <w:p>
      <w:pPr>
        <w:pStyle w:val="ListBullet"/>
      </w:pPr>
      <w:r>
        <w:t>All three distributions (Q_t, P_t, R-as-point) are expressed over these identical bins.</w:t>
      </w:r>
    </w:p>
    <w:p>
      <w:pPr>
        <w:pStyle w:val="Heading1"/>
      </w:pPr>
      <w:r>
        <w:rPr>
          <w:color w:val="1F4E79"/>
        </w:rPr>
        <w:t>5. Q_t — Market-Perceived Distribution (LOCKED)</w:t>
      </w:r>
    </w:p>
    <w:p>
      <w:pPr>
        <w:spacing w:after="120"/>
      </w:pPr>
      <w:r>
        <w:rPr>
          <w:b w:val="0"/>
          <w:i w:val="0"/>
        </w:rPr>
        <w:t>Q_t is read from the market, never constructed by the analyst. Source precedence: [DEFAULT]</w:t>
      </w:r>
    </w:p>
    <w:p>
      <w:pPr>
        <w:spacing w:after="80"/>
        <w:ind w:left="720" w:hanging="360"/>
      </w:pPr>
      <w:r>
        <w:t>1.  Option-implied risk-neutral density (Breeden–Litzenberger), when listed options exist with maturities bracketing h and open interest above the locked liquidity floor.</w:t>
      </w:r>
    </w:p>
    <w:p>
      <w:pPr>
        <w:spacing w:after="80"/>
        <w:ind w:left="720" w:hanging="360"/>
      </w:pPr>
      <w:r>
        <w:t>2.  Fallback — analyst target distribution: the cross-section of 24-month analyst price targets (consensus + dispersion) fitted to the same bins.</w:t>
      </w:r>
    </w:p>
    <w:p>
      <w:pPr>
        <w:spacing w:after="80"/>
        <w:ind w:left="720" w:hanging="360"/>
      </w:pPr>
      <w:r>
        <w:t>3.  If neither exists: the case is flagged Q-unmeasurable and excluded from H1/H2 (logged, not silently dropped — Section 13).</w:t>
      </w:r>
    </w:p>
    <w:p>
      <w:pPr>
        <w:pStyle w:val="Heading1"/>
      </w:pPr>
      <w:r>
        <w:rPr>
          <w:color w:val="1F4E79"/>
        </w:rPr>
        <w:t>6. P_t — Evidence-Model Distribution (LOCKED): Reference-Class Method</w:t>
      </w:r>
    </w:p>
    <w:p>
      <w:pPr>
        <w:spacing w:after="120"/>
      </w:pPr>
      <w:r>
        <w:rPr>
          <w:b w:val="0"/>
          <w:i w:val="0"/>
        </w:rPr>
        <w:t>P_t is the smoothed empirical histogram of the forward-h returns of the k historical analogues most similar to the object, by a locked structural feature vector. P_t is the output of a locked computation, not the analyst’s opinion. Six locked components:</w:t>
      </w:r>
    </w:p>
    <w:p>
      <w:pPr>
        <w:pStyle w:val="Heading2"/>
      </w:pPr>
      <w:r>
        <w:rPr>
          <w:color w:val="1F4E79"/>
        </w:rPr>
        <w:t>6.1 Feature set f (declared once, program-wide) — 6 features [PRINCIPAL]</w:t>
      </w:r>
    </w:p>
    <w:p>
      <w:pPr>
        <w:spacing w:after="120"/>
      </w:pPr>
      <w:r>
        <w:rPr>
          <w:b w:val="0"/>
          <w:i w:val="0"/>
        </w:rPr>
        <w:t>Each feature is a single computable scalar from one named source. Pinned formulas (v3):</w:t>
      </w:r>
    </w:p>
    <w:tbl>
      <w:tblPr>
        <w:tblStyle w:val="TableGrid"/>
        <w:tblW w:type="auto" w:w="0"/>
        <w:jc w:val="center"/>
        <w:tblLook w:firstColumn="1" w:firstRow="1" w:lastColumn="0" w:lastRow="0" w:noHBand="0" w:noVBand="1" w:val="04A0"/>
      </w:tblPr>
      <w:tblGrid>
        <w:gridCol w:w="3120"/>
        <w:gridCol w:w="3120"/>
        <w:gridCol w:w="3120"/>
      </w:tblGrid>
      <w:tr>
        <w:tc>
          <w:tcPr>
            <w:tcW w:type="dxa" w:w="504"/>
            <w:shd w:val="clear" w:color="auto" w:fill="1F4E79"/>
          </w:tcPr>
          <w:p>
            <w:r/>
            <w:r>
              <w:rPr>
                <w:b/>
                <w:color w:val="FFFFFF"/>
                <w:sz w:val="19"/>
              </w:rPr>
              <w:t>#</w:t>
            </w:r>
          </w:p>
        </w:tc>
        <w:tc>
          <w:tcPr>
            <w:tcW w:type="dxa" w:w="2160"/>
            <w:shd w:val="clear" w:color="auto" w:fill="1F4E79"/>
          </w:tcPr>
          <w:p>
            <w:r/>
            <w:r>
              <w:rPr>
                <w:b/>
                <w:color w:val="FFFFFF"/>
                <w:sz w:val="19"/>
              </w:rPr>
              <w:t>Feature</w:t>
            </w:r>
          </w:p>
        </w:tc>
        <w:tc>
          <w:tcPr>
            <w:tcW w:type="dxa" w:w="6696"/>
            <w:shd w:val="clear" w:color="auto" w:fill="1F4E79"/>
          </w:tcPr>
          <w:p>
            <w:r/>
            <w:r>
              <w:rPr>
                <w:b/>
                <w:color w:val="FFFFFF"/>
                <w:sz w:val="19"/>
              </w:rPr>
              <w:t>Locked single-source formula</w:t>
            </w:r>
          </w:p>
        </w:tc>
      </w:tr>
      <w:tr>
        <w:tc>
          <w:tcPr>
            <w:tcW w:type="dxa" w:w="504"/>
          </w:tcPr>
          <w:p>
            <w:r/>
            <w:r>
              <w:rPr>
                <w:sz w:val="18"/>
              </w:rPr>
              <w:t>1</w:t>
            </w:r>
          </w:p>
        </w:tc>
        <w:tc>
          <w:tcPr>
            <w:tcW w:type="dxa" w:w="2160"/>
          </w:tcPr>
          <w:p>
            <w:r/>
            <w:r>
              <w:rPr>
                <w:sz w:val="18"/>
              </w:rPr>
              <w:t>Scalability</w:t>
            </w:r>
          </w:p>
        </w:tc>
        <w:tc>
          <w:tcPr>
            <w:tcW w:type="dxa" w:w="6696"/>
          </w:tcPr>
          <w:p>
            <w:r/>
            <w:r>
              <w:rPr>
                <w:sz w:val="18"/>
              </w:rPr>
              <w:t>OLS slope of quarterly gross margin (revenue, COGS) over trailing 8 quarters</w:t>
            </w:r>
          </w:p>
        </w:tc>
      </w:tr>
      <w:tr>
        <w:tc>
          <w:tcPr>
            <w:tcW w:type="dxa" w:w="504"/>
          </w:tcPr>
          <w:p>
            <w:r/>
            <w:r>
              <w:rPr>
                <w:sz w:val="18"/>
              </w:rPr>
              <w:t>2</w:t>
            </w:r>
          </w:p>
        </w:tc>
        <w:tc>
          <w:tcPr>
            <w:tcW w:type="dxa" w:w="2160"/>
          </w:tcPr>
          <w:p>
            <w:r/>
            <w:r>
              <w:rPr>
                <w:sz w:val="18"/>
              </w:rPr>
              <w:t>Reinvestment runway</w:t>
            </w:r>
          </w:p>
        </w:tc>
        <w:tc>
          <w:tcPr>
            <w:tcW w:type="dxa" w:w="6696"/>
          </w:tcPr>
          <w:p>
            <w:r/>
            <w:r>
              <w:rPr>
                <w:sz w:val="18"/>
              </w:rPr>
              <w:t>Capex / operating cash flow, trailing 4 quarters</w:t>
            </w:r>
          </w:p>
        </w:tc>
      </w:tr>
      <w:tr>
        <w:tc>
          <w:tcPr>
            <w:tcW w:type="dxa" w:w="504"/>
          </w:tcPr>
          <w:p>
            <w:r/>
            <w:r>
              <w:rPr>
                <w:sz w:val="18"/>
              </w:rPr>
              <w:t>3</w:t>
            </w:r>
          </w:p>
        </w:tc>
        <w:tc>
          <w:tcPr>
            <w:tcW w:type="dxa" w:w="2160"/>
          </w:tcPr>
          <w:p>
            <w:r/>
            <w:r>
              <w:rPr>
                <w:sz w:val="18"/>
              </w:rPr>
              <w:t>Optionality</w:t>
            </w:r>
          </w:p>
        </w:tc>
        <w:tc>
          <w:tcPr>
            <w:tcW w:type="dxa" w:w="6696"/>
          </w:tcPr>
          <w:p>
            <w:r/>
            <w:r>
              <w:rPr>
                <w:sz w:val="18"/>
              </w:rPr>
              <w:t>R&amp;D intensity (R&amp;D/revenue, trailing 4q) × GICS sub-industry aggregate revenue CAGR, trailing 3y  [pinned v3]</w:t>
            </w:r>
          </w:p>
        </w:tc>
      </w:tr>
      <w:tr>
        <w:tc>
          <w:tcPr>
            <w:tcW w:type="dxa" w:w="504"/>
          </w:tcPr>
          <w:p>
            <w:r/>
            <w:r>
              <w:rPr>
                <w:sz w:val="18"/>
              </w:rPr>
              <w:t>4</w:t>
            </w:r>
          </w:p>
        </w:tc>
        <w:tc>
          <w:tcPr>
            <w:tcW w:type="dxa" w:w="2160"/>
          </w:tcPr>
          <w:p>
            <w:r/>
            <w:r>
              <w:rPr>
                <w:sz w:val="18"/>
              </w:rPr>
              <w:t>Network / retention</w:t>
            </w:r>
          </w:p>
        </w:tc>
        <w:tc>
          <w:tcPr>
            <w:tcW w:type="dxa" w:w="6696"/>
          </w:tcPr>
          <w:p>
            <w:r/>
            <w:r>
              <w:rPr>
                <w:sz w:val="18"/>
              </w:rPr>
              <w:t>Revenue persistence = AR(1) coefficient of trailing-12-quarter log-revenue  [pinned v3]</w:t>
            </w:r>
          </w:p>
        </w:tc>
      </w:tr>
      <w:tr>
        <w:tc>
          <w:tcPr>
            <w:tcW w:type="dxa" w:w="504"/>
          </w:tcPr>
          <w:p>
            <w:r/>
            <w:r>
              <w:rPr>
                <w:sz w:val="18"/>
              </w:rPr>
              <w:t>5</w:t>
            </w:r>
          </w:p>
        </w:tc>
        <w:tc>
          <w:tcPr>
            <w:tcW w:type="dxa" w:w="2160"/>
          </w:tcPr>
          <w:p>
            <w:r/>
            <w:r>
              <w:rPr>
                <w:sz w:val="18"/>
              </w:rPr>
              <w:t>Survivability</w:t>
            </w:r>
          </w:p>
        </w:tc>
        <w:tc>
          <w:tcPr>
            <w:tcW w:type="dxa" w:w="6696"/>
          </w:tcPr>
          <w:p>
            <w:r/>
            <w:r>
              <w:rPr>
                <w:sz w:val="18"/>
              </w:rPr>
              <w:t>min-max composite of cash runway (cash ÷ trailing-4q burn, months) and interest coverage (EBIT/interest)</w:t>
            </w:r>
          </w:p>
        </w:tc>
      </w:tr>
      <w:tr>
        <w:tc>
          <w:tcPr>
            <w:tcW w:type="dxa" w:w="504"/>
          </w:tcPr>
          <w:p>
            <w:r/>
            <w:r>
              <w:rPr>
                <w:sz w:val="18"/>
              </w:rPr>
              <w:t>6</w:t>
            </w:r>
          </w:p>
        </w:tc>
        <w:tc>
          <w:tcPr>
            <w:tcW w:type="dxa" w:w="2160"/>
          </w:tcPr>
          <w:p>
            <w:r/>
            <w:r>
              <w:rPr>
                <w:sz w:val="18"/>
              </w:rPr>
              <w:t>Unit-economics trend</w:t>
            </w:r>
          </w:p>
        </w:tc>
        <w:tc>
          <w:tcPr>
            <w:tcW w:type="dxa" w:w="6696"/>
          </w:tcPr>
          <w:p>
            <w:r/>
            <w:r>
              <w:rPr>
                <w:sz w:val="18"/>
              </w:rPr>
              <w:t>Incremental operating margin = OLS slope of quarterly operating income on quarterly revenue, trailing 8q  [pinned v3]</w:t>
            </w:r>
          </w:p>
        </w:tc>
      </w:tr>
    </w:tbl>
    <w:p>
      <w:pPr>
        <w:spacing w:after="120"/>
      </w:pPr>
      <w:r>
        <w:rPr>
          <w:b w:val="0"/>
          <w:i w:val="0"/>
        </w:rPr>
        <w:t>No per-case feature selection. Any unavoidable input gap (e.g. a firm reporting no R&amp;D) is handled by the locked missing-data rule: the feature is set to the pre-t cross-sectional median before z-scoring, and the substitution is logged. Residual ambiguity is a leakage-log item (Section 10).</w:t>
      </w:r>
    </w:p>
    <w:p>
      <w:pPr>
        <w:pStyle w:val="Heading2"/>
      </w:pPr>
      <w:r>
        <w:rPr>
          <w:color w:val="1F4E79"/>
        </w:rPr>
        <w:t>6.2 Similarity metric &amp; class size [DEFAULT]</w:t>
      </w:r>
    </w:p>
    <w:p>
      <w:pPr>
        <w:spacing w:after="120"/>
      </w:pPr>
      <w:r>
        <w:rPr>
          <w:b w:val="0"/>
          <w:i w:val="0"/>
        </w:rPr>
        <w:t>Features z-scored on the pre-t cross-section; distance = Mahalanobis using the pre-t cross-sectional covariance; take the k = 75 nearest analogues. [PRINCIPAL: k=75]</w:t>
      </w:r>
    </w:p>
    <w:p>
      <w:pPr>
        <w:pStyle w:val="Heading2"/>
      </w:pPr>
      <w:r>
        <w:rPr>
          <w:color w:val="1F4E79"/>
        </w:rPr>
        <w:t>6.3 Strict point-in-time rule [DEFAULT]</w:t>
      </w:r>
    </w:p>
    <w:p>
      <w:pPr>
        <w:spacing w:after="120"/>
      </w:pPr>
      <w:r>
        <w:rPr>
          <w:b w:val="0"/>
          <w:i w:val="0"/>
        </w:rPr>
        <w:t>An analogue qualifies only if its own forward-h (24m) window closed before t. No future information enters P_t.</w:t>
      </w:r>
    </w:p>
    <w:p>
      <w:pPr>
        <w:pStyle w:val="Heading2"/>
      </w:pPr>
      <w:r>
        <w:rPr>
          <w:color w:val="1F4E79"/>
        </w:rPr>
        <w:t>6.4 Survivorship-free universe [PRINCIPAL]</w:t>
      </w:r>
    </w:p>
    <w:p>
      <w:pPr>
        <w:spacing w:after="120"/>
      </w:pPr>
      <w:r>
        <w:rPr>
          <w:b w:val="0"/>
          <w:i w:val="0"/>
        </w:rPr>
        <w:t>Analogues drawn from US listed equities meeting the locked size/data filters, including delisted, bankrupt, and acquired firms.</w:t>
      </w:r>
    </w:p>
    <w:p>
      <w:pPr>
        <w:pStyle w:val="Heading2"/>
      </w:pPr>
      <w:r>
        <w:rPr>
          <w:color w:val="1F4E79"/>
        </w:rPr>
        <w:t>6.5 Binning &amp; smoothing [DEFAULT]</w:t>
      </w:r>
    </w:p>
    <w:p>
      <w:pPr>
        <w:spacing w:after="120"/>
      </w:pPr>
      <w:r>
        <w:rPr>
          <w:b w:val="0"/>
          <w:i w:val="0"/>
        </w:rPr>
        <w:t>Analogue returns binned per Section 4; Dirichlet (add-α) smoothing with α = 0.5 (Jeffreys).</w:t>
      </w:r>
    </w:p>
    <w:p>
      <w:pPr>
        <w:pStyle w:val="Heading2"/>
      </w:pPr>
      <w:r>
        <w:rPr>
          <w:color w:val="1F4E79"/>
        </w:rPr>
        <w:t>6.6 Measurability floor — two-part, tail-aware rule [DEFAULT]</w:t>
      </w:r>
    </w:p>
    <w:p>
      <w:pPr>
        <w:spacing w:after="120"/>
      </w:pPr>
      <w:r>
        <w:rPr>
          <w:b w:val="0"/>
          <w:i w:val="0"/>
        </w:rPr>
        <w:t>Construct P_t only if both: (a) total qualifying analogues ≥ 50, and (b) ≥ 8 analogues fall in the combined right-tail bins. If either fails, the case is flagged out-of-measurable-domain and excluded from H1/H2 (logged, Section 13).</w:t>
      </w:r>
    </w:p>
    <w:p>
      <w:pPr>
        <w:pStyle w:val="Heading2"/>
      </w:pPr>
      <w:r>
        <w:rPr>
          <w:color w:val="1F4E79"/>
        </w:rPr>
        <w:t>6.7 Robustness cross-check [DEFAULT]</w:t>
      </w:r>
    </w:p>
    <w:p>
      <w:pPr>
        <w:spacing w:after="120"/>
      </w:pPr>
      <w:r>
        <w:rPr>
          <w:b w:val="0"/>
          <w:i w:val="0"/>
        </w:rPr>
        <w:t>An alternative P_t′ from a locked quantile regression on the same f and same pre-t data; JSD(P_t || P_t′) is reported as a model-dependence diagnostic.</w:t>
      </w:r>
    </w:p>
    <w:p>
      <w:pPr>
        <w:pStyle w:val="Heading1"/>
      </w:pPr>
      <w:r>
        <w:rPr>
          <w:color w:val="1F4E79"/>
        </w:rPr>
        <w:t>7. Direction / Quadrant Rule (LOCKED) [DEFAULT]</w:t>
      </w:r>
    </w:p>
    <w:p>
      <w:pPr>
        <w:spacing w:after="120"/>
      </w:pPr>
      <w:r>
        <w:rPr>
          <w:b w:val="0"/>
          <w:i w:val="0"/>
        </w:rPr>
        <w:t>JSD is unsigned. Direction is assigned by comparing P_t and Q_t and their shift over the trailing window [t−12m, t]:</w:t>
      </w:r>
    </w:p>
    <w:tbl>
      <w:tblPr>
        <w:tblStyle w:val="TableGrid"/>
        <w:tblW w:type="auto" w:w="0"/>
        <w:jc w:val="center"/>
        <w:tblLook w:firstColumn="1" w:firstRow="1" w:lastColumn="0" w:lastRow="0" w:noHBand="0" w:noVBand="1" w:val="04A0"/>
      </w:tblPr>
      <w:tblGrid>
        <w:gridCol w:w="4680"/>
        <w:gridCol w:w="4680"/>
      </w:tblGrid>
      <w:tr>
        <w:tc>
          <w:tcPr>
            <w:tcW w:type="dxa" w:w="6048"/>
            <w:shd w:val="clear" w:color="auto" w:fill="1F4E79"/>
          </w:tcPr>
          <w:p>
            <w:r/>
            <w:r>
              <w:rPr>
                <w:b/>
                <w:color w:val="FFFFFF"/>
                <w:sz w:val="19"/>
              </w:rPr>
              <w:t>Configuration</w:t>
            </w:r>
          </w:p>
        </w:tc>
        <w:tc>
          <w:tcPr>
            <w:tcW w:type="dxa" w:w="3312"/>
            <w:shd w:val="clear" w:color="auto" w:fill="1F4E79"/>
          </w:tcPr>
          <w:p>
            <w:r/>
            <w:r>
              <w:rPr>
                <w:b/>
                <w:color w:val="FFFFFF"/>
                <w:sz w:val="19"/>
              </w:rPr>
              <w:t>Quadrant</w:t>
            </w:r>
          </w:p>
        </w:tc>
      </w:tr>
      <w:tr>
        <w:tc>
          <w:tcPr>
            <w:tcW w:type="dxa" w:w="6048"/>
          </w:tcPr>
          <w:p>
            <w:r/>
            <w:r>
              <w:rPr>
                <w:sz w:val="18"/>
              </w:rPr>
              <w:t>P implies higher than Q; P moved before Q</w:t>
            </w:r>
          </w:p>
        </w:tc>
        <w:tc>
          <w:tcPr>
            <w:tcW w:type="dxa" w:w="3312"/>
          </w:tcPr>
          <w:p>
            <w:r/>
            <w:r>
              <w:rPr>
                <w:sz w:val="18"/>
              </w:rPr>
              <w:t>True positive asymmetry</w:t>
            </w:r>
          </w:p>
        </w:tc>
      </w:tr>
      <w:tr>
        <w:tc>
          <w:tcPr>
            <w:tcW w:type="dxa" w:w="6048"/>
          </w:tcPr>
          <w:p>
            <w:r/>
            <w:r>
              <w:rPr>
                <w:sz w:val="18"/>
              </w:rPr>
              <w:t>Q higher than P; Q moved, P flat</w:t>
            </w:r>
          </w:p>
        </w:tc>
        <w:tc>
          <w:tcPr>
            <w:tcW w:type="dxa" w:w="3312"/>
          </w:tcPr>
          <w:p>
            <w:r/>
            <w:r>
              <w:rPr>
                <w:sz w:val="18"/>
              </w:rPr>
              <w:t>False asymmetry</w:t>
            </w:r>
          </w:p>
        </w:tc>
      </w:tr>
      <w:tr>
        <w:tc>
          <w:tcPr>
            <w:tcW w:type="dxa" w:w="6048"/>
          </w:tcPr>
          <w:p>
            <w:r/>
            <w:r>
              <w:rPr>
                <w:sz w:val="18"/>
              </w:rPr>
              <w:t>P implies lower than Q; P deteriorating, Q lagging</w:t>
            </w:r>
          </w:p>
        </w:tc>
        <w:tc>
          <w:tcPr>
            <w:tcW w:type="dxa" w:w="3312"/>
          </w:tcPr>
          <w:p>
            <w:r/>
            <w:r>
              <w:rPr>
                <w:sz w:val="18"/>
              </w:rPr>
              <w:t>Counter-asymmetry</w:t>
            </w:r>
          </w:p>
        </w:tc>
      </w:tr>
      <w:tr>
        <w:tc>
          <w:tcPr>
            <w:tcW w:type="dxa" w:w="6048"/>
          </w:tcPr>
          <w:p>
            <w:r/>
            <w:r>
              <w:rPr>
                <w:sz w:val="18"/>
              </w:rPr>
              <w:t>P ≈ Q</w:t>
            </w:r>
          </w:p>
        </w:tc>
        <w:tc>
          <w:tcPr>
            <w:tcW w:type="dxa" w:w="3312"/>
          </w:tcPr>
          <w:p>
            <w:r/>
            <w:r>
              <w:rPr>
                <w:sz w:val="18"/>
              </w:rPr>
              <w:t>Recognized — no asymmetry</w:t>
            </w:r>
          </w:p>
        </w:tc>
      </w:tr>
    </w:tbl>
    <w:p>
      <w:pPr>
        <w:spacing w:after="120"/>
      </w:pPr>
      <w:r>
        <w:rPr>
          <w:b w:val="0"/>
          <w:i w:val="0"/>
        </w:rPr>
        <w:t>"Higher/lower" = comparison of distribution central tendency (median bin). "Moved" = shift in central tendency over the trailing window beyond one bin.</w:t>
      </w:r>
    </w:p>
    <w:p>
      <w:pPr>
        <w:pStyle w:val="Heading1"/>
      </w:pPr>
      <w:r>
        <w:rPr>
          <w:color w:val="1F4E79"/>
        </w:rPr>
        <w:t>8. Three-Layer Evaluation (LOCKED)</w:t>
      </w:r>
    </w:p>
    <w:p>
      <w:pPr>
        <w:pStyle w:val="ListBullet"/>
      </w:pPr>
      <w:r>
        <w:t>Layer 1 — Detection (at t, observable): CRF_t = JSD(Q_t||P_t); quadrant per Section 7.</w:t>
      </w:r>
    </w:p>
    <w:p>
      <w:pPr>
        <w:pStyle w:val="ListBullet"/>
      </w:pPr>
      <w:r>
        <w:t>Layer 2 — Validation (at t+h): realized R observed. Compute L_Q = D(R||Q_t), L_P = D(R||P_t), and Gap = L_Q − L_P (D = KL; R as the realized-bin indicator with the same α-smoothing).</w:t>
      </w:r>
    </w:p>
    <w:p>
      <w:pPr>
        <w:pStyle w:val="ListBullet"/>
      </w:pPr>
      <w:r>
        <w:t>Layer 3 — Payoff link (at t+h): record whether realized R landed in the right-tail bins (top 2 bins) in the direction the quadrant predicted.</w:t>
      </w:r>
    </w:p>
    <w:p>
      <w:pPr>
        <w:pStyle w:val="Heading1"/>
      </w:pPr>
      <w:r>
        <w:rPr>
          <w:color w:val="1F4E79"/>
        </w:rPr>
        <w:t>9. Pre-Registered Hypotheses &amp; Decision Rules (LOCKED) [DEFAULT thresholds]</w:t>
      </w:r>
    </w:p>
    <w:p>
      <w:pPr>
        <w:spacing w:after="120"/>
      </w:pPr>
      <w:r>
        <w:rPr>
          <w:b w:val="0"/>
          <w:i w:val="0"/>
        </w:rPr>
        <w:t>Define high-CRF = CRF_t in the top tercile of the scored sample. Define positive-direction = True-positive-asymmetry quadrant.</w:t>
      </w:r>
    </w:p>
    <w:p>
      <w:pPr>
        <w:spacing w:after="0"/>
      </w:pPr>
      <w:r>
        <w:rPr>
          <w:b/>
          <w:i w:val="0"/>
        </w:rPr>
        <w:t xml:space="preserve">H1 (cognitive-lag claim): </w:t>
      </w:r>
    </w:p>
    <w:p>
      <w:pPr>
        <w:spacing w:after="120"/>
      </w:pPr>
      <w:r>
        <w:rPr>
          <w:b w:val="0"/>
          <w:i w:val="0"/>
        </w:rPr>
        <w:t>Among high-CRF positive-direction cases, the share with Gap &gt; 0 exceeds 0.5 (one-sided binomial test, α = 0.05). Refutation: if high CRF does not predict that the evidence model beat the market, the cognitive-lag thesis fails.</w:t>
      </w:r>
    </w:p>
    <w:p>
      <w:pPr>
        <w:spacing w:after="0"/>
      </w:pPr>
      <w:r>
        <w:rPr>
          <w:b/>
          <w:i w:val="0"/>
        </w:rPr>
        <w:t xml:space="preserve">H2 (asymmetric-payoff claim): </w:t>
      </w:r>
    </w:p>
    <w:p>
      <w:pPr>
        <w:spacing w:after="120"/>
      </w:pPr>
      <w:r>
        <w:rPr>
          <w:b w:val="0"/>
          <w:i w:val="0"/>
        </w:rPr>
        <w:t>High-CRF positive-direction cases realize right-tail outcomes (Layer 3) at a higher rate than a matched low-CRF control (two-proportion test, α = 0.05).</w:t>
      </w:r>
    </w:p>
    <w:p>
      <w:pPr>
        <w:spacing w:after="0"/>
      </w:pPr>
      <w:r>
        <w:rPr>
          <w:b/>
          <w:i w:val="0"/>
        </w:rPr>
        <w:t xml:space="preserve">H0 (null): </w:t>
      </w:r>
    </w:p>
    <w:p>
      <w:pPr>
        <w:spacing w:after="120"/>
      </w:pPr>
      <w:r>
        <w:rPr>
          <w:b w:val="0"/>
          <w:i w:val="0"/>
        </w:rPr>
        <w:t>CRF_t has no relationship to Gap or to realized asymmetry.</w:t>
      </w:r>
    </w:p>
    <w:p>
      <w:pPr>
        <w:spacing w:after="120"/>
      </w:pPr>
      <w:r>
        <w:rPr>
          <w:b/>
          <w:i w:val="0"/>
        </w:rPr>
        <w:t>Two-period design:</w:t>
      </w:r>
    </w:p>
    <w:p>
      <w:pPr>
        <w:pStyle w:val="ListBullet"/>
      </w:pPr>
      <w:r>
        <w:t>Primary test — development period 2000–2015: H1 and H2 as above, N ≥ 60 scored cases spanning all four quadrants.</w:t>
      </w:r>
    </w:p>
    <w:p>
      <w:pPr>
        <w:pStyle w:val="ListBullet"/>
      </w:pPr>
      <w:r>
        <w:t>Confirmatory replication — holdout 2016–2023: identical tests on disjoint cases. A hypothesis is reported SUPPORTED only if it holds in development AND directionally replicates in the holdout. Holdout results reported regardless of outcome.</w:t>
      </w:r>
    </w:p>
    <w:p>
      <w:pPr>
        <w:pStyle w:val="Heading1"/>
      </w:pPr>
      <w:r>
        <w:rPr>
          <w:color w:val="1F4E79"/>
        </w:rPr>
        <w:t>10. Controls (LOCKED)</w:t>
      </w:r>
    </w:p>
    <w:p>
      <w:pPr>
        <w:pStyle w:val="ListBullet"/>
      </w:pPr>
      <w:r>
        <w:t>Independent dual scoring: ≥ 2 independent evaluators, no deliberation. Agreement metric = JSD(P_t^A || P_t^B), tolerance τ = 0.10. Disagreement beyond τ = protocol failure for that case (flagged, not reconciled). [PRINCIPAL: dual scoring; DEFAULT: τ=0.10]</w:t>
      </w:r>
    </w:p>
    <w:p>
      <w:pPr>
        <w:pStyle w:val="ListBullet"/>
      </w:pPr>
      <w:r>
        <w:t>Author exclusion: the author may not be a sole scorer; if participating, flagged.</w:t>
      </w:r>
    </w:p>
    <w:p>
      <w:pPr>
        <w:pStyle w:val="ListBullet"/>
      </w:pPr>
      <w:r>
        <w:t>Leakage Control Log (per major score): (a) Could this be influenced by future knowledge? (b) Would it survive if the object had later failed? (c) What contemporaneous evidence alone supports it?</w:t>
      </w:r>
    </w:p>
    <w:p>
      <w:pPr>
        <w:pStyle w:val="ListBullet"/>
      </w:pPr>
      <w:r>
        <w:t>Blinding (preferred): de-identified contemporaneous dossier; where the object is too famous to blind, contamination risk is recorded.</w:t>
      </w:r>
    </w:p>
    <w:p>
      <w:pPr>
        <w:pStyle w:val="Heading1"/>
      </w:pPr>
      <w:r>
        <w:rPr>
          <w:color w:val="1F4E79"/>
        </w:rPr>
        <w:t>11. Case-Selection Frame (LOCKED) [DEFAULT]</w:t>
      </w:r>
    </w:p>
    <w:p>
      <w:pPr>
        <w:pStyle w:val="ListBullet"/>
      </w:pPr>
      <w:r>
        <w:t>Frame window: firm-quarters from the Section-6.4 universe over 2000–2023.</w:t>
      </w:r>
    </w:p>
    <w:p>
      <w:pPr>
        <w:pStyle w:val="ListBullet"/>
      </w:pPr>
      <w:r>
        <w:t>Temporal holdout: development 2000–2015, replication 2016–2023, disjoint; the holdout is not inspected until development scoring is complete.</w:t>
      </w:r>
    </w:p>
    <w:p>
      <w:pPr>
        <w:pStyle w:val="ListBullet"/>
      </w:pPr>
      <w:r>
        <w:t>Regime stratification: cases drawn from expansion, contraction, and high-dispersion regimes, so no quadrant is an artifact of a single crisis.</w:t>
      </w:r>
    </w:p>
    <w:p>
      <w:pPr>
        <w:pStyle w:val="ListBullet"/>
      </w:pPr>
      <w:r>
        <w:t>Sampling: stratified random draw; selection uses only point-in-time data at each candidate’s t. Outcome valence must not enter selection; obscure cases preferred.</w:t>
      </w:r>
    </w:p>
    <w:p>
      <w:pPr>
        <w:pStyle w:val="Heading1"/>
      </w:pPr>
      <w:r>
        <w:rPr>
          <w:color w:val="1F4E79"/>
        </w:rPr>
        <w:t>12. Forbidden Practices (LOCKED)</w:t>
      </w:r>
    </w:p>
    <w:p>
      <w:pPr>
        <w:spacing w:after="80"/>
        <w:ind w:left="720" w:hanging="360"/>
      </w:pPr>
      <w:r>
        <w:t>1.  No hindsight numbers. P_t from a locked model on pre-t data — never assigned by recollection of the outcome (forbids the historical-CRF-table practice).</w:t>
      </w:r>
    </w:p>
    <w:p>
      <w:pPr>
        <w:spacing w:after="80"/>
        <w:ind w:left="720" w:hanging="360"/>
      </w:pPr>
      <w:r>
        <w:t>2.  No hand-assigned probabilities or price targets as drivers of the metric (forbids the ARE 50/50 example practice).</w:t>
      </w:r>
    </w:p>
    <w:p>
      <w:pPr>
        <w:spacing w:after="80"/>
        <w:ind w:left="720" w:hanging="360"/>
      </w:pPr>
      <w:r>
        <w:t>3.  No hidden aggregation. CRF is one defined operator (JSD); no multiplicative index of unitless quantities (forbids the AXI-PRO practice).</w:t>
      </w:r>
    </w:p>
    <w:p>
      <w:pPr>
        <w:spacing w:after="80"/>
        <w:ind w:left="720" w:hanging="360"/>
      </w:pPr>
      <w:r>
        <w:t>4.  One CRF definition (Section 2).</w:t>
      </w:r>
    </w:p>
    <w:p>
      <w:pPr>
        <w:spacing w:after="80"/>
        <w:ind w:left="720" w:hanging="360"/>
      </w:pPr>
      <w:r>
        <w:t>5.  No silent caps. Every excluded case is logged with reason; holdout results reported regardless of outcome.</w:t>
      </w:r>
    </w:p>
    <w:p>
      <w:pPr>
        <w:spacing w:after="80"/>
        <w:ind w:left="720" w:hanging="360"/>
      </w:pPr>
      <w:r>
        <w:t>6.  No mid-study parameter change. Section 0 governs amendment.</w:t>
      </w:r>
    </w:p>
    <w:p>
      <w:pPr>
        <w:pStyle w:val="Heading1"/>
      </w:pPr>
      <w:r>
        <w:rPr>
          <w:color w:val="1F4E79"/>
        </w:rPr>
        <w:t>13. Measurable-Domain Boundary (Honest Limitation)</w:t>
      </w:r>
    </w:p>
    <w:p>
      <w:pPr>
        <w:spacing w:after="120"/>
      </w:pPr>
      <w:r>
        <w:rPr>
          <w:b w:val="0"/>
          <w:i w:val="0"/>
        </w:rPr>
        <w:t>The most transformative asymmetries (genuinely novel structural transitions) are precisely where both Q_t (no liquid options) and P_t (no analogue base) are hardest to build. The methodology is most reliable on moderate, recurring asymmetries and is silent outside its measurable domain. Results pertain only to cases with sufficient Q-liquidity and a reference class meeting Section 6.6. CRF measures divergence from the evidence model, not from truth; all conclusions are conditional on the model being a reasonable, inspectable evidence aggregator.</w:t>
      </w:r>
    </w:p>
    <w:p>
      <w:pPr>
        <w:pStyle w:val="Heading1"/>
      </w:pPr>
      <w:r>
        <w:rPr>
          <w:color w:val="1F4E79"/>
        </w:rPr>
        <w:t>14. Role of Amazon 2004–2005</w:t>
      </w:r>
    </w:p>
    <w:p>
      <w:pPr>
        <w:spacing w:after="120"/>
      </w:pPr>
      <w:r>
        <w:rPr>
          <w:b w:val="0"/>
          <w:i w:val="0"/>
        </w:rPr>
        <w:t>Amazon is a Protocol Execution / Feasibility Case, not a validation case and not a calibration case. Its sole purpose: demonstrate that the protocol can be executed, that the evidence trail reconstructs, that two evaluators follow the same process. A clean Amazon run validates the process, never the theory; it cannot enter H1/H2 inference.</w:t>
      </w:r>
    </w:p>
    <w:p>
      <w:pPr>
        <w:pStyle w:val="Heading1"/>
      </w:pPr>
      <w:r>
        <w:rPr>
          <w:color w:val="1F4E79"/>
        </w:rPr>
        <w:t>15. Locked Parameter Appendix</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4E79"/>
          </w:tcPr>
          <w:p>
            <w:r/>
            <w:r>
              <w:rPr>
                <w:b/>
                <w:color w:val="FFFFFF"/>
                <w:sz w:val="19"/>
              </w:rPr>
              <w:t>Parameter</w:t>
            </w:r>
          </w:p>
        </w:tc>
        <w:tc>
          <w:tcPr>
            <w:tcW w:type="dxa" w:w="4320"/>
            <w:shd w:val="clear" w:color="auto" w:fill="1F4E79"/>
          </w:tcPr>
          <w:p>
            <w:r/>
            <w:r>
              <w:rPr>
                <w:b/>
                <w:color w:val="FFFFFF"/>
                <w:sz w:val="19"/>
              </w:rPr>
              <w:t>Value</w:t>
            </w:r>
          </w:p>
        </w:tc>
        <w:tc>
          <w:tcPr>
            <w:tcW w:type="dxa" w:w="1440"/>
            <w:shd w:val="clear" w:color="auto" w:fill="1F4E79"/>
          </w:tcPr>
          <w:p>
            <w:r/>
            <w:r>
              <w:rPr>
                <w:b/>
                <w:color w:val="FFFFFF"/>
                <w:sz w:val="19"/>
              </w:rPr>
              <w:t>Tag</w:t>
            </w:r>
          </w:p>
        </w:tc>
      </w:tr>
      <w:tr>
        <w:tc>
          <w:tcPr>
            <w:tcW w:type="dxa" w:w="3600"/>
          </w:tcPr>
          <w:p>
            <w:r/>
            <w:r>
              <w:rPr>
                <w:sz w:val="18"/>
              </w:rPr>
              <w:t>Horizon h</w:t>
            </w:r>
          </w:p>
        </w:tc>
        <w:tc>
          <w:tcPr>
            <w:tcW w:type="dxa" w:w="4320"/>
          </w:tcPr>
          <w:p>
            <w:r/>
            <w:r>
              <w:rPr>
                <w:sz w:val="18"/>
              </w:rPr>
              <w:t>24 months</w:t>
            </w:r>
          </w:p>
        </w:tc>
        <w:tc>
          <w:tcPr>
            <w:tcW w:type="dxa" w:w="1440"/>
          </w:tcPr>
          <w:p>
            <w:r/>
            <w:r>
              <w:rPr>
                <w:sz w:val="18"/>
              </w:rPr>
              <w:t>PRINCIPAL</w:t>
            </w:r>
          </w:p>
        </w:tc>
      </w:tr>
      <w:tr>
        <w:tc>
          <w:tcPr>
            <w:tcW w:type="dxa" w:w="3600"/>
          </w:tcPr>
          <w:p>
            <w:r/>
            <w:r>
              <w:rPr>
                <w:sz w:val="18"/>
              </w:rPr>
              <w:t>Outcome bins</w:t>
            </w:r>
          </w:p>
        </w:tc>
        <w:tc>
          <w:tcPr>
            <w:tcW w:type="dxa" w:w="4320"/>
          </w:tcPr>
          <w:p>
            <w:r/>
            <w:r>
              <w:rPr>
                <w:sz w:val="18"/>
              </w:rPr>
              <w:t>10 asymmetric (Section 4)</w:t>
            </w:r>
          </w:p>
        </w:tc>
        <w:tc>
          <w:tcPr>
            <w:tcW w:type="dxa" w:w="1440"/>
          </w:tcPr>
          <w:p>
            <w:r/>
            <w:r>
              <w:rPr>
                <w:sz w:val="18"/>
              </w:rPr>
              <w:t>DEFAULT</w:t>
            </w:r>
          </w:p>
        </w:tc>
      </w:tr>
      <w:tr>
        <w:tc>
          <w:tcPr>
            <w:tcW w:type="dxa" w:w="3600"/>
          </w:tcPr>
          <w:p>
            <w:r/>
            <w:r>
              <w:rPr>
                <w:sz w:val="18"/>
              </w:rPr>
              <w:t>Right-tail bins</w:t>
            </w:r>
          </w:p>
        </w:tc>
        <w:tc>
          <w:tcPr>
            <w:tcW w:type="dxa" w:w="4320"/>
          </w:tcPr>
          <w:p>
            <w:r/>
            <w:r>
              <w:rPr>
                <w:sz w:val="18"/>
              </w:rPr>
              <w:t>top 3: (50%,100%], (100%,200%], (200%,+inf)</w:t>
            </w:r>
          </w:p>
        </w:tc>
        <w:tc>
          <w:tcPr>
            <w:tcW w:type="dxa" w:w="1440"/>
          </w:tcPr>
          <w:p>
            <w:r/>
            <w:r>
              <w:rPr>
                <w:sz w:val="18"/>
              </w:rPr>
              <w:t>DEFAULT</w:t>
            </w:r>
          </w:p>
        </w:tc>
      </w:tr>
      <w:tr>
        <w:tc>
          <w:tcPr>
            <w:tcW w:type="dxa" w:w="3600"/>
          </w:tcPr>
          <w:p>
            <w:r/>
            <w:r>
              <w:rPr>
                <w:sz w:val="18"/>
              </w:rPr>
              <w:t>Divergence</w:t>
            </w:r>
          </w:p>
        </w:tc>
        <w:tc>
          <w:tcPr>
            <w:tcW w:type="dxa" w:w="4320"/>
          </w:tcPr>
          <w:p>
            <w:r/>
            <w:r>
              <w:rPr>
                <w:sz w:val="18"/>
              </w:rPr>
              <w:t>Jensen–Shannon, log2, [0,1]</w:t>
            </w:r>
          </w:p>
        </w:tc>
        <w:tc>
          <w:tcPr>
            <w:tcW w:type="dxa" w:w="1440"/>
          </w:tcPr>
          <w:p>
            <w:r/>
            <w:r>
              <w:rPr>
                <w:sz w:val="18"/>
              </w:rPr>
              <w:t>DEFAULT</w:t>
            </w:r>
          </w:p>
        </w:tc>
      </w:tr>
      <w:tr>
        <w:tc>
          <w:tcPr>
            <w:tcW w:type="dxa" w:w="3600"/>
          </w:tcPr>
          <w:p>
            <w:r/>
            <w:r>
              <w:rPr>
                <w:sz w:val="18"/>
              </w:rPr>
              <w:t>Nearest analogues k</w:t>
            </w:r>
          </w:p>
        </w:tc>
        <w:tc>
          <w:tcPr>
            <w:tcW w:type="dxa" w:w="4320"/>
          </w:tcPr>
          <w:p>
            <w:r/>
            <w:r>
              <w:rPr>
                <w:sz w:val="18"/>
              </w:rPr>
              <w:t>75</w:t>
            </w:r>
          </w:p>
        </w:tc>
        <w:tc>
          <w:tcPr>
            <w:tcW w:type="dxa" w:w="1440"/>
          </w:tcPr>
          <w:p>
            <w:r/>
            <w:r>
              <w:rPr>
                <w:sz w:val="18"/>
              </w:rPr>
              <w:t>PRINCIPAL</w:t>
            </w:r>
          </w:p>
        </w:tc>
      </w:tr>
      <w:tr>
        <w:tc>
          <w:tcPr>
            <w:tcW w:type="dxa" w:w="3600"/>
          </w:tcPr>
          <w:p>
            <w:r/>
            <w:r>
              <w:rPr>
                <w:sz w:val="18"/>
              </w:rPr>
              <w:t>Measurability floor</w:t>
            </w:r>
          </w:p>
        </w:tc>
        <w:tc>
          <w:tcPr>
            <w:tcW w:type="dxa" w:w="4320"/>
          </w:tcPr>
          <w:p>
            <w:r/>
            <w:r>
              <w:rPr>
                <w:sz w:val="18"/>
              </w:rPr>
              <w:t>total ≥ 50 AND ≥ 8 in right-tail bins</w:t>
            </w:r>
          </w:p>
        </w:tc>
        <w:tc>
          <w:tcPr>
            <w:tcW w:type="dxa" w:w="1440"/>
          </w:tcPr>
          <w:p>
            <w:r/>
            <w:r>
              <w:rPr>
                <w:sz w:val="18"/>
              </w:rPr>
              <w:t>DEFAULT</w:t>
            </w:r>
          </w:p>
        </w:tc>
      </w:tr>
      <w:tr>
        <w:tc>
          <w:tcPr>
            <w:tcW w:type="dxa" w:w="3600"/>
          </w:tcPr>
          <w:p>
            <w:r/>
            <w:r>
              <w:rPr>
                <w:sz w:val="18"/>
              </w:rPr>
              <w:t>Feature operationalizations</w:t>
            </w:r>
          </w:p>
        </w:tc>
        <w:tc>
          <w:tcPr>
            <w:tcW w:type="dxa" w:w="4320"/>
          </w:tcPr>
          <w:p>
            <w:r/>
            <w:r>
              <w:rPr>
                <w:sz w:val="18"/>
              </w:rPr>
              <w:t>6 single-source formulas (§6.1)</w:t>
            </w:r>
          </w:p>
        </w:tc>
        <w:tc>
          <w:tcPr>
            <w:tcW w:type="dxa" w:w="1440"/>
          </w:tcPr>
          <w:p>
            <w:r/>
            <w:r>
              <w:rPr>
                <w:sz w:val="18"/>
              </w:rPr>
              <w:t>PRINCIPAL (#3/#4/#6 pinned v3)</w:t>
            </w:r>
          </w:p>
        </w:tc>
      </w:tr>
      <w:tr>
        <w:tc>
          <w:tcPr>
            <w:tcW w:type="dxa" w:w="3600"/>
          </w:tcPr>
          <w:p>
            <w:r/>
            <w:r>
              <w:rPr>
                <w:sz w:val="18"/>
              </w:rPr>
              <w:t>Distance</w:t>
            </w:r>
          </w:p>
        </w:tc>
        <w:tc>
          <w:tcPr>
            <w:tcW w:type="dxa" w:w="4320"/>
          </w:tcPr>
          <w:p>
            <w:r/>
            <w:r>
              <w:rPr>
                <w:sz w:val="18"/>
              </w:rPr>
              <w:t>Mahalanobis on z-scored f</w:t>
            </w:r>
          </w:p>
        </w:tc>
        <w:tc>
          <w:tcPr>
            <w:tcW w:type="dxa" w:w="1440"/>
          </w:tcPr>
          <w:p>
            <w:r/>
            <w:r>
              <w:rPr>
                <w:sz w:val="18"/>
              </w:rPr>
              <w:t>DEFAULT</w:t>
            </w:r>
          </w:p>
        </w:tc>
      </w:tr>
      <w:tr>
        <w:tc>
          <w:tcPr>
            <w:tcW w:type="dxa" w:w="3600"/>
          </w:tcPr>
          <w:p>
            <w:r/>
            <w:r>
              <w:rPr>
                <w:sz w:val="18"/>
              </w:rPr>
              <w:t>Smoothing</w:t>
            </w:r>
          </w:p>
        </w:tc>
        <w:tc>
          <w:tcPr>
            <w:tcW w:type="dxa" w:w="4320"/>
          </w:tcPr>
          <w:p>
            <w:r/>
            <w:r>
              <w:rPr>
                <w:sz w:val="18"/>
              </w:rPr>
              <w:t>Dirichlet α = 0.5</w:t>
            </w:r>
          </w:p>
        </w:tc>
        <w:tc>
          <w:tcPr>
            <w:tcW w:type="dxa" w:w="1440"/>
          </w:tcPr>
          <w:p>
            <w:r/>
            <w:r>
              <w:rPr>
                <w:sz w:val="18"/>
              </w:rPr>
              <w:t>DEFAULT</w:t>
            </w:r>
          </w:p>
        </w:tc>
      </w:tr>
      <w:tr>
        <w:tc>
          <w:tcPr>
            <w:tcW w:type="dxa" w:w="3600"/>
          </w:tcPr>
          <w:p>
            <w:r/>
            <w:r>
              <w:rPr>
                <w:sz w:val="18"/>
              </w:rPr>
              <w:t>Universe</w:t>
            </w:r>
          </w:p>
        </w:tc>
        <w:tc>
          <w:tcPr>
            <w:tcW w:type="dxa" w:w="4320"/>
          </w:tcPr>
          <w:p>
            <w:r/>
            <w:r>
              <w:rPr>
                <w:sz w:val="18"/>
              </w:rPr>
              <w:t>US listed, survivorship-free</w:t>
            </w:r>
          </w:p>
        </w:tc>
        <w:tc>
          <w:tcPr>
            <w:tcW w:type="dxa" w:w="1440"/>
          </w:tcPr>
          <w:p>
            <w:r/>
            <w:r>
              <w:rPr>
                <w:sz w:val="18"/>
              </w:rPr>
              <w:t>PRINCIPAL</w:t>
            </w:r>
          </w:p>
        </w:tc>
      </w:tr>
      <w:tr>
        <w:tc>
          <w:tcPr>
            <w:tcW w:type="dxa" w:w="3600"/>
          </w:tcPr>
          <w:p>
            <w:r/>
            <w:r>
              <w:rPr>
                <w:sz w:val="18"/>
              </w:rPr>
              <w:t>Direction window</w:t>
            </w:r>
          </w:p>
        </w:tc>
        <w:tc>
          <w:tcPr>
            <w:tcW w:type="dxa" w:w="4320"/>
          </w:tcPr>
          <w:p>
            <w:r/>
            <w:r>
              <w:rPr>
                <w:sz w:val="18"/>
              </w:rPr>
              <w:t>trailing 12 months</w:t>
            </w:r>
          </w:p>
        </w:tc>
        <w:tc>
          <w:tcPr>
            <w:tcW w:type="dxa" w:w="1440"/>
          </w:tcPr>
          <w:p>
            <w:r/>
            <w:r>
              <w:rPr>
                <w:sz w:val="18"/>
              </w:rPr>
              <w:t>DEFAULT</w:t>
            </w:r>
          </w:p>
        </w:tc>
      </w:tr>
      <w:tr>
        <w:tc>
          <w:tcPr>
            <w:tcW w:type="dxa" w:w="3600"/>
          </w:tcPr>
          <w:p>
            <w:r/>
            <w:r>
              <w:rPr>
                <w:sz w:val="18"/>
              </w:rPr>
              <w:t>Inter-rater tolerance τ</w:t>
            </w:r>
          </w:p>
        </w:tc>
        <w:tc>
          <w:tcPr>
            <w:tcW w:type="dxa" w:w="4320"/>
          </w:tcPr>
          <w:p>
            <w:r/>
            <w:r>
              <w:rPr>
                <w:sz w:val="18"/>
              </w:rPr>
              <w:t>0.10 (JSD)</w:t>
            </w:r>
          </w:p>
        </w:tc>
        <w:tc>
          <w:tcPr>
            <w:tcW w:type="dxa" w:w="1440"/>
          </w:tcPr>
          <w:p>
            <w:r/>
            <w:r>
              <w:rPr>
                <w:sz w:val="18"/>
              </w:rPr>
              <w:t>DEFAULT</w:t>
            </w:r>
          </w:p>
        </w:tc>
      </w:tr>
      <w:tr>
        <w:tc>
          <w:tcPr>
            <w:tcW w:type="dxa" w:w="3600"/>
          </w:tcPr>
          <w:p>
            <w:r/>
            <w:r>
              <w:rPr>
                <w:sz w:val="18"/>
              </w:rPr>
              <w:t>High-CRF cutoff</w:t>
            </w:r>
          </w:p>
        </w:tc>
        <w:tc>
          <w:tcPr>
            <w:tcW w:type="dxa" w:w="4320"/>
          </w:tcPr>
          <w:p>
            <w:r/>
            <w:r>
              <w:rPr>
                <w:sz w:val="18"/>
              </w:rPr>
              <w:t>top tercile</w:t>
            </w:r>
          </w:p>
        </w:tc>
        <w:tc>
          <w:tcPr>
            <w:tcW w:type="dxa" w:w="1440"/>
          </w:tcPr>
          <w:p>
            <w:r/>
            <w:r>
              <w:rPr>
                <w:sz w:val="18"/>
              </w:rPr>
              <w:t>DEFAULT</w:t>
            </w:r>
          </w:p>
        </w:tc>
      </w:tr>
      <w:tr>
        <w:tc>
          <w:tcPr>
            <w:tcW w:type="dxa" w:w="3600"/>
          </w:tcPr>
          <w:p>
            <w:r/>
            <w:r>
              <w:rPr>
                <w:sz w:val="18"/>
              </w:rPr>
              <w:t>Significance α</w:t>
            </w:r>
          </w:p>
        </w:tc>
        <w:tc>
          <w:tcPr>
            <w:tcW w:type="dxa" w:w="4320"/>
          </w:tcPr>
          <w:p>
            <w:r/>
            <w:r>
              <w:rPr>
                <w:sz w:val="18"/>
              </w:rPr>
              <w:t>0.05</w:t>
            </w:r>
          </w:p>
        </w:tc>
        <w:tc>
          <w:tcPr>
            <w:tcW w:type="dxa" w:w="1440"/>
          </w:tcPr>
          <w:p>
            <w:r/>
            <w:r>
              <w:rPr>
                <w:sz w:val="18"/>
              </w:rPr>
              <w:t>DEFAULT</w:t>
            </w:r>
          </w:p>
        </w:tc>
      </w:tr>
      <w:tr>
        <w:tc>
          <w:tcPr>
            <w:tcW w:type="dxa" w:w="3600"/>
          </w:tcPr>
          <w:p>
            <w:r/>
            <w:r>
              <w:rPr>
                <w:sz w:val="18"/>
              </w:rPr>
              <w:t>Minimum sample N (development)</w:t>
            </w:r>
          </w:p>
        </w:tc>
        <w:tc>
          <w:tcPr>
            <w:tcW w:type="dxa" w:w="4320"/>
          </w:tcPr>
          <w:p>
            <w:r/>
            <w:r>
              <w:rPr>
                <w:sz w:val="18"/>
              </w:rPr>
              <w:t>60</w:t>
            </w:r>
          </w:p>
        </w:tc>
        <w:tc>
          <w:tcPr>
            <w:tcW w:type="dxa" w:w="1440"/>
          </w:tcPr>
          <w:p>
            <w:r/>
            <w:r>
              <w:rPr>
                <w:sz w:val="18"/>
              </w:rPr>
              <w:t>DEFAULT</w:t>
            </w:r>
          </w:p>
        </w:tc>
      </w:tr>
      <w:tr>
        <w:tc>
          <w:tcPr>
            <w:tcW w:type="dxa" w:w="3600"/>
          </w:tcPr>
          <w:p>
            <w:r/>
            <w:r>
              <w:rPr>
                <w:sz w:val="18"/>
              </w:rPr>
              <w:t>Case frame window</w:t>
            </w:r>
          </w:p>
        </w:tc>
        <w:tc>
          <w:tcPr>
            <w:tcW w:type="dxa" w:w="4320"/>
          </w:tcPr>
          <w:p>
            <w:r/>
            <w:r>
              <w:rPr>
                <w:sz w:val="18"/>
              </w:rPr>
              <w:t>2000–2023</w:t>
            </w:r>
          </w:p>
        </w:tc>
        <w:tc>
          <w:tcPr>
            <w:tcW w:type="dxa" w:w="1440"/>
          </w:tcPr>
          <w:p>
            <w:r/>
            <w:r>
              <w:rPr>
                <w:sz w:val="18"/>
              </w:rPr>
              <w:t>DEFAULT</w:t>
            </w:r>
          </w:p>
        </w:tc>
      </w:tr>
      <w:tr>
        <w:tc>
          <w:tcPr>
            <w:tcW w:type="dxa" w:w="3600"/>
          </w:tcPr>
          <w:p>
            <w:r/>
            <w:r>
              <w:rPr>
                <w:sz w:val="18"/>
              </w:rPr>
              <w:t>Temporal holdout</w:t>
            </w:r>
          </w:p>
        </w:tc>
        <w:tc>
          <w:tcPr>
            <w:tcW w:type="dxa" w:w="4320"/>
          </w:tcPr>
          <w:p>
            <w:r/>
            <w:r>
              <w:rPr>
                <w:sz w:val="18"/>
              </w:rPr>
              <w:t>dev 2000–2015 / replication 2016–2023</w:t>
            </w:r>
          </w:p>
        </w:tc>
        <w:tc>
          <w:tcPr>
            <w:tcW w:type="dxa" w:w="1440"/>
          </w:tcPr>
          <w:p>
            <w:r/>
            <w:r>
              <w:rPr>
                <w:sz w:val="18"/>
              </w:rPr>
              <w:t>DEFAULT</w:t>
            </w:r>
          </w:p>
        </w:tc>
      </w:tr>
      <w:tr>
        <w:tc>
          <w:tcPr>
            <w:tcW w:type="dxa" w:w="3600"/>
          </w:tcPr>
          <w:p>
            <w:r/>
            <w:r>
              <w:rPr>
                <w:sz w:val="18"/>
              </w:rPr>
              <w:t>Regime stratification</w:t>
            </w:r>
          </w:p>
        </w:tc>
        <w:tc>
          <w:tcPr>
            <w:tcW w:type="dxa" w:w="4320"/>
          </w:tcPr>
          <w:p>
            <w:r/>
            <w:r>
              <w:rPr>
                <w:sz w:val="18"/>
              </w:rPr>
              <w:t>required</w:t>
            </w:r>
          </w:p>
        </w:tc>
        <w:tc>
          <w:tcPr>
            <w:tcW w:type="dxa" w:w="1440"/>
          </w:tcPr>
          <w:p>
            <w:r/>
            <w:r>
              <w:rPr>
                <w:sz w:val="18"/>
              </w:rPr>
              <w:t>DEFAULT</w:t>
            </w:r>
          </w:p>
        </w:tc>
      </w:tr>
      <w:tr>
        <w:tc>
          <w:tcPr>
            <w:tcW w:type="dxa" w:w="3600"/>
          </w:tcPr>
          <w:p>
            <w:r/>
            <w:r>
              <w:rPr>
                <w:sz w:val="18"/>
              </w:rPr>
              <w:t>License</w:t>
            </w:r>
          </w:p>
        </w:tc>
        <w:tc>
          <w:tcPr>
            <w:tcW w:type="dxa" w:w="4320"/>
          </w:tcPr>
          <w:p>
            <w:r/>
            <w:r>
              <w:rPr>
                <w:sz w:val="18"/>
              </w:rPr>
              <w:t>CC BY 4.0</w:t>
            </w:r>
          </w:p>
        </w:tc>
        <w:tc>
          <w:tcPr>
            <w:tcW w:type="dxa" w:w="1440"/>
          </w:tcPr>
          <w:p>
            <w:r/>
            <w:r>
              <w:rPr>
                <w:sz w:val="18"/>
              </w:rPr>
              <w:t>—</w:t>
            </w:r>
          </w:p>
        </w:tc>
      </w:tr>
    </w:tbl>
    <w:p/>
    <w:p>
      <w:pPr>
        <w:jc w:val="center"/>
      </w:pPr>
      <w:r>
        <w:rPr>
          <w:i/>
          <w:sz w:val="18"/>
        </w:rPr>
        <w:t>End of TACA Protocol Lock v3. Locked 2026-06-22. Supersedes v2. Amendments only by dated, versioned re-issue applying to cases scored after re-issue.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